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ind w:firstLine="0"/>
      </w:pPr>
    </w:p>
    <w:p>
      <w:pPr>
        <w:pStyle w:val="20"/>
        <w:ind w:left="0" w:leftChars="0" w:firstLine="0" w:firstLineChars="0"/>
        <w:jc w:val="center"/>
        <w:rPr>
          <w:rFonts w:ascii="宋体" w:hAnsi="宋体" w:cs="宋体"/>
          <w:b/>
          <w:bCs/>
          <w:sz w:val="48"/>
          <w:szCs w:val="48"/>
        </w:rPr>
      </w:pPr>
      <w:r>
        <w:rPr>
          <w:rFonts w:hint="eastAsia" w:ascii="宋体" w:hAnsi="宋体"/>
          <w:b/>
          <w:bCs/>
          <w:sz w:val="52"/>
          <w:szCs w:val="52"/>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rPr>
          <w:rFonts w:hint="eastAsia" w:ascii="宋体" w:hAnsi="宋体"/>
          <w:b/>
          <w:bCs/>
          <w:sz w:val="52"/>
          <w:szCs w:val="52"/>
        </w:rPr>
        <w:t>(</w:t>
      </w:r>
      <w:r>
        <w:rPr>
          <w:rFonts w:hint="eastAsia" w:ascii="宋体" w:hAnsi="宋体"/>
          <w:b/>
          <w:bCs/>
          <w:sz w:val="52"/>
          <w:szCs w:val="52"/>
          <w:lang w:val="en-US" w:eastAsia="zh-CN"/>
        </w:rPr>
        <w:t>服务</w:t>
      </w:r>
      <w:r>
        <w:rPr>
          <w:rFonts w:hint="eastAsia" w:ascii="宋体" w:hAnsi="宋体"/>
          <w:b/>
          <w:bCs/>
          <w:sz w:val="52"/>
          <w:szCs w:val="52"/>
        </w:rPr>
        <w:t>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7"/>
        <w:jc w:val="center"/>
      </w:pPr>
      <w: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9"/>
                    <a:stretch>
                      <a:fillRect/>
                    </a:stretch>
                  </pic:blipFill>
                  <pic:spPr>
                    <a:xfrm>
                      <a:off x="0" y="0"/>
                      <a:ext cx="1647825" cy="971550"/>
                    </a:xfrm>
                    <a:prstGeom prst="rect">
                      <a:avLst/>
                    </a:prstGeom>
                    <a:noFill/>
                    <a:ln w="9525">
                      <a:noFill/>
                    </a:ln>
                  </pic:spPr>
                </pic:pic>
              </a:graphicData>
            </a:graphic>
          </wp:inline>
        </w:drawing>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fldChar w:fldCharType="begin"/>
      </w:r>
      <w:r>
        <w:instrText xml:space="preserve"> HYPERLINK "http://www.ahdmig.cn/?tdsourcetag=s_pcqq_aiomsg" </w:instrText>
      </w:r>
      <w:r>
        <w:fldChar w:fldCharType="separate"/>
      </w:r>
      <w:r>
        <w:rPr>
          <w:rFonts w:hint="eastAsia" w:ascii="宋体" w:hAnsi="等线"/>
          <w:b/>
          <w:bCs/>
          <w:spacing w:val="20"/>
          <w:kern w:val="0"/>
          <w:sz w:val="32"/>
          <w:szCs w:val="32"/>
        </w:rPr>
        <w:t>http://www.ahdmig.cn</w:t>
      </w:r>
      <w:r>
        <w:rPr>
          <w:rFonts w:hint="eastAsia" w:ascii="宋体" w:hAnsi="等线"/>
          <w:b/>
          <w:bCs/>
          <w:spacing w:val="20"/>
          <w:kern w:val="0"/>
          <w:sz w:val="32"/>
          <w:szCs w:val="32"/>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21"/>
        <w:jc w:val="center"/>
        <w:rPr>
          <w:rFonts w:ascii="宋体" w:hAnsi="等线" w:cs="Times New Roman"/>
          <w:b/>
          <w:bCs/>
          <w:spacing w:val="20"/>
          <w:kern w:val="0"/>
          <w:sz w:val="32"/>
          <w:szCs w:val="32"/>
        </w:rPr>
      </w:pPr>
    </w:p>
    <w:p>
      <w:pPr>
        <w:pStyle w:val="21"/>
        <w:jc w:val="center"/>
        <w:rPr>
          <w:rFonts w:ascii="宋体" w:hAnsi="等线" w:cs="Times New Roman"/>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ind w:left="2244" w:leftChars="304" w:hanging="1606" w:hangingChars="500"/>
        <w:rPr>
          <w:rFonts w:hint="eastAsia" w:ascii="宋体" w:hAnsi="宋体" w:eastAsia="宋体" w:cs="宋体"/>
          <w:b/>
          <w:kern w:val="0"/>
          <w:sz w:val="32"/>
          <w:szCs w:val="32"/>
          <w:lang w:eastAsia="zh-CN"/>
        </w:rPr>
      </w:pPr>
      <w:r>
        <w:rPr>
          <w:rFonts w:hint="eastAsia" w:ascii="宋体" w:hAnsi="等线"/>
          <w:b/>
          <w:bCs/>
          <w:kern w:val="0"/>
          <w:sz w:val="32"/>
          <w:szCs w:val="32"/>
        </w:rPr>
        <w:t>项目名称</w:t>
      </w:r>
      <w:r>
        <w:rPr>
          <w:rFonts w:hint="eastAsia" w:ascii="宋体" w:hAnsi="宋体" w:cs="宋体"/>
          <w:b/>
          <w:kern w:val="0"/>
          <w:sz w:val="32"/>
          <w:szCs w:val="32"/>
        </w:rPr>
        <w:t>：</w:t>
      </w:r>
      <w:r>
        <w:rPr>
          <w:rFonts w:hint="eastAsia" w:ascii="宋体" w:hAnsi="等线"/>
          <w:b/>
          <w:bCs/>
          <w:kern w:val="0"/>
          <w:sz w:val="32"/>
          <w:szCs w:val="32"/>
          <w:lang w:eastAsia="zh-CN"/>
        </w:rPr>
        <w:t>霍山县2024年林业有害生物监测项目</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lang w:val="en-US" w:eastAsia="zh-CN"/>
        </w:rPr>
      </w:pPr>
      <w:r>
        <w:rPr>
          <w:rFonts w:hint="eastAsia" w:ascii="宋体" w:hAnsi="等线"/>
          <w:b/>
          <w:bCs/>
          <w:kern w:val="0"/>
          <w:sz w:val="32"/>
          <w:szCs w:val="32"/>
        </w:rPr>
        <w:t>项目编号</w:t>
      </w:r>
      <w:r>
        <w:rPr>
          <w:rFonts w:hint="eastAsia" w:ascii="宋体" w:hAnsi="宋体" w:cs="宋体"/>
          <w:b/>
          <w:kern w:val="0"/>
          <w:sz w:val="32"/>
          <w:szCs w:val="32"/>
        </w:rPr>
        <w:t>：</w:t>
      </w:r>
      <w:r>
        <w:rPr>
          <w:rFonts w:hint="eastAsia" w:ascii="宋体" w:hAnsi="等线"/>
          <w:b/>
          <w:bCs/>
          <w:kern w:val="0"/>
          <w:sz w:val="32"/>
          <w:szCs w:val="32"/>
        </w:rPr>
        <w:t>DBSCG-202</w:t>
      </w:r>
      <w:r>
        <w:rPr>
          <w:rFonts w:hint="eastAsia" w:ascii="宋体" w:hAnsi="等线"/>
          <w:b/>
          <w:bCs/>
          <w:kern w:val="0"/>
          <w:sz w:val="32"/>
          <w:szCs w:val="32"/>
          <w:lang w:val="en-US" w:eastAsia="zh-CN"/>
        </w:rPr>
        <w:t>4</w:t>
      </w:r>
      <w:r>
        <w:rPr>
          <w:rFonts w:hint="eastAsia" w:ascii="宋体" w:hAnsi="等线"/>
          <w:b/>
          <w:bCs/>
          <w:kern w:val="0"/>
          <w:sz w:val="32"/>
          <w:szCs w:val="32"/>
        </w:rPr>
        <w:t>-</w:t>
      </w:r>
      <w:r>
        <w:rPr>
          <w:rFonts w:hint="eastAsia" w:ascii="宋体" w:hAnsi="等线"/>
          <w:b/>
          <w:bCs/>
          <w:kern w:val="0"/>
          <w:sz w:val="32"/>
          <w:szCs w:val="32"/>
          <w:lang w:val="en-US" w:eastAsia="zh-CN"/>
        </w:rPr>
        <w:t>018</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采购单位：霍山县林业局</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代理机构：安徽大别山工程咨询有限公司</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采购时间：202</w:t>
      </w:r>
      <w:r>
        <w:rPr>
          <w:rFonts w:hint="eastAsia" w:ascii="宋体" w:hAnsi="宋体" w:cs="宋体"/>
          <w:b/>
          <w:kern w:val="0"/>
          <w:sz w:val="32"/>
          <w:szCs w:val="32"/>
          <w:lang w:val="en-US" w:eastAsia="zh-CN"/>
        </w:rPr>
        <w:t>4</w:t>
      </w:r>
      <w:r>
        <w:rPr>
          <w:rFonts w:hint="eastAsia" w:ascii="宋体" w:hAnsi="宋体" w:cs="宋体"/>
          <w:b/>
          <w:kern w:val="0"/>
          <w:sz w:val="32"/>
          <w:szCs w:val="32"/>
        </w:rPr>
        <w:t>年</w:t>
      </w:r>
      <w:r>
        <w:rPr>
          <w:rFonts w:hint="eastAsia" w:ascii="宋体" w:hAnsi="宋体" w:cs="宋体"/>
          <w:b/>
          <w:kern w:val="0"/>
          <w:sz w:val="32"/>
          <w:szCs w:val="32"/>
          <w:lang w:val="en-US" w:eastAsia="zh-CN"/>
        </w:rPr>
        <w:t>2</w:t>
      </w:r>
      <w:r>
        <w:rPr>
          <w:rFonts w:hint="eastAsia" w:ascii="宋体" w:hAnsi="宋体" w:cs="宋体"/>
          <w:b/>
          <w:kern w:val="0"/>
          <w:sz w:val="32"/>
          <w:szCs w:val="32"/>
        </w:rPr>
        <w:t>月</w:t>
      </w:r>
    </w:p>
    <w:p>
      <w:pPr>
        <w:jc w:val="center"/>
        <w:rPr>
          <w:rFonts w:ascii="宋体" w:hAnsi="宋体" w:cs="宋体"/>
          <w:sz w:val="28"/>
          <w:szCs w:val="28"/>
        </w:rPr>
      </w:pPr>
      <w:bookmarkStart w:id="0" w:name="_Toc11428_WPSOffice_Type1"/>
      <w:bookmarkStart w:id="1" w:name="_Toc363199264"/>
      <w:bookmarkStart w:id="2" w:name="_Toc216158623"/>
    </w:p>
    <w:p>
      <w:pPr>
        <w:adjustRightInd w:val="0"/>
        <w:snapToGrid w:val="0"/>
        <w:spacing w:after="312" w:afterLines="100" w:line="400" w:lineRule="exact"/>
        <w:jc w:val="center"/>
        <w:rPr>
          <w:rFonts w:ascii="宋体" w:hAnsi="宋体" w:cs="宋体"/>
          <w:b/>
          <w:bCs/>
          <w:color w:val="000000"/>
          <w:sz w:val="36"/>
          <w:szCs w:val="36"/>
        </w:rPr>
      </w:pPr>
    </w:p>
    <w:p>
      <w:pPr>
        <w:adjustRightInd w:val="0"/>
        <w:snapToGrid w:val="0"/>
        <w:spacing w:after="312" w:afterLines="100" w:line="400" w:lineRule="exact"/>
        <w:jc w:val="center"/>
        <w:rPr>
          <w:rFonts w:ascii="宋体" w:hAnsi="宋体" w:cs="宋体"/>
          <w:b/>
          <w:bCs/>
          <w:color w:val="000000"/>
          <w:sz w:val="36"/>
          <w:szCs w:val="36"/>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pPr>
        <w:adjustRightInd w:val="0"/>
        <w:snapToGrid w:val="0"/>
        <w:spacing w:after="312" w:afterLines="100" w:line="400" w:lineRule="exact"/>
        <w:jc w:val="center"/>
        <w:rPr>
          <w:rFonts w:ascii="宋体" w:hAnsi="宋体" w:cs="宋体"/>
          <w:color w:val="000000"/>
          <w:sz w:val="24"/>
          <w:szCs w:val="24"/>
        </w:rPr>
      </w:pPr>
      <w:r>
        <w:rPr>
          <w:rFonts w:hint="eastAsia" w:ascii="宋体" w:hAnsi="宋体" w:cs="宋体"/>
          <w:b/>
          <w:bCs/>
          <w:color w:val="000000"/>
          <w:sz w:val="36"/>
          <w:szCs w:val="36"/>
        </w:rPr>
        <w:t>安徽大别山工程咨询有限公司善意提醒</w:t>
      </w:r>
    </w:p>
    <w:p>
      <w:pPr>
        <w:pStyle w:val="54"/>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4"/>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二、请投标人慎重作出投标报价，防止因报价超过控制价（采购预算价）而造成无效标。</w:t>
      </w:r>
    </w:p>
    <w:p>
      <w:pPr>
        <w:pStyle w:val="54"/>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4"/>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四、本项目将严格按照询价文件、合同等要求进行验收，决不允许出现降低质量标准及要求、拖延服务等违约行为，否则将按照合同有关条款及有关法律法规规定追究责任。</w:t>
      </w:r>
    </w:p>
    <w:p>
      <w:pPr>
        <w:pStyle w:val="54"/>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五、询价保证金(若有)应尽量提前汇入安徽大别山工程咨询有限公司指定账户，以保证开标前款能到达账户，否则将影响投标。</w:t>
      </w:r>
    </w:p>
    <w:p>
      <w:pPr>
        <w:pStyle w:val="54"/>
        <w:tabs>
          <w:tab w:val="left" w:pos="3472"/>
          <w:tab w:val="left" w:pos="5940"/>
        </w:tabs>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4"/>
        <w:tabs>
          <w:tab w:val="left" w:pos="3472"/>
          <w:tab w:val="left" w:pos="5940"/>
        </w:tabs>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七、请投标人关注</w:t>
      </w:r>
      <w:r>
        <w:rPr>
          <w:rFonts w:hint="eastAsia" w:ascii="宋体" w:hAnsi="宋体" w:cs="宋体"/>
          <w:color w:val="000000"/>
          <w:szCs w:val="21"/>
          <w:lang w:eastAsia="zh-CN"/>
        </w:rPr>
        <w:t>安徽</w:t>
      </w:r>
      <w:r>
        <w:rPr>
          <w:rFonts w:hint="eastAsia" w:ascii="宋体" w:hAnsi="宋体" w:cs="宋体"/>
          <w:color w:val="000000"/>
          <w:szCs w:val="21"/>
          <w:lang w:val="en-US" w:eastAsia="zh-CN"/>
        </w:rPr>
        <w:t>霍山</w:t>
      </w:r>
      <w:r>
        <w:rPr>
          <w:rFonts w:hint="eastAsia" w:ascii="宋体" w:hAnsi="宋体" w:cs="宋体"/>
          <w:color w:val="000000"/>
          <w:szCs w:val="21"/>
          <w:lang w:eastAsia="zh-CN"/>
        </w:rPr>
        <w:t>国有资产投资(控股)集团有限公司</w:t>
      </w:r>
      <w:r>
        <w:rPr>
          <w:rFonts w:hint="eastAsia" w:ascii="宋体" w:hAnsi="宋体" w:cs="宋体"/>
          <w:color w:val="000000"/>
          <w:szCs w:val="21"/>
        </w:rPr>
        <w:t>网站（www.ahdmig.cn）。</w:t>
      </w:r>
    </w:p>
    <w:p>
      <w:pPr>
        <w:autoSpaceDE w:val="0"/>
        <w:autoSpaceDN w:val="0"/>
        <w:adjustRightInd w:val="0"/>
        <w:snapToGrid w:val="0"/>
        <w:spacing w:line="480" w:lineRule="exact"/>
        <w:ind w:firstLine="413" w:firstLineChars="196"/>
        <w:jc w:val="left"/>
        <w:rPr>
          <w:rFonts w:ascii="宋体" w:hAnsi="宋体" w:cs="宋体"/>
          <w:b/>
          <w:color w:val="000000"/>
        </w:rPr>
      </w:pPr>
      <w:r>
        <w:rPr>
          <w:rFonts w:hint="eastAsia" w:ascii="宋体" w:hAnsi="宋体" w:cs="宋体"/>
          <w:b/>
          <w:color w:val="000000"/>
        </w:rPr>
        <w:t>八、成交单位在领取成交通知书后，凭成交通知书与采购人签订合同。采购人应当自合同签订之日起2个工作日内，依据《中华人民共和国政府采购法实施条例》第五十条予以公示。成交单位的询价保证金(若有)凭其与采购人签订的合同全额退至其账户，其他单位的询价保证金(若有)在确定成交单位后5个工作日内退至其账户。</w:t>
      </w:r>
    </w:p>
    <w:p>
      <w:pPr>
        <w:pStyle w:val="54"/>
        <w:tabs>
          <w:tab w:val="left" w:pos="3472"/>
          <w:tab w:val="left" w:pos="5940"/>
        </w:tabs>
        <w:adjustRightInd w:val="0"/>
        <w:snapToGrid w:val="0"/>
        <w:spacing w:line="480" w:lineRule="exact"/>
        <w:ind w:firstLine="422" w:firstLineChars="200"/>
        <w:jc w:val="left"/>
        <w:rPr>
          <w:rFonts w:ascii="宋体" w:hAnsi="宋体" w:cs="宋体"/>
          <w:b/>
          <w:bCs/>
          <w:color w:val="000000"/>
          <w:szCs w:val="21"/>
        </w:rPr>
      </w:pPr>
      <w:r>
        <w:rPr>
          <w:rFonts w:hint="eastAsia" w:ascii="宋体" w:hAnsi="宋体" w:cs="宋体"/>
          <w:b/>
          <w:bCs/>
          <w:color w:val="000000"/>
          <w:szCs w:val="21"/>
        </w:rPr>
        <w:t>九、本询价文件最终解释权归采购人和安徽大别山工程咨询有限公司。</w:t>
      </w: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pStyle w:val="7"/>
      </w:pPr>
    </w:p>
    <w:p>
      <w:pPr>
        <w:jc w:val="center"/>
        <w:rPr>
          <w:rFonts w:ascii="宋体" w:hAnsi="宋体" w:cs="宋体"/>
          <w:sz w:val="28"/>
          <w:szCs w:val="28"/>
        </w:rPr>
      </w:pPr>
      <w:r>
        <w:rPr>
          <w:rFonts w:hint="eastAsia" w:ascii="宋体" w:hAnsi="宋体" w:cs="宋体"/>
          <w:sz w:val="28"/>
          <w:szCs w:val="28"/>
        </w:rPr>
        <w:t>目    录</w:t>
      </w:r>
    </w:p>
    <w:p>
      <w:pPr>
        <w:pStyle w:val="43"/>
        <w:tabs>
          <w:tab w:val="right" w:leader="dot" w:pos="9040"/>
        </w:tabs>
        <w:rPr>
          <w:rFonts w:ascii="宋体" w:hAnsi="宋体" w:cs="宋体"/>
          <w:sz w:val="28"/>
          <w:szCs w:val="28"/>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_Toc14824_WPSOffice_Level1 </w:instrText>
      </w:r>
      <w:r>
        <w:rPr>
          <w:rFonts w:hint="eastAsia" w:ascii="宋体" w:hAnsi="宋体" w:cs="宋体"/>
          <w:sz w:val="28"/>
          <w:szCs w:val="28"/>
        </w:rPr>
        <w:fldChar w:fldCharType="separate"/>
      </w:r>
      <w:r>
        <w:rPr>
          <w:rFonts w:hint="eastAsia" w:ascii="宋体" w:hAnsi="宋体" w:cs="宋体"/>
          <w:sz w:val="28"/>
          <w:szCs w:val="28"/>
        </w:rPr>
        <w:t>一章、询价公告</w:t>
      </w:r>
      <w:r>
        <w:rPr>
          <w:rFonts w:hint="eastAsia" w:ascii="宋体" w:hAnsi="宋体" w:cs="宋体"/>
          <w:sz w:val="28"/>
          <w:szCs w:val="28"/>
        </w:rPr>
        <w:tab/>
      </w:r>
      <w:bookmarkStart w:id="3" w:name="_Toc14824_WPSOffice_Level1Page"/>
      <w:r>
        <w:rPr>
          <w:rFonts w:hint="eastAsia" w:ascii="宋体" w:hAnsi="宋体" w:cs="宋体"/>
          <w:sz w:val="28"/>
          <w:szCs w:val="28"/>
        </w:rPr>
        <w:t>3</w:t>
      </w:r>
      <w:bookmarkEnd w:id="3"/>
      <w:r>
        <w:rPr>
          <w:rFonts w:hint="eastAsia" w:ascii="宋体" w:hAnsi="宋体" w:cs="宋体"/>
          <w:sz w:val="28"/>
          <w:szCs w:val="28"/>
        </w:rPr>
        <w:fldChar w:fldCharType="end"/>
      </w:r>
    </w:p>
    <w:p>
      <w:pPr>
        <w:pStyle w:val="43"/>
        <w:tabs>
          <w:tab w:val="right" w:leader="dot" w:pos="9040"/>
        </w:tabs>
        <w:rPr>
          <w:rFonts w:ascii="宋体" w:hAnsi="宋体" w:cs="宋体"/>
          <w:sz w:val="28"/>
          <w:szCs w:val="28"/>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_Toc25245_WPSOffice_Level1 </w:instrText>
      </w:r>
      <w:r>
        <w:rPr>
          <w:rFonts w:hint="eastAsia" w:ascii="宋体" w:hAnsi="宋体" w:cs="宋体"/>
          <w:sz w:val="28"/>
          <w:szCs w:val="28"/>
        </w:rPr>
        <w:fldChar w:fldCharType="separate"/>
      </w:r>
      <w:r>
        <w:rPr>
          <w:rFonts w:hint="eastAsia" w:ascii="宋体" w:hAnsi="宋体" w:cs="宋体"/>
          <w:sz w:val="28"/>
          <w:szCs w:val="28"/>
        </w:rPr>
        <w:t>二章、报价响应须知</w:t>
      </w:r>
      <w:r>
        <w:rPr>
          <w:rFonts w:hint="eastAsia" w:ascii="宋体" w:hAnsi="宋体" w:cs="宋体"/>
          <w:sz w:val="28"/>
          <w:szCs w:val="28"/>
        </w:rPr>
        <w:tab/>
      </w:r>
      <w:r>
        <w:rPr>
          <w:rFonts w:hint="eastAsia" w:ascii="宋体" w:hAnsi="宋体" w:cs="宋体"/>
          <w:sz w:val="28"/>
          <w:szCs w:val="28"/>
        </w:rPr>
        <w:t>5</w:t>
      </w:r>
      <w:r>
        <w:rPr>
          <w:rFonts w:hint="eastAsia" w:ascii="宋体" w:hAnsi="宋体" w:cs="宋体"/>
          <w:sz w:val="28"/>
          <w:szCs w:val="28"/>
        </w:rPr>
        <w:fldChar w:fldCharType="end"/>
      </w:r>
    </w:p>
    <w:p>
      <w:pPr>
        <w:pStyle w:val="43"/>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第三章</w:t>
      </w:r>
      <w:r>
        <w:rPr>
          <w:rFonts w:hint="eastAsia" w:ascii="宋体" w:hAnsi="宋体" w:cs="宋体"/>
          <w:sz w:val="28"/>
          <w:szCs w:val="28"/>
        </w:rPr>
        <w:fldChar w:fldCharType="begin"/>
      </w:r>
      <w:r>
        <w:rPr>
          <w:rFonts w:hint="eastAsia" w:ascii="宋体" w:hAnsi="宋体" w:cs="宋体"/>
          <w:sz w:val="28"/>
          <w:szCs w:val="28"/>
        </w:rPr>
        <w:instrText xml:space="preserve"> HYPERLINK \l _Toc8300_WPSOffice_Level1 </w:instrText>
      </w:r>
      <w:r>
        <w:rPr>
          <w:rFonts w:hint="eastAsia" w:ascii="宋体" w:hAnsi="宋体" w:cs="宋体"/>
          <w:sz w:val="28"/>
          <w:szCs w:val="28"/>
        </w:rPr>
        <w:fldChar w:fldCharType="separate"/>
      </w:r>
      <w:r>
        <w:rPr>
          <w:rFonts w:hint="eastAsia" w:ascii="宋体" w:hAnsi="宋体" w:cs="宋体"/>
          <w:sz w:val="28"/>
          <w:szCs w:val="28"/>
        </w:rPr>
        <w:t>、采购合同</w:t>
      </w:r>
      <w:r>
        <w:rPr>
          <w:rFonts w:hint="eastAsia" w:ascii="宋体" w:hAnsi="宋体" w:cs="宋体"/>
          <w:sz w:val="28"/>
          <w:szCs w:val="28"/>
        </w:rPr>
        <w:tab/>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val="en-US" w:eastAsia="zh-CN"/>
        </w:rPr>
        <w:t>1</w:t>
      </w:r>
    </w:p>
    <w:p>
      <w:pPr>
        <w:pStyle w:val="43"/>
        <w:tabs>
          <w:tab w:val="right" w:leader="dot" w:pos="9040"/>
        </w:tabs>
        <w:rPr>
          <w:rFonts w:hint="eastAsia" w:ascii="宋体" w:hAnsi="宋体" w:eastAsia="宋体" w:cs="宋体"/>
          <w:sz w:val="28"/>
          <w:szCs w:val="28"/>
          <w:lang w:val="en-US" w:eastAsia="zh-CN"/>
        </w:rPr>
      </w:pPr>
      <w:r>
        <w:rPr>
          <w:rFonts w:hint="eastAsia" w:ascii="宋体" w:hAnsi="宋体" w:cs="宋体"/>
          <w:sz w:val="28"/>
          <w:szCs w:val="28"/>
        </w:rPr>
        <w:t>第四章</w:t>
      </w:r>
      <w:r>
        <w:rPr>
          <w:rFonts w:hint="eastAsia" w:ascii="宋体" w:hAnsi="宋体" w:cs="宋体"/>
          <w:sz w:val="28"/>
          <w:szCs w:val="28"/>
        </w:rPr>
        <w:fldChar w:fldCharType="begin"/>
      </w:r>
      <w:r>
        <w:rPr>
          <w:rFonts w:hint="eastAsia" w:ascii="宋体" w:hAnsi="宋体" w:cs="宋体"/>
          <w:sz w:val="28"/>
          <w:szCs w:val="28"/>
        </w:rPr>
        <w:instrText xml:space="preserve"> HYPERLINK \l _Toc16484_WPSOffice_Level1 </w:instrText>
      </w:r>
      <w:r>
        <w:rPr>
          <w:rFonts w:hint="eastAsia" w:ascii="宋体" w:hAnsi="宋体" w:cs="宋体"/>
          <w:sz w:val="28"/>
          <w:szCs w:val="28"/>
        </w:rPr>
        <w:fldChar w:fldCharType="separate"/>
      </w:r>
      <w:r>
        <w:rPr>
          <w:rFonts w:hint="eastAsia" w:ascii="宋体" w:hAnsi="宋体" w:cs="宋体"/>
          <w:sz w:val="28"/>
          <w:szCs w:val="28"/>
        </w:rPr>
        <w:t>、采购需求</w:t>
      </w:r>
      <w:r>
        <w:rPr>
          <w:rFonts w:hint="eastAsia" w:ascii="宋体" w:hAnsi="宋体" w:cs="宋体"/>
          <w:sz w:val="28"/>
          <w:szCs w:val="28"/>
        </w:rPr>
        <w:tab/>
      </w:r>
      <w:bookmarkStart w:id="4" w:name="_Toc16484_WPSOffice_Level1Page"/>
      <w:r>
        <w:rPr>
          <w:rFonts w:hint="eastAsia" w:ascii="宋体" w:hAnsi="宋体" w:cs="宋体"/>
          <w:sz w:val="28"/>
          <w:szCs w:val="28"/>
        </w:rPr>
        <w:t>1</w:t>
      </w:r>
      <w:bookmarkEnd w:id="4"/>
      <w:r>
        <w:rPr>
          <w:rFonts w:hint="eastAsia" w:ascii="宋体" w:hAnsi="宋体" w:cs="宋体"/>
          <w:sz w:val="28"/>
          <w:szCs w:val="28"/>
        </w:rPr>
        <w:fldChar w:fldCharType="end"/>
      </w:r>
      <w:r>
        <w:rPr>
          <w:rFonts w:hint="eastAsia" w:ascii="宋体" w:hAnsi="宋体" w:cs="宋体"/>
          <w:sz w:val="28"/>
          <w:szCs w:val="28"/>
          <w:lang w:val="en-US" w:eastAsia="zh-CN"/>
        </w:rPr>
        <w:t>2</w:t>
      </w:r>
    </w:p>
    <w:p>
      <w:pPr>
        <w:pStyle w:val="43"/>
        <w:tabs>
          <w:tab w:val="right" w:leader="dot" w:pos="9040"/>
        </w:tabs>
        <w:rPr>
          <w:rFonts w:hint="eastAsia" w:eastAsia="宋体"/>
          <w:lang w:val="en-US" w:eastAsia="zh-CN"/>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_Toc4288_WPSOffice_Level1 </w:instrText>
      </w:r>
      <w:r>
        <w:rPr>
          <w:rFonts w:hint="eastAsia" w:ascii="宋体" w:hAnsi="宋体" w:cs="宋体"/>
          <w:sz w:val="28"/>
          <w:szCs w:val="28"/>
        </w:rPr>
        <w:fldChar w:fldCharType="separate"/>
      </w:r>
      <w:r>
        <w:rPr>
          <w:rFonts w:hint="eastAsia" w:ascii="宋体" w:hAnsi="宋体" w:cs="宋体"/>
          <w:sz w:val="28"/>
          <w:szCs w:val="28"/>
        </w:rPr>
        <w:t>五章、响应文件格式</w:t>
      </w:r>
      <w:r>
        <w:rPr>
          <w:rFonts w:hint="eastAsia" w:ascii="宋体" w:hAnsi="宋体" w:cs="宋体"/>
          <w:sz w:val="28"/>
          <w:szCs w:val="28"/>
        </w:rPr>
        <w:tab/>
      </w:r>
      <w:bookmarkStart w:id="5" w:name="_Toc4288_WPSOffice_Level1Page"/>
      <w:r>
        <w:rPr>
          <w:rFonts w:hint="eastAsia" w:ascii="宋体" w:hAnsi="宋体" w:cs="宋体"/>
          <w:sz w:val="28"/>
          <w:szCs w:val="28"/>
        </w:rPr>
        <w:t>1</w:t>
      </w:r>
      <w:bookmarkEnd w:id="5"/>
      <w:r>
        <w:rPr>
          <w:rFonts w:hint="eastAsia" w:ascii="宋体" w:hAnsi="宋体" w:cs="宋体"/>
          <w:sz w:val="28"/>
          <w:szCs w:val="28"/>
        </w:rPr>
        <w:fldChar w:fldCharType="end"/>
      </w:r>
      <w:r>
        <w:rPr>
          <w:rFonts w:hint="eastAsia" w:ascii="宋体" w:hAnsi="宋体" w:cs="宋体"/>
          <w:sz w:val="28"/>
          <w:szCs w:val="28"/>
          <w:lang w:val="en-US" w:eastAsia="zh-CN"/>
        </w:rPr>
        <w:t>5</w:t>
      </w:r>
    </w:p>
    <w:bookmarkEnd w:id="0"/>
    <w:p>
      <w:pPr>
        <w:tabs>
          <w:tab w:val="left" w:pos="420"/>
        </w:tabs>
        <w:adjustRightInd w:val="0"/>
        <w:snapToGrid w:val="0"/>
        <w:spacing w:line="560" w:lineRule="exact"/>
        <w:ind w:left="398"/>
        <w:jc w:val="center"/>
        <w:rPr>
          <w:rFonts w:ascii="宋体" w:hAnsi="宋体" w:cs="宋体"/>
          <w:sz w:val="24"/>
          <w:szCs w:val="24"/>
          <w:shd w:val="clear" w:color="auto" w:fill="FFFFFF"/>
        </w:rPr>
      </w:pPr>
      <w:r>
        <w:rPr>
          <w:rFonts w:ascii="微软雅黑" w:hAnsi="微软雅黑" w:eastAsia="微软雅黑" w:cs="微软雅黑"/>
          <w:b/>
          <w:sz w:val="37"/>
          <w:szCs w:val="37"/>
          <w:shd w:val="clear" w:color="auto" w:fill="FFFFFF"/>
        </w:rPr>
        <w:br w:type="page"/>
      </w:r>
      <w:bookmarkStart w:id="6" w:name="_Toc14824_WPSOffice_Level1"/>
      <w:r>
        <w:rPr>
          <w:rFonts w:hint="eastAsia" w:ascii="宋体" w:hAnsi="宋体" w:cs="宋体"/>
          <w:b/>
          <w:bCs/>
          <w:kern w:val="0"/>
          <w:sz w:val="30"/>
          <w:szCs w:val="30"/>
        </w:rPr>
        <w:t>第一章</w:t>
      </w:r>
      <w:r>
        <w:rPr>
          <w:rFonts w:hint="eastAsia" w:ascii="宋体" w:hAnsi="宋体" w:cs="宋体"/>
          <w:b/>
          <w:bCs/>
          <w:kern w:val="0"/>
          <w:sz w:val="30"/>
          <w:szCs w:val="30"/>
          <w:lang w:val="en-US" w:eastAsia="zh-CN"/>
        </w:rPr>
        <w:t xml:space="preserve"> </w:t>
      </w:r>
      <w:r>
        <w:rPr>
          <w:rFonts w:hint="eastAsia" w:ascii="宋体" w:hAnsi="宋体" w:cs="宋体"/>
          <w:b/>
          <w:bCs/>
          <w:kern w:val="0"/>
          <w:sz w:val="30"/>
          <w:szCs w:val="30"/>
        </w:rPr>
        <w:t xml:space="preserve"> 询价公告</w:t>
      </w:r>
      <w:bookmarkEnd w:id="6"/>
    </w:p>
    <w:p>
      <w:pPr>
        <w:pStyle w:val="19"/>
        <w:widowControl/>
        <w:shd w:val="clear" w:color="auto" w:fill="FFFFFF"/>
        <w:spacing w:before="0" w:beforeAutospacing="0" w:after="0" w:afterAutospacing="0" w:line="360" w:lineRule="auto"/>
        <w:ind w:firstLine="420"/>
        <w:rPr>
          <w:rFonts w:ascii="宋体" w:hAnsi="宋体" w:cs="宋体"/>
          <w:sz w:val="21"/>
          <w:szCs w:val="21"/>
          <w:shd w:val="clear" w:color="auto" w:fill="FFFFFF"/>
        </w:rPr>
      </w:pPr>
      <w:r>
        <w:rPr>
          <w:rFonts w:hint="eastAsia" w:ascii="宋体" w:hAnsi="宋体" w:cs="宋体"/>
          <w:kern w:val="2"/>
          <w:sz w:val="21"/>
          <w:szCs w:val="21"/>
          <w:u w:val="single"/>
        </w:rPr>
        <w:t>安徽大别山工程咨询有限公司</w:t>
      </w:r>
      <w:r>
        <w:rPr>
          <w:rFonts w:hint="eastAsia" w:ascii="宋体" w:hAnsi="宋体" w:cs="宋体"/>
          <w:kern w:val="2"/>
          <w:sz w:val="21"/>
          <w:szCs w:val="21"/>
        </w:rPr>
        <w:t>受</w:t>
      </w:r>
      <w:r>
        <w:rPr>
          <w:rFonts w:hint="eastAsia" w:ascii="宋体" w:hAnsi="宋体" w:cs="宋体"/>
          <w:kern w:val="2"/>
          <w:sz w:val="21"/>
          <w:szCs w:val="21"/>
          <w:u w:val="single"/>
        </w:rPr>
        <w:t>霍山县林业局</w:t>
      </w:r>
      <w:r>
        <w:rPr>
          <w:rFonts w:hint="eastAsia" w:ascii="宋体" w:hAnsi="宋体" w:cs="宋体"/>
          <w:kern w:val="2"/>
          <w:sz w:val="21"/>
          <w:szCs w:val="21"/>
        </w:rPr>
        <w:t>委托，代理</w:t>
      </w:r>
      <w:r>
        <w:rPr>
          <w:rFonts w:hint="eastAsia" w:ascii="宋体" w:hAnsi="宋体" w:cs="宋体"/>
          <w:kern w:val="2"/>
          <w:sz w:val="21"/>
          <w:szCs w:val="21"/>
          <w:u w:val="single"/>
        </w:rPr>
        <w:t xml:space="preserve"> </w:t>
      </w:r>
      <w:r>
        <w:rPr>
          <w:rFonts w:hint="eastAsia" w:ascii="宋体" w:hAnsi="宋体" w:cs="宋体"/>
          <w:kern w:val="2"/>
          <w:sz w:val="21"/>
          <w:szCs w:val="21"/>
          <w:u w:val="single"/>
          <w:lang w:eastAsia="zh-CN"/>
        </w:rPr>
        <w:t>霍山县2024年林业有害生物监测项目</w:t>
      </w:r>
      <w:r>
        <w:rPr>
          <w:rFonts w:hint="eastAsia" w:ascii="宋体" w:hAnsi="宋体" w:cs="宋体"/>
          <w:kern w:val="2"/>
          <w:sz w:val="21"/>
          <w:szCs w:val="21"/>
          <w:u w:val="single"/>
        </w:rPr>
        <w:t xml:space="preserve"> </w:t>
      </w:r>
      <w:r>
        <w:rPr>
          <w:rFonts w:hint="eastAsia" w:ascii="宋体" w:hAnsi="宋体" w:cs="宋体"/>
          <w:kern w:val="2"/>
          <w:sz w:val="21"/>
          <w:szCs w:val="21"/>
        </w:rPr>
        <w:t>，根据《安徽省政府集中采购目录及标准(2024年版)》的通知，本项目为限额以下采购项目，现采用</w:t>
      </w:r>
      <w:r>
        <w:rPr>
          <w:rFonts w:hint="eastAsia" w:ascii="宋体" w:hAnsi="宋体" w:cs="宋体"/>
          <w:kern w:val="2"/>
          <w:sz w:val="21"/>
          <w:szCs w:val="21"/>
          <w:u w:val="single"/>
        </w:rPr>
        <w:t>询价</w:t>
      </w:r>
      <w:r>
        <w:rPr>
          <w:rFonts w:hint="eastAsia" w:ascii="宋体" w:hAnsi="宋体" w:cs="宋体"/>
          <w:kern w:val="2"/>
          <w:sz w:val="21"/>
          <w:szCs w:val="21"/>
        </w:rPr>
        <w:t>方式采购，欢迎符合条件的国内的供应商参加。</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一、采购项目名称及内容</w:t>
      </w:r>
    </w:p>
    <w:p>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shd w:val="clear" w:color="auto" w:fill="FFFFFF"/>
          <w:lang w:eastAsia="zh-CN"/>
        </w:rPr>
      </w:pPr>
      <w:r>
        <w:rPr>
          <w:rFonts w:hint="eastAsia" w:ascii="宋体" w:hAnsi="宋体" w:cs="宋体"/>
          <w:sz w:val="21"/>
          <w:szCs w:val="21"/>
          <w:shd w:val="clear" w:color="auto" w:fill="FFFFFF"/>
        </w:rPr>
        <w:t>1、项目名称：</w:t>
      </w:r>
      <w:r>
        <w:rPr>
          <w:rFonts w:hint="eastAsia" w:ascii="宋体" w:hAnsi="宋体" w:cs="宋体"/>
          <w:sz w:val="21"/>
          <w:szCs w:val="21"/>
          <w:shd w:val="clear" w:color="auto" w:fill="FFFFFF"/>
          <w:lang w:eastAsia="zh-CN"/>
        </w:rPr>
        <w:t>霍山县2024年林业有害生物监测项目</w:t>
      </w:r>
    </w:p>
    <w:p>
      <w:pPr>
        <w:pStyle w:val="19"/>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shd w:val="clear" w:color="auto" w:fill="FFFFFF"/>
          <w:lang w:val="en-US" w:eastAsia="zh-CN"/>
        </w:rPr>
      </w:pPr>
      <w:r>
        <w:rPr>
          <w:rFonts w:hint="eastAsia" w:ascii="宋体" w:hAnsi="宋体" w:cs="宋体"/>
          <w:sz w:val="21"/>
          <w:szCs w:val="21"/>
          <w:shd w:val="clear" w:color="auto" w:fill="FFFFFF"/>
        </w:rPr>
        <w:t>2、项目编号：DBSCG-202</w:t>
      </w:r>
      <w:r>
        <w:rPr>
          <w:rFonts w:hint="eastAsia" w:ascii="宋体" w:hAnsi="宋体" w:cs="宋体"/>
          <w:sz w:val="21"/>
          <w:szCs w:val="21"/>
          <w:shd w:val="clear" w:color="auto" w:fill="FFFFFF"/>
          <w:lang w:val="en-US" w:eastAsia="zh-CN"/>
        </w:rPr>
        <w:t>4</w:t>
      </w:r>
      <w:r>
        <w:rPr>
          <w:rFonts w:hint="eastAsia" w:ascii="宋体" w:hAnsi="宋体" w:cs="宋体"/>
          <w:sz w:val="21"/>
          <w:szCs w:val="21"/>
          <w:shd w:val="clear" w:color="auto" w:fill="FFFFFF"/>
        </w:rPr>
        <w:t>-</w:t>
      </w:r>
      <w:r>
        <w:rPr>
          <w:rFonts w:hint="eastAsia" w:ascii="宋体" w:hAnsi="宋体" w:cs="宋体"/>
          <w:sz w:val="21"/>
          <w:szCs w:val="21"/>
          <w:shd w:val="clear" w:color="auto" w:fill="FFFFFF"/>
          <w:lang w:val="en-US" w:eastAsia="zh-CN"/>
        </w:rPr>
        <w:t>018</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3、项目类型：</w:t>
      </w:r>
      <w:r>
        <w:rPr>
          <w:rFonts w:hint="eastAsia" w:ascii="宋体" w:hAnsi="宋体" w:cs="宋体"/>
          <w:sz w:val="21"/>
          <w:szCs w:val="21"/>
          <w:shd w:val="clear" w:color="auto" w:fill="FFFFFF"/>
          <w:lang w:val="en-US" w:eastAsia="zh-CN"/>
        </w:rPr>
        <w:t>服务</w:t>
      </w:r>
      <w:r>
        <w:rPr>
          <w:rFonts w:hint="eastAsia" w:ascii="宋体" w:hAnsi="宋体" w:cs="宋体"/>
          <w:sz w:val="21"/>
          <w:szCs w:val="21"/>
          <w:shd w:val="clear" w:color="auto" w:fill="FFFFFF"/>
        </w:rPr>
        <w:t>类</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4、采购单位：霍山县林业局</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5、资金来源：财政资金</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6、项目预算：</w:t>
      </w:r>
      <w:r>
        <w:rPr>
          <w:rFonts w:hint="eastAsia" w:ascii="宋体" w:hAnsi="宋体" w:cs="宋体"/>
          <w:sz w:val="21"/>
          <w:szCs w:val="21"/>
          <w:shd w:val="clear" w:color="auto" w:fill="FFFFFF"/>
          <w:lang w:val="en-US" w:eastAsia="zh-CN"/>
        </w:rPr>
        <w:t>160000.00</w:t>
      </w:r>
      <w:r>
        <w:rPr>
          <w:rFonts w:hint="eastAsia" w:ascii="宋体" w:hAnsi="宋体" w:cs="宋体"/>
          <w:sz w:val="21"/>
          <w:szCs w:val="21"/>
          <w:shd w:val="clear" w:color="auto" w:fill="FFFFFF"/>
        </w:rPr>
        <w:t>元</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7、项目最高限价：160000.00元</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8、项目</w:t>
      </w:r>
      <w:r>
        <w:rPr>
          <w:rFonts w:hint="eastAsia" w:ascii="宋体" w:hAnsi="宋体"/>
          <w:color w:val="000000"/>
          <w:sz w:val="21"/>
          <w:szCs w:val="21"/>
        </w:rPr>
        <w:t>服务期：</w:t>
      </w:r>
      <w:r>
        <w:rPr>
          <w:rFonts w:hint="eastAsia" w:ascii="宋体" w:hAnsi="宋体"/>
          <w:sz w:val="21"/>
          <w:szCs w:val="21"/>
        </w:rPr>
        <w:t>2024年2月</w:t>
      </w:r>
      <w:r>
        <w:rPr>
          <w:rFonts w:hint="eastAsia" w:ascii="宋体" w:hAnsi="宋体"/>
          <w:sz w:val="21"/>
          <w:szCs w:val="21"/>
          <w:lang w:val="en-US" w:eastAsia="zh-CN"/>
        </w:rPr>
        <w:t>至</w:t>
      </w:r>
      <w:r>
        <w:rPr>
          <w:rFonts w:hint="eastAsia" w:ascii="宋体" w:hAnsi="宋体"/>
          <w:sz w:val="21"/>
          <w:szCs w:val="21"/>
        </w:rPr>
        <w:t>11月</w:t>
      </w:r>
    </w:p>
    <w:p>
      <w:pPr>
        <w:pStyle w:val="19"/>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lang w:eastAsia="zh-CN"/>
        </w:rPr>
      </w:pPr>
      <w:r>
        <w:rPr>
          <w:rFonts w:hint="eastAsia" w:ascii="宋体" w:hAnsi="宋体"/>
          <w:color w:val="000000"/>
          <w:sz w:val="21"/>
          <w:szCs w:val="21"/>
        </w:rPr>
        <w:t>9、项目概况：霍山县2024年主要林业有害生物监测数据收集服务，进行松科、毛竹、油茶病虫害监测，美国白蛾监测预警。</w:t>
      </w:r>
      <w:r>
        <w:rPr>
          <w:rFonts w:hint="eastAsia" w:ascii="宋体" w:hAnsi="宋体"/>
          <w:color w:val="000000"/>
          <w:sz w:val="21"/>
          <w:szCs w:val="21"/>
          <w:lang w:eastAsia="zh-CN"/>
        </w:rPr>
        <w:t>（</w:t>
      </w:r>
      <w:r>
        <w:rPr>
          <w:rFonts w:hint="eastAsia" w:ascii="宋体" w:hAnsi="宋体"/>
          <w:color w:val="000000"/>
          <w:sz w:val="21"/>
          <w:szCs w:val="21"/>
          <w:lang w:val="en-US" w:eastAsia="zh-CN"/>
        </w:rPr>
        <w:t>详见采购需求</w:t>
      </w:r>
      <w:r>
        <w:rPr>
          <w:rFonts w:hint="eastAsia" w:ascii="宋体" w:hAnsi="宋体"/>
          <w:color w:val="000000"/>
          <w:sz w:val="21"/>
          <w:szCs w:val="21"/>
          <w:lang w:eastAsia="zh-CN"/>
        </w:rPr>
        <w:t>）</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10、本项目不接受联合体。</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二、供应商资格及要求</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1、符合《中华人民共和国政府采购法》第二十二条规定；</w:t>
      </w:r>
    </w:p>
    <w:p>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rPr>
      </w:pPr>
      <w:r>
        <w:rPr>
          <w:rFonts w:hint="eastAsia" w:ascii="宋体" w:hAnsi="宋体"/>
          <w:color w:val="000000"/>
          <w:sz w:val="21"/>
          <w:szCs w:val="21"/>
        </w:rPr>
        <w:t>2、供应商应具备独立法人资格；</w:t>
      </w:r>
    </w:p>
    <w:p>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lang w:val="en-US" w:eastAsia="zh-CN"/>
        </w:rPr>
      </w:pPr>
      <w:r>
        <w:rPr>
          <w:rFonts w:hint="eastAsia" w:ascii="宋体" w:hAnsi="宋体"/>
          <w:color w:val="000000"/>
          <w:sz w:val="21"/>
          <w:szCs w:val="21"/>
          <w:lang w:val="en-US" w:eastAsia="zh-CN"/>
        </w:rPr>
        <w:t>3、供应商须具有林业有害生物监测类似业绩；</w:t>
      </w:r>
    </w:p>
    <w:p>
      <w:pPr>
        <w:pStyle w:val="19"/>
        <w:widowControl/>
        <w:shd w:val="clear" w:color="auto" w:fill="FFFFFF"/>
        <w:spacing w:before="0" w:beforeAutospacing="0" w:after="0" w:afterAutospacing="0" w:line="360" w:lineRule="auto"/>
        <w:ind w:firstLine="420" w:firstLineChars="200"/>
        <w:rPr>
          <w:rFonts w:hint="default" w:ascii="宋体" w:hAnsi="宋体"/>
          <w:color w:val="000000"/>
          <w:sz w:val="21"/>
          <w:szCs w:val="21"/>
          <w:lang w:val="en-US" w:eastAsia="zh-CN"/>
        </w:rPr>
      </w:pPr>
      <w:r>
        <w:rPr>
          <w:rFonts w:hint="eastAsia" w:ascii="宋体" w:hAnsi="宋体"/>
          <w:color w:val="000000"/>
          <w:sz w:val="21"/>
          <w:szCs w:val="21"/>
          <w:lang w:val="en-US" w:eastAsia="zh-CN"/>
        </w:rPr>
        <w:t>4、项目负责人需具有林业有害生物监测经验或农林类中级以上技术职称；</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lang w:val="en-US" w:eastAsia="zh-CN"/>
        </w:rPr>
        <w:t>5</w:t>
      </w:r>
      <w:r>
        <w:rPr>
          <w:rFonts w:hint="eastAsia" w:ascii="宋体" w:hAnsi="宋体"/>
          <w:color w:val="000000"/>
          <w:sz w:val="21"/>
          <w:szCs w:val="21"/>
        </w:rPr>
        <w:t>、供应商存在以下不良信用记录情形之一的，不得推荐为成交候选供应商，不得确定为成交供应商（仅以下述渠道查询结果为准，其他网站无效）：</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(1）供应商被人民法院列入失信被执行人的，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(2）供应商被工商行政管理部门列入企业经营异常名录的，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国家企业信用信息公示系统网站（www.gsxt.gov.cn）；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(3）供应商被税务部门列入重大税收违法案件当事人名单的，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(4）供应商被政府采购监管部门列入政府采购严重违法失信行为记录名单的，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中国政府采购官网（www.ccgp.gov.cn）。</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三、报名及询价文件获取办法</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1、询价文件发售时间：</w:t>
      </w:r>
      <w:r>
        <w:rPr>
          <w:rFonts w:hint="eastAsia" w:ascii="宋体" w:hAnsi="宋体" w:cs="宋体"/>
          <w:color w:val="auto"/>
          <w:sz w:val="21"/>
          <w:szCs w:val="21"/>
          <w:shd w:val="clear" w:color="auto" w:fill="FFFFFF"/>
        </w:rPr>
        <w:t>202</w:t>
      </w:r>
      <w:r>
        <w:rPr>
          <w:rFonts w:hint="eastAsia" w:ascii="宋体" w:hAnsi="宋体" w:cs="宋体"/>
          <w:color w:val="auto"/>
          <w:sz w:val="21"/>
          <w:szCs w:val="21"/>
          <w:shd w:val="clear" w:color="auto" w:fill="FFFFFF"/>
          <w:lang w:val="en-US" w:eastAsia="zh-CN"/>
        </w:rPr>
        <w:t>4</w:t>
      </w:r>
      <w:r>
        <w:rPr>
          <w:rFonts w:hint="eastAsia" w:ascii="宋体" w:hAnsi="宋体" w:cs="宋体"/>
          <w:color w:val="auto"/>
          <w:sz w:val="21"/>
          <w:szCs w:val="21"/>
          <w:shd w:val="clear" w:color="auto" w:fill="FFFFFF"/>
        </w:rPr>
        <w:t>年</w:t>
      </w:r>
      <w:r>
        <w:rPr>
          <w:rFonts w:hint="eastAsia" w:ascii="宋体" w:hAnsi="宋体" w:cs="宋体"/>
          <w:color w:val="auto"/>
          <w:sz w:val="21"/>
          <w:szCs w:val="21"/>
          <w:shd w:val="clear" w:color="auto" w:fill="FFFFFF"/>
          <w:lang w:val="en-US" w:eastAsia="zh-CN"/>
        </w:rPr>
        <w:t>2</w:t>
      </w:r>
      <w:r>
        <w:rPr>
          <w:rFonts w:hint="eastAsia" w:ascii="宋体" w:hAnsi="宋体" w:cs="宋体"/>
          <w:color w:val="auto"/>
          <w:sz w:val="21"/>
          <w:szCs w:val="21"/>
          <w:shd w:val="clear" w:color="auto" w:fill="FFFFFF"/>
        </w:rPr>
        <w:t>月</w:t>
      </w:r>
      <w:r>
        <w:rPr>
          <w:rFonts w:hint="eastAsia" w:ascii="宋体" w:hAnsi="宋体" w:cs="宋体"/>
          <w:color w:val="auto"/>
          <w:sz w:val="21"/>
          <w:szCs w:val="21"/>
          <w:shd w:val="clear" w:color="auto" w:fill="FFFFFF"/>
          <w:lang w:val="en-US" w:eastAsia="zh-CN"/>
        </w:rPr>
        <w:t>27</w:t>
      </w:r>
      <w:r>
        <w:rPr>
          <w:rFonts w:hint="eastAsia" w:ascii="宋体" w:hAnsi="宋体" w:cs="宋体"/>
          <w:color w:val="auto"/>
          <w:sz w:val="21"/>
          <w:szCs w:val="21"/>
          <w:shd w:val="clear" w:color="auto" w:fill="FFFFFF"/>
        </w:rPr>
        <w:t>日</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2、询价文件价格：自行下载。咨询安徽大别山工程咨询有限公司，联系方式：0564-5020033。</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3、报名方式：本项目无需报名，供应商可登录</w:t>
      </w:r>
      <w:r>
        <w:rPr>
          <w:rFonts w:hint="eastAsia" w:ascii="宋体" w:hAnsi="宋体" w:cs="宋体"/>
          <w:sz w:val="21"/>
          <w:szCs w:val="21"/>
          <w:shd w:val="clear" w:color="auto" w:fill="FFFFFF"/>
          <w:lang w:eastAsia="zh-CN"/>
        </w:rPr>
        <w:t>安徽</w:t>
      </w:r>
      <w:r>
        <w:rPr>
          <w:rFonts w:hint="eastAsia" w:ascii="宋体" w:hAnsi="宋体" w:cs="宋体"/>
          <w:sz w:val="21"/>
          <w:szCs w:val="21"/>
          <w:shd w:val="clear" w:color="auto" w:fill="FFFFFF"/>
          <w:lang w:val="en-US" w:eastAsia="zh-CN"/>
        </w:rPr>
        <w:t>霍山</w:t>
      </w:r>
      <w:r>
        <w:rPr>
          <w:rFonts w:hint="eastAsia" w:ascii="宋体" w:hAnsi="宋体" w:cs="宋体"/>
          <w:sz w:val="21"/>
          <w:szCs w:val="21"/>
          <w:shd w:val="clear" w:color="auto" w:fill="FFFFFF"/>
          <w:lang w:eastAsia="zh-CN"/>
        </w:rPr>
        <w:t>国有资产投资(控股)集团有限公司</w:t>
      </w:r>
      <w:r>
        <w:rPr>
          <w:rFonts w:hint="eastAsia" w:ascii="宋体" w:hAnsi="宋体" w:cs="宋体"/>
          <w:sz w:val="21"/>
          <w:szCs w:val="21"/>
          <w:shd w:val="clear" w:color="auto" w:fill="FFFFFF"/>
        </w:rPr>
        <w:t>（</w:t>
      </w:r>
      <w:r>
        <w:rPr>
          <w:rFonts w:hint="eastAsia" w:ascii="宋体" w:hAnsi="宋体" w:cs="宋体"/>
          <w:color w:val="000000"/>
          <w:shd w:val="clear" w:color="auto" w:fill="FFFFFF"/>
          <w:lang w:bidi="ar"/>
        </w:rPr>
        <w:fldChar w:fldCharType="begin"/>
      </w:r>
      <w:r>
        <w:rPr>
          <w:rFonts w:hint="eastAsia" w:ascii="宋体" w:hAnsi="宋体" w:cs="宋体"/>
          <w:color w:val="000000"/>
          <w:shd w:val="clear" w:color="auto" w:fill="FFFFFF"/>
          <w:lang w:bidi="ar"/>
        </w:rPr>
        <w:instrText xml:space="preserve"> HYPERLINK "http://www.ahdmig.cn。" </w:instrText>
      </w:r>
      <w:r>
        <w:rPr>
          <w:rFonts w:hint="eastAsia" w:ascii="宋体" w:hAnsi="宋体" w:cs="宋体"/>
          <w:color w:val="000000"/>
          <w:shd w:val="clear" w:color="auto" w:fill="FFFFFF"/>
          <w:lang w:bidi="ar"/>
        </w:rPr>
        <w:fldChar w:fldCharType="separate"/>
      </w:r>
      <w:r>
        <w:rPr>
          <w:rStyle w:val="33"/>
          <w:rFonts w:hint="eastAsia" w:ascii="宋体" w:hAnsi="宋体" w:cs="宋体"/>
          <w:shd w:val="clear" w:color="auto" w:fill="FFFFFF"/>
          <w:lang w:bidi="ar"/>
        </w:rPr>
        <w:t>www.ahdmig.cn</w:t>
      </w:r>
      <w:r>
        <w:rPr>
          <w:rFonts w:hint="eastAsia" w:ascii="宋体" w:hAnsi="宋体" w:cs="宋体"/>
          <w:color w:val="000000"/>
          <w:shd w:val="clear" w:color="auto" w:fill="FFFFFF"/>
          <w:lang w:bidi="ar"/>
        </w:rPr>
        <w:fldChar w:fldCharType="end"/>
      </w:r>
      <w:r>
        <w:rPr>
          <w:rFonts w:hint="eastAsia" w:ascii="宋体" w:hAnsi="宋体" w:cs="宋体"/>
          <w:sz w:val="21"/>
          <w:szCs w:val="21"/>
          <w:shd w:val="clear" w:color="auto" w:fill="FFFFFF"/>
        </w:rPr>
        <w:t>）招标采购栏中自行下载本项目采购文件。</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四、询价时间及地点</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1、询价时间及响应文件提交截止时间：</w:t>
      </w:r>
      <w:r>
        <w:rPr>
          <w:rFonts w:hint="eastAsia" w:ascii="宋体" w:hAnsi="宋体" w:cs="宋体"/>
          <w:color w:val="auto"/>
          <w:sz w:val="21"/>
          <w:szCs w:val="21"/>
          <w:u w:val="single"/>
          <w:shd w:val="clear" w:color="auto" w:fill="FFFFFF"/>
          <w:lang w:eastAsia="zh-CN"/>
        </w:rPr>
        <w:t>2024年</w:t>
      </w:r>
      <w:r>
        <w:rPr>
          <w:rFonts w:hint="eastAsia" w:ascii="宋体" w:hAnsi="宋体" w:cs="宋体"/>
          <w:color w:val="auto"/>
          <w:sz w:val="21"/>
          <w:szCs w:val="21"/>
          <w:u w:val="single"/>
          <w:shd w:val="clear" w:color="auto" w:fill="FFFFFF"/>
          <w:lang w:val="en-US" w:eastAsia="zh-CN"/>
        </w:rPr>
        <w:t>3</w:t>
      </w:r>
      <w:r>
        <w:rPr>
          <w:rFonts w:hint="eastAsia" w:ascii="宋体" w:hAnsi="宋体" w:cs="宋体"/>
          <w:color w:val="auto"/>
          <w:sz w:val="21"/>
          <w:szCs w:val="21"/>
          <w:u w:val="single"/>
          <w:shd w:val="clear" w:color="auto" w:fill="FFFFFF"/>
          <w:lang w:eastAsia="zh-CN"/>
        </w:rPr>
        <w:t>月</w:t>
      </w:r>
      <w:r>
        <w:rPr>
          <w:rFonts w:hint="eastAsia" w:ascii="宋体" w:hAnsi="宋体" w:cs="宋体"/>
          <w:color w:val="auto"/>
          <w:sz w:val="21"/>
          <w:szCs w:val="21"/>
          <w:u w:val="single"/>
          <w:shd w:val="clear" w:color="auto" w:fill="FFFFFF"/>
          <w:lang w:val="en-US" w:eastAsia="zh-CN"/>
        </w:rPr>
        <w:t>4</w:t>
      </w:r>
      <w:r>
        <w:rPr>
          <w:rFonts w:hint="eastAsia" w:ascii="宋体" w:hAnsi="宋体" w:cs="宋体"/>
          <w:color w:val="auto"/>
          <w:sz w:val="21"/>
          <w:szCs w:val="21"/>
          <w:u w:val="single"/>
          <w:shd w:val="clear" w:color="auto" w:fill="FFFFFF"/>
          <w:lang w:eastAsia="zh-CN"/>
        </w:rPr>
        <w:t>日10时00分</w:t>
      </w:r>
      <w:r>
        <w:rPr>
          <w:rFonts w:hint="eastAsia" w:ascii="宋体" w:hAnsi="宋体" w:cs="宋体"/>
          <w:sz w:val="21"/>
          <w:szCs w:val="21"/>
          <w:shd w:val="clear" w:color="auto" w:fill="FFFFFF"/>
        </w:rPr>
        <w:t>。</w:t>
      </w:r>
    </w:p>
    <w:p>
      <w:pPr>
        <w:pStyle w:val="19"/>
        <w:widowControl/>
        <w:shd w:val="clear" w:color="auto" w:fill="FFFFFF"/>
        <w:snapToGrid w:val="0"/>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2、询价地点：安徽大别山工程咨询有限公司二楼第一开标厅（201室）。</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五、响应文件提交截止时间：</w:t>
      </w:r>
      <w:r>
        <w:rPr>
          <w:rFonts w:hint="eastAsia" w:ascii="宋体" w:hAnsi="宋体" w:cs="宋体"/>
          <w:color w:val="auto"/>
          <w:sz w:val="21"/>
          <w:szCs w:val="21"/>
          <w:u w:val="single"/>
          <w:shd w:val="clear" w:color="auto" w:fill="FFFFFF"/>
          <w:lang w:eastAsia="zh-CN"/>
        </w:rPr>
        <w:t>2024年</w:t>
      </w:r>
      <w:r>
        <w:rPr>
          <w:rFonts w:hint="eastAsia" w:ascii="宋体" w:hAnsi="宋体" w:cs="宋体"/>
          <w:color w:val="auto"/>
          <w:sz w:val="21"/>
          <w:szCs w:val="21"/>
          <w:u w:val="single"/>
          <w:shd w:val="clear" w:color="auto" w:fill="FFFFFF"/>
          <w:lang w:val="en-US" w:eastAsia="zh-CN"/>
        </w:rPr>
        <w:t>3</w:t>
      </w:r>
      <w:r>
        <w:rPr>
          <w:rFonts w:hint="eastAsia" w:ascii="宋体" w:hAnsi="宋体" w:cs="宋体"/>
          <w:color w:val="auto"/>
          <w:sz w:val="21"/>
          <w:szCs w:val="21"/>
          <w:u w:val="single"/>
          <w:shd w:val="clear" w:color="auto" w:fill="FFFFFF"/>
          <w:lang w:eastAsia="zh-CN"/>
        </w:rPr>
        <w:t>月</w:t>
      </w:r>
      <w:r>
        <w:rPr>
          <w:rFonts w:hint="eastAsia" w:ascii="宋体" w:hAnsi="宋体" w:cs="宋体"/>
          <w:color w:val="auto"/>
          <w:sz w:val="21"/>
          <w:szCs w:val="21"/>
          <w:u w:val="single"/>
          <w:shd w:val="clear" w:color="auto" w:fill="FFFFFF"/>
          <w:lang w:val="en-US" w:eastAsia="zh-CN"/>
        </w:rPr>
        <w:t>4</w:t>
      </w:r>
      <w:r>
        <w:rPr>
          <w:rFonts w:hint="eastAsia" w:ascii="宋体" w:hAnsi="宋体" w:cs="宋体"/>
          <w:color w:val="auto"/>
          <w:sz w:val="21"/>
          <w:szCs w:val="21"/>
          <w:u w:val="single"/>
          <w:shd w:val="clear" w:color="auto" w:fill="FFFFFF"/>
          <w:lang w:eastAsia="zh-CN"/>
        </w:rPr>
        <w:t>日10时00分</w:t>
      </w:r>
      <w:r>
        <w:rPr>
          <w:rFonts w:hint="eastAsia" w:ascii="宋体" w:hAnsi="宋体" w:cs="宋体"/>
          <w:sz w:val="21"/>
          <w:szCs w:val="21"/>
          <w:shd w:val="clear" w:color="auto" w:fill="FFFFFF"/>
        </w:rPr>
        <w:t>。</w:t>
      </w:r>
    </w:p>
    <w:p>
      <w:pPr>
        <w:pStyle w:val="19"/>
        <w:widowControl/>
        <w:shd w:val="clear" w:color="auto" w:fill="FFFFFF"/>
        <w:spacing w:before="0" w:beforeAutospacing="0" w:after="0" w:afterAutospacing="0" w:line="400" w:lineRule="exact"/>
        <w:ind w:firstLine="422" w:firstLineChars="200"/>
        <w:rPr>
          <w:rFonts w:ascii="宋体" w:hAnsi="宋体" w:cs="宋体"/>
          <w:b/>
          <w:sz w:val="21"/>
          <w:szCs w:val="21"/>
          <w:shd w:val="clear" w:color="auto" w:fill="FFFFFF"/>
        </w:rPr>
      </w:pPr>
      <w:r>
        <w:rPr>
          <w:rFonts w:hint="eastAsia" w:ascii="宋体" w:hAnsi="宋体" w:cs="宋体"/>
          <w:b/>
          <w:sz w:val="21"/>
          <w:szCs w:val="21"/>
          <w:shd w:val="clear" w:color="auto" w:fill="FFFFFF"/>
        </w:rPr>
        <w:t>六、联系方式</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（一）项目单位：霍山县林业局</w:t>
      </w:r>
    </w:p>
    <w:p>
      <w:pPr>
        <w:pStyle w:val="19"/>
        <w:widowControl/>
        <w:shd w:val="clear" w:color="auto" w:fill="FFFFFF"/>
        <w:spacing w:before="0" w:beforeAutospacing="0" w:after="0" w:afterAutospacing="0" w:line="360" w:lineRule="auto"/>
        <w:ind w:firstLine="1050" w:firstLineChars="500"/>
        <w:jc w:val="both"/>
        <w:rPr>
          <w:rFonts w:ascii="宋体" w:hAnsi="宋体" w:cs="宋体"/>
          <w:sz w:val="21"/>
          <w:szCs w:val="21"/>
          <w:shd w:val="clear" w:color="auto" w:fill="FFFFFF"/>
        </w:rPr>
      </w:pPr>
      <w:r>
        <w:rPr>
          <w:rFonts w:hint="eastAsia" w:ascii="宋体" w:hAnsi="宋体" w:cs="宋体"/>
          <w:sz w:val="21"/>
          <w:szCs w:val="21"/>
          <w:shd w:val="clear" w:color="auto" w:fill="FFFFFF"/>
        </w:rPr>
        <w:t>地  址：霍山县新政务区林业大厦</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联系人：何先生</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  话：0564-5022927</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（二）代理机构：安徽大别山工程咨询有限公司</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  址：霍山县国投大厦2楼204室</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  话：0564-5020033，17756405133</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p>
    <w:p>
      <w:pPr>
        <w:pStyle w:val="19"/>
        <w:widowControl/>
        <w:shd w:val="clear" w:color="auto" w:fill="FFFFFF"/>
        <w:spacing w:before="42" w:beforeAutospacing="0" w:after="42"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 xml:space="preserve"> </w:t>
      </w:r>
    </w:p>
    <w:p>
      <w:pPr>
        <w:pStyle w:val="19"/>
        <w:widowControl/>
        <w:shd w:val="clear" w:color="auto" w:fill="FFFFFF"/>
        <w:spacing w:before="0" w:beforeAutospacing="0" w:after="0" w:afterAutospacing="0" w:line="400" w:lineRule="exact"/>
        <w:jc w:val="right"/>
        <w:rPr>
          <w:rFonts w:ascii="宋体" w:hAnsi="宋体" w:cs="宋体"/>
          <w:sz w:val="21"/>
          <w:szCs w:val="21"/>
          <w:shd w:val="clear" w:color="auto" w:fill="FFFFFF"/>
        </w:rPr>
      </w:pPr>
      <w:r>
        <w:rPr>
          <w:rFonts w:hint="eastAsia" w:ascii="宋体" w:hAnsi="宋体" w:cs="宋体"/>
          <w:sz w:val="21"/>
          <w:szCs w:val="21"/>
          <w:shd w:val="clear" w:color="auto" w:fill="FFFFFF"/>
        </w:rPr>
        <w:t>霍山县林业局</w:t>
      </w:r>
    </w:p>
    <w:p>
      <w:pPr>
        <w:pStyle w:val="19"/>
        <w:widowControl/>
        <w:shd w:val="clear" w:color="auto" w:fill="FFFFFF"/>
        <w:spacing w:before="0" w:beforeAutospacing="0" w:after="0" w:afterAutospacing="0" w:line="400" w:lineRule="exact"/>
        <w:jc w:val="right"/>
        <w:rPr>
          <w:rFonts w:ascii="宋体" w:hAnsi="宋体" w:cs="宋体"/>
          <w:sz w:val="21"/>
          <w:szCs w:val="21"/>
        </w:rPr>
      </w:pPr>
      <w:r>
        <w:rPr>
          <w:rFonts w:hint="eastAsia" w:ascii="宋体" w:hAnsi="宋体" w:cs="宋体"/>
          <w:sz w:val="21"/>
          <w:szCs w:val="21"/>
          <w:shd w:val="clear" w:color="auto" w:fill="FFFFFF"/>
        </w:rPr>
        <w:t>安徽大别山工程咨询有限公司</w:t>
      </w:r>
    </w:p>
    <w:p>
      <w:pPr>
        <w:pStyle w:val="19"/>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lang w:eastAsia="zh-CN"/>
        </w:rPr>
      </w:pPr>
      <w:r>
        <w:rPr>
          <w:rFonts w:hint="eastAsia" w:ascii="宋体" w:hAnsi="宋体" w:cs="宋体"/>
          <w:color w:val="auto"/>
          <w:sz w:val="21"/>
          <w:szCs w:val="21"/>
          <w:shd w:val="clear" w:color="auto" w:fill="FFFFFF"/>
          <w:lang w:eastAsia="zh-CN"/>
        </w:rPr>
        <w:t>2024年2月2</w:t>
      </w:r>
      <w:r>
        <w:rPr>
          <w:rFonts w:hint="eastAsia" w:ascii="宋体" w:hAnsi="宋体" w:cs="宋体"/>
          <w:color w:val="auto"/>
          <w:sz w:val="21"/>
          <w:szCs w:val="21"/>
          <w:shd w:val="clear" w:color="auto" w:fill="FFFFFF"/>
          <w:lang w:val="en-US" w:eastAsia="zh-CN"/>
        </w:rPr>
        <w:t>7</w:t>
      </w:r>
      <w:r>
        <w:rPr>
          <w:rFonts w:hint="eastAsia" w:ascii="宋体" w:hAnsi="宋体" w:cs="宋体"/>
          <w:color w:val="auto"/>
          <w:sz w:val="21"/>
          <w:szCs w:val="21"/>
          <w:shd w:val="clear" w:color="auto" w:fill="FFFFFF"/>
          <w:lang w:eastAsia="zh-CN"/>
        </w:rPr>
        <w:t>日</w:t>
      </w:r>
    </w:p>
    <w:p>
      <w:pPr>
        <w:adjustRightInd w:val="0"/>
        <w:snapToGrid w:val="0"/>
        <w:spacing w:line="300" w:lineRule="exact"/>
        <w:jc w:val="center"/>
        <w:rPr>
          <w:rFonts w:ascii="宋体" w:hAnsi="宋体" w:cs="宋体"/>
          <w:b/>
          <w:bCs/>
          <w:kern w:val="0"/>
          <w:sz w:val="30"/>
          <w:szCs w:val="30"/>
        </w:rPr>
      </w:pPr>
      <w:r>
        <w:rPr>
          <w:rFonts w:hint="eastAsia" w:ascii="宋体" w:hAnsi="宋体" w:cs="宋体"/>
          <w:b/>
          <w:bCs/>
          <w:kern w:val="0"/>
          <w:sz w:val="30"/>
          <w:szCs w:val="30"/>
        </w:rPr>
        <w:br w:type="page"/>
      </w:r>
      <w:bookmarkStart w:id="7" w:name="_Toc25245_WPSOffice_Level1"/>
      <w:r>
        <w:rPr>
          <w:rFonts w:hint="eastAsia" w:ascii="宋体" w:hAnsi="宋体" w:cs="宋体"/>
          <w:b/>
          <w:bCs/>
          <w:kern w:val="0"/>
          <w:sz w:val="30"/>
          <w:szCs w:val="30"/>
        </w:rPr>
        <w:t>第二章、报价响应须知</w:t>
      </w:r>
      <w:bookmarkEnd w:id="1"/>
      <w:bookmarkEnd w:id="2"/>
      <w:bookmarkEnd w:id="7"/>
    </w:p>
    <w:p>
      <w:pPr>
        <w:pStyle w:val="3"/>
        <w:snapToGrid w:val="0"/>
        <w:spacing w:before="100" w:after="100" w:line="360" w:lineRule="exact"/>
        <w:ind w:firstLine="3443" w:firstLineChars="1225"/>
        <w:rPr>
          <w:rFonts w:ascii="宋体" w:hAnsi="宋体" w:eastAsia="宋体" w:cs="宋体"/>
          <w:bCs/>
          <w:sz w:val="28"/>
          <w:szCs w:val="28"/>
        </w:rPr>
      </w:pPr>
      <w:bookmarkStart w:id="8" w:name="_Toc28280"/>
      <w:r>
        <w:rPr>
          <w:rFonts w:hint="eastAsia" w:ascii="宋体" w:hAnsi="宋体" w:eastAsia="宋体" w:cs="宋体"/>
          <w:bCs/>
          <w:sz w:val="28"/>
          <w:szCs w:val="28"/>
        </w:rPr>
        <w:t>（一）须知前附表</w:t>
      </w:r>
      <w:bookmarkEnd w:id="8"/>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rPr>
            </w:pPr>
            <w:r>
              <w:rPr>
                <w:rFonts w:hint="eastAsia" w:ascii="宋体" w:hAnsi="宋体" w:cs="宋体"/>
                <w:b/>
                <w:szCs w:val="21"/>
              </w:rPr>
              <w:t>序号</w:t>
            </w:r>
          </w:p>
        </w:tc>
        <w:tc>
          <w:tcPr>
            <w:tcW w:w="1825" w:type="dxa"/>
          </w:tcPr>
          <w:p>
            <w:pPr>
              <w:adjustRightInd w:val="0"/>
              <w:snapToGrid w:val="0"/>
              <w:spacing w:line="360" w:lineRule="exact"/>
              <w:jc w:val="center"/>
              <w:rPr>
                <w:rFonts w:ascii="宋体" w:hAnsi="宋体" w:cs="宋体"/>
                <w:b/>
                <w:szCs w:val="21"/>
              </w:rPr>
            </w:pPr>
            <w:r>
              <w:rPr>
                <w:rFonts w:hint="eastAsia" w:ascii="宋体" w:hAnsi="宋体" w:cs="宋体"/>
                <w:b/>
                <w:szCs w:val="21"/>
              </w:rPr>
              <w:t>内容</w:t>
            </w:r>
          </w:p>
        </w:tc>
        <w:tc>
          <w:tcPr>
            <w:tcW w:w="7568" w:type="dxa"/>
          </w:tcPr>
          <w:p>
            <w:pPr>
              <w:adjustRightInd w:val="0"/>
              <w:snapToGrid w:val="0"/>
              <w:spacing w:line="360" w:lineRule="exact"/>
              <w:jc w:val="center"/>
              <w:rPr>
                <w:rFonts w:ascii="宋体" w:hAnsi="宋体" w:cs="宋体"/>
                <w:b/>
                <w:szCs w:val="21"/>
              </w:rPr>
            </w:pPr>
            <w:r>
              <w:rPr>
                <w:rFonts w:hint="eastAsia" w:ascii="宋体" w:hAnsi="宋体" w:cs="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1</w:t>
            </w:r>
          </w:p>
        </w:tc>
        <w:tc>
          <w:tcPr>
            <w:tcW w:w="1825" w:type="dxa"/>
            <w:vAlign w:val="center"/>
          </w:tcPr>
          <w:p>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rPr>
            </w:pPr>
            <w:r>
              <w:rPr>
                <w:rFonts w:hint="eastAsia" w:ascii="宋体" w:hAnsi="宋体" w:cs="宋体"/>
                <w:bCs/>
                <w:sz w:val="21"/>
                <w:szCs w:val="21"/>
              </w:rPr>
              <w:t>采购人</w:t>
            </w:r>
          </w:p>
        </w:tc>
        <w:tc>
          <w:tcPr>
            <w:tcW w:w="7568" w:type="dxa"/>
            <w:vAlign w:val="center"/>
          </w:tcPr>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名称：霍山县林业局</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  址：霍山县新政务区林业大厦</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联系人：何先生</w:t>
            </w:r>
          </w:p>
          <w:p>
            <w:pPr>
              <w:pStyle w:val="19"/>
              <w:widowControl/>
              <w:shd w:val="clear" w:color="auto" w:fill="FFFFFF"/>
              <w:spacing w:before="0" w:beforeAutospacing="0" w:after="0" w:afterAutospacing="0" w:line="300" w:lineRule="exact"/>
              <w:rPr>
                <w:rFonts w:ascii="宋体" w:hAnsi="宋体" w:cs="宋体"/>
                <w:bCs/>
                <w:szCs w:val="21"/>
              </w:rPr>
            </w:pPr>
            <w:r>
              <w:rPr>
                <w:rFonts w:hint="eastAsia" w:ascii="宋体" w:hAnsi="宋体" w:cs="宋体"/>
                <w:sz w:val="21"/>
                <w:szCs w:val="21"/>
                <w:shd w:val="clear" w:color="auto" w:fill="FFFFFF"/>
              </w:rPr>
              <w:t>电  话：0564-5022927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2</w:t>
            </w:r>
          </w:p>
        </w:tc>
        <w:tc>
          <w:tcPr>
            <w:tcW w:w="1825" w:type="dxa"/>
            <w:vAlign w:val="center"/>
          </w:tcPr>
          <w:p>
            <w:pPr>
              <w:adjustRightInd w:val="0"/>
              <w:snapToGrid w:val="0"/>
              <w:spacing w:line="320" w:lineRule="exact"/>
              <w:jc w:val="center"/>
              <w:rPr>
                <w:rFonts w:ascii="宋体" w:hAnsi="宋体" w:cs="宋体"/>
                <w:bCs/>
                <w:szCs w:val="21"/>
              </w:rPr>
            </w:pPr>
            <w:r>
              <w:rPr>
                <w:rFonts w:hint="eastAsia" w:ascii="宋体" w:hAnsi="宋体" w:cs="宋体"/>
                <w:szCs w:val="21"/>
              </w:rPr>
              <w:t>代理机构</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名称：</w:t>
            </w:r>
            <w:r>
              <w:rPr>
                <w:rFonts w:hint="eastAsia" w:ascii="宋体" w:hAnsi="宋体" w:cs="宋体"/>
                <w:bCs/>
                <w:szCs w:val="21"/>
              </w:rPr>
              <w:t>安徽大别山工程咨询有限公司</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地址：霍山县国投大厦</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9"/>
              <w:widowControl/>
              <w:shd w:val="clear" w:color="auto" w:fill="FFFFFF"/>
              <w:spacing w:before="0" w:beforeAutospacing="0" w:after="0" w:afterAutospacing="0" w:line="300" w:lineRule="exact"/>
              <w:rPr>
                <w:rFonts w:ascii="宋体" w:hAnsi="宋体" w:cs="宋体"/>
                <w:sz w:val="21"/>
                <w:szCs w:val="21"/>
              </w:rPr>
            </w:pPr>
            <w:r>
              <w:rPr>
                <w:rFonts w:hint="eastAsia" w:ascii="宋体" w:hAnsi="宋体" w:cs="宋体"/>
                <w:sz w:val="21"/>
                <w:szCs w:val="21"/>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3</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项目名称</w:t>
            </w:r>
          </w:p>
        </w:tc>
        <w:tc>
          <w:tcPr>
            <w:tcW w:w="7568" w:type="dxa"/>
            <w:vAlign w:val="center"/>
          </w:tcPr>
          <w:p>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lang w:eastAsia="zh-CN"/>
              </w:rPr>
            </w:pPr>
            <w:r>
              <w:rPr>
                <w:rFonts w:hint="eastAsia" w:cs="宋体"/>
                <w:b w:val="0"/>
                <w:bCs w:val="0"/>
                <w:kern w:val="2"/>
                <w:sz w:val="21"/>
                <w:szCs w:val="21"/>
                <w:lang w:eastAsia="zh-CN"/>
              </w:rPr>
              <w:t>霍山县2024年林业有害生物监测项目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项目编号</w:t>
            </w:r>
          </w:p>
        </w:tc>
        <w:tc>
          <w:tcPr>
            <w:tcW w:w="7568" w:type="dxa"/>
            <w:vAlign w:val="center"/>
          </w:tcPr>
          <w:p>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lang w:val="en-US" w:eastAsia="zh-CN"/>
              </w:rPr>
            </w:pPr>
            <w:r>
              <w:rPr>
                <w:rFonts w:hint="eastAsia" w:cs="宋体"/>
                <w:bCs w:val="0"/>
                <w:kern w:val="2"/>
                <w:sz w:val="21"/>
                <w:szCs w:val="21"/>
              </w:rPr>
              <w:t>DBSCG-202</w:t>
            </w:r>
            <w:r>
              <w:rPr>
                <w:rFonts w:hint="eastAsia" w:cs="宋体"/>
                <w:bCs w:val="0"/>
                <w:kern w:val="2"/>
                <w:sz w:val="21"/>
                <w:szCs w:val="21"/>
                <w:lang w:val="en-US" w:eastAsia="zh-CN"/>
              </w:rPr>
              <w:t>4</w:t>
            </w:r>
            <w:r>
              <w:rPr>
                <w:rFonts w:hint="eastAsia" w:cs="宋体"/>
                <w:bCs w:val="0"/>
                <w:kern w:val="2"/>
                <w:sz w:val="21"/>
                <w:szCs w:val="21"/>
              </w:rPr>
              <w:t>-</w:t>
            </w:r>
            <w:r>
              <w:rPr>
                <w:rFonts w:hint="eastAsia" w:cs="宋体"/>
                <w:bCs w:val="0"/>
                <w:kern w:val="2"/>
                <w:sz w:val="21"/>
                <w:szCs w:val="21"/>
                <w:lang w:val="en-US" w:eastAsia="zh-CN"/>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5</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最高限价</w:t>
            </w:r>
          </w:p>
        </w:tc>
        <w:tc>
          <w:tcPr>
            <w:tcW w:w="7568" w:type="dxa"/>
            <w:vAlign w:val="center"/>
          </w:tcPr>
          <w:p>
            <w:pPr>
              <w:pStyle w:val="45"/>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sz w:val="21"/>
                <w:szCs w:val="21"/>
              </w:rPr>
              <w:t>人民币</w:t>
            </w:r>
            <w:r>
              <w:rPr>
                <w:rFonts w:hint="eastAsia" w:cs="宋体"/>
                <w:sz w:val="21"/>
                <w:szCs w:val="21"/>
                <w:u w:val="single"/>
                <w:lang w:val="en-US" w:eastAsia="zh-CN"/>
              </w:rPr>
              <w:t>壹拾陆万元整</w:t>
            </w:r>
            <w:r>
              <w:rPr>
                <w:rFonts w:hint="eastAsia" w:cs="宋体"/>
                <w:sz w:val="21"/>
                <w:szCs w:val="21"/>
              </w:rPr>
              <w:t>（￥</w:t>
            </w:r>
            <w:r>
              <w:rPr>
                <w:rFonts w:hint="eastAsia" w:cs="宋体"/>
                <w:sz w:val="21"/>
                <w:szCs w:val="21"/>
                <w:lang w:val="en-US" w:eastAsia="zh-CN"/>
              </w:rPr>
              <w:t>160000.00</w:t>
            </w:r>
            <w:r>
              <w:rPr>
                <w:rFonts w:hint="eastAsia" w:cs="宋体"/>
                <w:sz w:val="21"/>
                <w:szCs w:val="21"/>
              </w:rPr>
              <w:t>元）</w:t>
            </w:r>
            <w:r>
              <w:rPr>
                <w:rFonts w:hint="eastAsia" w:cs="宋体"/>
                <w:sz w:val="21"/>
                <w:szCs w:val="21"/>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6</w:t>
            </w:r>
          </w:p>
        </w:tc>
        <w:tc>
          <w:tcPr>
            <w:tcW w:w="1825" w:type="dxa"/>
            <w:vAlign w:val="center"/>
          </w:tcPr>
          <w:p>
            <w:pPr>
              <w:adjustRightInd w:val="0"/>
              <w:snapToGrid w:val="0"/>
              <w:spacing w:line="320" w:lineRule="exact"/>
              <w:jc w:val="center"/>
              <w:rPr>
                <w:rFonts w:ascii="宋体" w:hAnsi="宋体" w:cs="宋体"/>
                <w:kern w:val="0"/>
                <w:szCs w:val="21"/>
                <w:shd w:val="clear" w:color="auto" w:fill="FFFFFF"/>
              </w:rPr>
            </w:pPr>
            <w:r>
              <w:rPr>
                <w:rFonts w:hint="eastAsia" w:ascii="宋体" w:hAnsi="宋体" w:cs="宋体"/>
                <w:szCs w:val="21"/>
              </w:rPr>
              <w:t>询价有效期</w:t>
            </w:r>
          </w:p>
        </w:tc>
        <w:tc>
          <w:tcPr>
            <w:tcW w:w="7568" w:type="dxa"/>
            <w:vAlign w:val="center"/>
          </w:tcPr>
          <w:p>
            <w:pPr>
              <w:adjustRightInd w:val="0"/>
              <w:snapToGrid w:val="0"/>
              <w:spacing w:line="320" w:lineRule="exact"/>
              <w:rPr>
                <w:rFonts w:ascii="宋体" w:hAnsi="宋体" w:cs="宋体"/>
                <w:kern w:val="0"/>
                <w:szCs w:val="21"/>
                <w:shd w:val="clear" w:color="auto" w:fill="FFFFFF"/>
              </w:rPr>
            </w:pPr>
            <w:r>
              <w:rPr>
                <w:rFonts w:hint="eastAsia" w:ascii="宋体" w:hAnsi="宋体" w:cs="宋体"/>
                <w:szCs w:val="21"/>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付款方式</w:t>
            </w:r>
          </w:p>
        </w:tc>
        <w:tc>
          <w:tcPr>
            <w:tcW w:w="7568" w:type="dxa"/>
            <w:vAlign w:val="center"/>
          </w:tcPr>
          <w:p>
            <w:pPr>
              <w:autoSpaceDE w:val="0"/>
              <w:autoSpaceDN w:val="0"/>
              <w:adjustRightInd w:val="0"/>
              <w:jc w:val="left"/>
              <w:rPr>
                <w:rFonts w:ascii="宋体" w:hAnsi="宋体" w:cs="宋体"/>
                <w:szCs w:val="21"/>
              </w:rPr>
            </w:pPr>
            <w:r>
              <w:rPr>
                <w:rFonts w:hint="eastAsia" w:ascii="宋体" w:hAnsi="宋体" w:cs="宋体"/>
                <w:b/>
                <w:bCs/>
                <w:szCs w:val="21"/>
              </w:rPr>
              <w:t>合同签订后</w:t>
            </w:r>
            <w:r>
              <w:rPr>
                <w:rFonts w:ascii="宋体" w:hAnsi="宋体" w:cs="宋体"/>
                <w:b/>
                <w:bCs/>
                <w:szCs w:val="21"/>
              </w:rPr>
              <w:t>供应商需</w:t>
            </w:r>
            <w:r>
              <w:rPr>
                <w:rFonts w:hint="eastAsia" w:ascii="宋体" w:hAnsi="宋体" w:cs="宋体"/>
                <w:b/>
                <w:bCs/>
                <w:szCs w:val="21"/>
              </w:rPr>
              <w:t>向采购人</w:t>
            </w:r>
            <w:r>
              <w:rPr>
                <w:rFonts w:ascii="宋体" w:hAnsi="宋体" w:cs="宋体"/>
                <w:b/>
                <w:bCs/>
                <w:szCs w:val="21"/>
              </w:rPr>
              <w:t>提交银行、保险公司、担保公司等金融机构出具的预付款保函或其他担保证明措施，担保措施生效且具备实施条件后5个工作日内支付至合同价的</w:t>
            </w:r>
            <w:r>
              <w:rPr>
                <w:rFonts w:hint="eastAsia" w:ascii="宋体" w:hAnsi="宋体" w:cs="宋体"/>
                <w:b/>
                <w:bCs/>
                <w:szCs w:val="21"/>
                <w:lang w:val="en-US" w:eastAsia="zh-CN"/>
              </w:rPr>
              <w:t>7</w:t>
            </w:r>
            <w:r>
              <w:rPr>
                <w:rFonts w:hint="eastAsia" w:ascii="宋体" w:hAnsi="宋体" w:cs="宋体"/>
                <w:b/>
                <w:bCs/>
                <w:szCs w:val="21"/>
              </w:rPr>
              <w:t>0%</w:t>
            </w:r>
            <w:r>
              <w:rPr>
                <w:rFonts w:ascii="宋体" w:hAnsi="宋体" w:cs="宋体"/>
                <w:b/>
                <w:bCs/>
                <w:szCs w:val="21"/>
              </w:rPr>
              <w:t>。</w:t>
            </w:r>
            <w:r>
              <w:rPr>
                <w:rFonts w:hint="eastAsia" w:ascii="宋体" w:hAnsi="宋体" w:cs="宋体"/>
                <w:b/>
                <w:bCs/>
                <w:szCs w:val="21"/>
              </w:rPr>
              <w:t>验收合格后，2024年12月31日以前支付余款。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lang w:val="en-US" w:eastAsia="zh-CN"/>
              </w:rPr>
              <w:t>服务</w:t>
            </w:r>
            <w:r>
              <w:rPr>
                <w:rFonts w:hint="eastAsia" w:ascii="宋体" w:hAnsi="宋体" w:cs="宋体"/>
                <w:szCs w:val="21"/>
              </w:rPr>
              <w:t>地点</w:t>
            </w:r>
          </w:p>
        </w:tc>
        <w:tc>
          <w:tcPr>
            <w:tcW w:w="7568" w:type="dxa"/>
          </w:tcPr>
          <w:p>
            <w:pPr>
              <w:adjustRightInd w:val="0"/>
              <w:snapToGrid w:val="0"/>
              <w:spacing w:line="320" w:lineRule="exact"/>
              <w:rPr>
                <w:rFonts w:ascii="宋体" w:hAnsi="宋体" w:cs="宋体"/>
                <w:spacing w:val="-6"/>
                <w:kern w:val="0"/>
                <w:szCs w:val="21"/>
                <w:shd w:val="clear" w:color="auto" w:fill="FFFFFF"/>
              </w:rPr>
            </w:pPr>
            <w:r>
              <w:rPr>
                <w:rFonts w:hint="eastAsia" w:ascii="宋体" w:hAnsi="宋体" w:cs="宋体"/>
                <w:szCs w:val="21"/>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olor w:val="000000"/>
                <w:szCs w:val="21"/>
                <w:lang w:val="en-US" w:eastAsia="zh-CN"/>
              </w:rPr>
              <w:t>服务</w:t>
            </w:r>
            <w:r>
              <w:rPr>
                <w:rFonts w:hint="eastAsia" w:ascii="宋体" w:hAnsi="宋体"/>
                <w:color w:val="000000"/>
                <w:szCs w:val="21"/>
              </w:rPr>
              <w:t>期</w:t>
            </w:r>
          </w:p>
        </w:tc>
        <w:tc>
          <w:tcPr>
            <w:tcW w:w="756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pPr>
            <w:r>
              <w:rPr>
                <w:rFonts w:hint="eastAsia"/>
              </w:rPr>
              <w:t>2024年2月</w:t>
            </w:r>
            <w:r>
              <w:rPr>
                <w:rFonts w:hint="eastAsia" w:ascii="宋体" w:hAnsi="宋体"/>
                <w:sz w:val="21"/>
                <w:szCs w:val="21"/>
                <w:lang w:val="en-US" w:eastAsia="zh-CN"/>
              </w:rPr>
              <w:t>至</w:t>
            </w:r>
            <w:r>
              <w:rPr>
                <w:rFonts w:hint="eastAsia"/>
              </w:rPr>
              <w:t>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10</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lang w:val="zh-CN"/>
              </w:rPr>
              <w:t>免费质保期</w:t>
            </w:r>
          </w:p>
        </w:tc>
        <w:tc>
          <w:tcPr>
            <w:tcW w:w="7568" w:type="dxa"/>
            <w:vAlign w:val="center"/>
          </w:tcPr>
          <w:p>
            <w:pPr>
              <w:adjustRightInd w:val="0"/>
              <w:snapToGrid w:val="0"/>
              <w:spacing w:line="320" w:lineRule="exact"/>
              <w:rPr>
                <w:rFonts w:hint="default" w:ascii="宋体" w:hAnsi="宋体" w:eastAsia="宋体" w:cs="宋体"/>
                <w:szCs w:val="21"/>
                <w:lang w:val="en-US" w:eastAsia="zh-CN"/>
              </w:rPr>
            </w:pPr>
            <w:r>
              <w:rPr>
                <w:rFonts w:hint="eastAsia" w:ascii="宋体" w:hAnsi="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11</w:t>
            </w:r>
          </w:p>
        </w:tc>
        <w:tc>
          <w:tcPr>
            <w:tcW w:w="1825" w:type="dxa"/>
            <w:vAlign w:val="center"/>
          </w:tcPr>
          <w:p>
            <w:pPr>
              <w:adjustRightInd w:val="0"/>
              <w:snapToGrid w:val="0"/>
              <w:spacing w:line="320" w:lineRule="exact"/>
              <w:jc w:val="center"/>
              <w:rPr>
                <w:rFonts w:ascii="宋体" w:hAnsi="宋体" w:cs="宋体"/>
                <w:szCs w:val="21"/>
                <w:lang w:val="zh-CN"/>
              </w:rPr>
            </w:pPr>
            <w:r>
              <w:rPr>
                <w:rFonts w:hint="eastAsia" w:ascii="宋体" w:hAnsi="宋体" w:cs="宋体"/>
                <w:szCs w:val="21"/>
              </w:rPr>
              <w:t>响应时间及地点</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询价方式：现场询价</w:t>
            </w:r>
          </w:p>
          <w:p>
            <w:pPr>
              <w:adjustRightInd w:val="0"/>
              <w:snapToGrid w:val="0"/>
              <w:spacing w:line="320" w:lineRule="exact"/>
              <w:rPr>
                <w:rFonts w:ascii="宋体" w:hAnsi="宋体" w:cs="宋体"/>
                <w:szCs w:val="21"/>
                <w:lang w:val="zh-CN"/>
              </w:rPr>
            </w:pPr>
            <w:r>
              <w:rPr>
                <w:rFonts w:hint="eastAsia" w:ascii="宋体" w:hAnsi="宋体" w:cs="宋体"/>
                <w:b/>
                <w:szCs w:val="21"/>
              </w:rPr>
              <w:t>响应文件递交截止时间及询价时间：北京时间</w:t>
            </w:r>
            <w:r>
              <w:rPr>
                <w:rFonts w:hint="eastAsia" w:ascii="宋体" w:hAnsi="宋体" w:cs="宋体"/>
                <w:b/>
                <w:color w:val="auto"/>
                <w:szCs w:val="21"/>
                <w:u w:val="single"/>
                <w:lang w:eastAsia="zh-CN"/>
              </w:rPr>
              <w:t>2024年</w:t>
            </w:r>
            <w:r>
              <w:rPr>
                <w:rFonts w:hint="eastAsia" w:ascii="宋体" w:hAnsi="宋体" w:cs="宋体"/>
                <w:b/>
                <w:color w:val="auto"/>
                <w:szCs w:val="21"/>
                <w:u w:val="single"/>
                <w:lang w:val="en-US" w:eastAsia="zh-CN"/>
              </w:rPr>
              <w:t>3</w:t>
            </w:r>
            <w:r>
              <w:rPr>
                <w:rFonts w:hint="eastAsia" w:ascii="宋体" w:hAnsi="宋体" w:cs="宋体"/>
                <w:b/>
                <w:color w:val="auto"/>
                <w:szCs w:val="21"/>
                <w:u w:val="single"/>
                <w:lang w:eastAsia="zh-CN"/>
              </w:rPr>
              <w:t>月</w:t>
            </w:r>
            <w:r>
              <w:rPr>
                <w:rFonts w:hint="eastAsia" w:ascii="宋体" w:hAnsi="宋体" w:cs="宋体"/>
                <w:b/>
                <w:color w:val="auto"/>
                <w:szCs w:val="21"/>
                <w:u w:val="single"/>
                <w:lang w:val="en-US" w:eastAsia="zh-CN"/>
              </w:rPr>
              <w:t>4</w:t>
            </w:r>
            <w:r>
              <w:rPr>
                <w:rFonts w:hint="eastAsia" w:ascii="宋体" w:hAnsi="宋体" w:cs="宋体"/>
                <w:b/>
                <w:color w:val="auto"/>
                <w:szCs w:val="21"/>
                <w:u w:val="single"/>
                <w:lang w:eastAsia="zh-CN"/>
              </w:rPr>
              <w:t>日10时00分</w:t>
            </w:r>
            <w:r>
              <w:rPr>
                <w:rFonts w:hint="eastAsia" w:ascii="宋体" w:hAnsi="宋体" w:cs="宋体"/>
                <w:b/>
                <w:szCs w:val="21"/>
              </w:rPr>
              <w:t>前，逾期递交，概不接受。同时在响应文件递交截止时间前,供应商到安徽大别山工程咨询有限公司二楼开标厅参加投标。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12</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响应文件要求</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标书要求：纸质响应文件，</w:t>
            </w:r>
            <w:r>
              <w:rPr>
                <w:rFonts w:hint="eastAsia" w:ascii="宋体" w:hAnsi="宋体" w:cs="宋体"/>
                <w:spacing w:val="-4"/>
                <w:szCs w:val="21"/>
              </w:rPr>
              <w:t>应在响应文件递交截止时间内</w:t>
            </w:r>
            <w:r>
              <w:rPr>
                <w:rFonts w:hint="eastAsia" w:ascii="宋体" w:hAnsi="宋体" w:cs="宋体"/>
                <w:szCs w:val="21"/>
              </w:rPr>
              <w:t>递交到</w:t>
            </w:r>
            <w:r>
              <w:rPr>
                <w:rFonts w:hint="eastAsia" w:ascii="宋体" w:hAnsi="宋体" w:cs="宋体"/>
                <w:szCs w:val="21"/>
                <w:shd w:val="clear" w:color="auto" w:fill="FFFFFF"/>
              </w:rPr>
              <w:t>安徽大别山工程咨询有限公司二楼第一开标厅（201室）</w:t>
            </w:r>
            <w:r>
              <w:rPr>
                <w:rFonts w:hint="eastAsia" w:ascii="宋体" w:hAnsi="宋体" w:cs="宋体"/>
                <w:spacing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13</w:t>
            </w:r>
          </w:p>
        </w:tc>
        <w:tc>
          <w:tcPr>
            <w:tcW w:w="1825" w:type="dxa"/>
            <w:vAlign w:val="center"/>
          </w:tcPr>
          <w:p>
            <w:pPr>
              <w:pStyle w:val="12"/>
              <w:adjustRightInd w:val="0"/>
              <w:snapToGrid w:val="0"/>
              <w:spacing w:line="300" w:lineRule="exact"/>
              <w:jc w:val="center"/>
              <w:rPr>
                <w:rFonts w:ascii="宋体" w:hAnsi="宋体" w:eastAsia="宋体" w:cs="宋体"/>
                <w:sz w:val="21"/>
                <w:szCs w:val="21"/>
              </w:rPr>
            </w:pPr>
            <w:r>
              <w:rPr>
                <w:rFonts w:hint="eastAsia" w:ascii="宋体" w:hAnsi="宋体" w:eastAsia="宋体" w:cs="宋体"/>
                <w:bCs/>
                <w:sz w:val="21"/>
                <w:szCs w:val="21"/>
              </w:rPr>
              <w:t>递交响应文件注意事项</w:t>
            </w:r>
          </w:p>
        </w:tc>
        <w:tc>
          <w:tcPr>
            <w:tcW w:w="7568" w:type="dxa"/>
            <w:vAlign w:val="center"/>
          </w:tcPr>
          <w:p>
            <w:pPr>
              <w:pStyle w:val="11"/>
              <w:adjustRightInd w:val="0"/>
              <w:snapToGrid w:val="0"/>
              <w:spacing w:line="320" w:lineRule="exact"/>
              <w:jc w:val="left"/>
              <w:rPr>
                <w:rFonts w:hAnsi="宋体" w:cs="宋体"/>
                <w:szCs w:val="21"/>
              </w:rPr>
            </w:pPr>
            <w:r>
              <w:rPr>
                <w:rFonts w:hint="eastAsia" w:hAnsi="宋体" w:cs="宋体"/>
                <w:szCs w:val="21"/>
              </w:rPr>
              <w:t>纸质响应文件</w:t>
            </w:r>
            <w:r>
              <w:rPr>
                <w:rFonts w:hint="eastAsia" w:hAnsi="宋体" w:cs="宋体"/>
                <w:bCs/>
                <w:szCs w:val="21"/>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采购方式</w:t>
            </w:r>
          </w:p>
        </w:tc>
        <w:tc>
          <w:tcPr>
            <w:tcW w:w="7568" w:type="dxa"/>
            <w:vAlign w:val="center"/>
          </w:tcPr>
          <w:p>
            <w:pPr>
              <w:shd w:val="solid" w:color="FFFFFF" w:fill="auto"/>
              <w:autoSpaceDN w:val="0"/>
              <w:spacing w:line="380" w:lineRule="exact"/>
              <w:rPr>
                <w:rFonts w:ascii="宋体" w:hAnsi="宋体" w:cs="宋体"/>
                <w:b/>
                <w:bCs/>
                <w:szCs w:val="21"/>
              </w:rPr>
            </w:pPr>
            <w:r>
              <w:rPr>
                <w:rFonts w:hint="eastAsia" w:ascii="宋体" w:hAnsi="宋体"/>
                <w:szCs w:val="21"/>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shd w:val="clear" w:color="auto" w:fill="FFFFFF"/>
                <w:lang w:eastAsia="zh-CN"/>
              </w:rPr>
              <w:t>安徽</w:t>
            </w:r>
            <w:r>
              <w:rPr>
                <w:rFonts w:hint="eastAsia" w:ascii="宋体" w:hAnsi="宋体" w:cs="宋体"/>
                <w:szCs w:val="21"/>
                <w:shd w:val="clear" w:color="auto" w:fill="FFFFFF"/>
                <w:lang w:val="en-US" w:eastAsia="zh-CN"/>
              </w:rPr>
              <w:t>霍山</w:t>
            </w:r>
            <w:r>
              <w:rPr>
                <w:rFonts w:hint="eastAsia" w:ascii="宋体" w:hAnsi="宋体" w:cs="宋体"/>
                <w:szCs w:val="21"/>
                <w:shd w:val="clear" w:color="auto" w:fill="FFFFFF"/>
                <w:lang w:eastAsia="zh-CN"/>
              </w:rPr>
              <w:t>国有资产投资(控股)集团有限公司</w:t>
            </w:r>
            <w:r>
              <w:rPr>
                <w:rFonts w:hint="eastAsia" w:ascii="宋体" w:hAnsi="宋体" w:cs="宋体"/>
                <w:szCs w:val="21"/>
                <w:shd w:val="clear" w:color="auto" w:fill="FFFFFF"/>
              </w:rPr>
              <w:t>（</w:t>
            </w:r>
            <w:r>
              <w:fldChar w:fldCharType="begin"/>
            </w:r>
            <w:r>
              <w:instrText xml:space="preserve"> HYPERLINK "http://www.ahdmig.cn。" </w:instrText>
            </w:r>
            <w:r>
              <w:fldChar w:fldCharType="separate"/>
            </w:r>
            <w:r>
              <w:rPr>
                <w:rStyle w:val="33"/>
                <w:rFonts w:hint="eastAsia" w:ascii="宋体" w:hAnsi="宋体" w:cs="宋体"/>
                <w:kern w:val="0"/>
                <w:sz w:val="24"/>
                <w:shd w:val="clear" w:color="auto" w:fill="FFFFFF"/>
                <w:lang w:bidi="ar"/>
              </w:rPr>
              <w:t>www.ahdmig.cn。</w:t>
            </w:r>
            <w:r>
              <w:rPr>
                <w:rStyle w:val="33"/>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15</w:t>
            </w:r>
          </w:p>
        </w:tc>
        <w:tc>
          <w:tcPr>
            <w:tcW w:w="1825" w:type="dxa"/>
            <w:vAlign w:val="center"/>
          </w:tcPr>
          <w:p>
            <w:pPr>
              <w:adjustRightInd w:val="0"/>
              <w:snapToGrid w:val="0"/>
              <w:spacing w:line="300" w:lineRule="exact"/>
              <w:jc w:val="center"/>
              <w:rPr>
                <w:rFonts w:ascii="宋体" w:hAnsi="宋体" w:cs="宋体"/>
                <w:szCs w:val="21"/>
              </w:rPr>
            </w:pPr>
            <w:r>
              <w:rPr>
                <w:rFonts w:hint="eastAsia" w:ascii="宋体" w:hAnsi="宋体" w:cs="宋体"/>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rPr>
            </w:pPr>
            <w:r>
              <w:rPr>
                <w:rFonts w:hint="eastAsia" w:ascii="宋体" w:hAnsi="宋体" w:cs="宋体"/>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16</w:t>
            </w:r>
          </w:p>
        </w:tc>
        <w:tc>
          <w:tcPr>
            <w:tcW w:w="1825" w:type="dxa"/>
            <w:vAlign w:val="center"/>
          </w:tcPr>
          <w:p>
            <w:pPr>
              <w:adjustRightInd w:val="0"/>
              <w:snapToGrid w:val="0"/>
              <w:spacing w:line="300" w:lineRule="exact"/>
              <w:jc w:val="center"/>
              <w:rPr>
                <w:rFonts w:ascii="宋体" w:hAnsi="宋体" w:cs="宋体"/>
              </w:rPr>
            </w:pPr>
            <w:r>
              <w:rPr>
                <w:rFonts w:hint="eastAsia" w:ascii="宋体" w:hAnsi="宋体"/>
                <w:sz w:val="24"/>
                <w:szCs w:val="24"/>
              </w:rPr>
              <w:t>答疑</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rPr>
            </w:pPr>
            <w:r>
              <w:rPr>
                <w:rFonts w:hint="eastAsia" w:ascii="宋体" w:hAnsi="宋体" w:cs="宋体"/>
                <w:szCs w:val="21"/>
              </w:rPr>
              <w:t>答复：将于开标前1天在</w:t>
            </w:r>
            <w:r>
              <w:rPr>
                <w:rFonts w:hint="eastAsia" w:ascii="宋体" w:hAnsi="宋体" w:cs="宋体"/>
                <w:szCs w:val="21"/>
                <w:shd w:val="clear" w:color="auto" w:fill="FFFFFF"/>
                <w:lang w:eastAsia="zh-CN"/>
              </w:rPr>
              <w:t>安徽</w:t>
            </w:r>
            <w:r>
              <w:rPr>
                <w:rFonts w:hint="eastAsia" w:ascii="宋体" w:hAnsi="宋体" w:cs="宋体"/>
                <w:szCs w:val="21"/>
                <w:shd w:val="clear" w:color="auto" w:fill="FFFFFF"/>
                <w:lang w:val="en-US" w:eastAsia="zh-CN"/>
              </w:rPr>
              <w:t>霍山</w:t>
            </w:r>
            <w:r>
              <w:rPr>
                <w:rFonts w:hint="eastAsia" w:ascii="宋体" w:hAnsi="宋体" w:cs="宋体"/>
                <w:szCs w:val="21"/>
                <w:shd w:val="clear" w:color="auto" w:fill="FFFFFF"/>
                <w:lang w:eastAsia="zh-CN"/>
              </w:rPr>
              <w:t>国有资产投资(控股)集团有限公司</w:t>
            </w:r>
            <w:r>
              <w:rPr>
                <w:rFonts w:hint="eastAsia" w:ascii="宋体" w:hAnsi="宋体" w:cs="宋体"/>
                <w:szCs w:val="21"/>
                <w:shd w:val="clear" w:color="auto" w:fill="FFFFFF"/>
              </w:rPr>
              <w:t>（</w:t>
            </w:r>
            <w:r>
              <w:fldChar w:fldCharType="begin"/>
            </w:r>
            <w:r>
              <w:instrText xml:space="preserve"> HYPERLINK "http://www.ahdmig.cn。" </w:instrText>
            </w:r>
            <w:r>
              <w:fldChar w:fldCharType="separate"/>
            </w:r>
            <w:r>
              <w:rPr>
                <w:rStyle w:val="33"/>
                <w:rFonts w:hint="eastAsia" w:ascii="宋体" w:hAnsi="宋体" w:cs="宋体"/>
                <w:kern w:val="0"/>
                <w:sz w:val="24"/>
                <w:shd w:val="clear" w:color="auto" w:fill="FFFFFF"/>
                <w:lang w:bidi="ar"/>
              </w:rPr>
              <w:t>www.ahdmig.cn。</w:t>
            </w:r>
            <w:r>
              <w:rPr>
                <w:rStyle w:val="33"/>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中发布</w:t>
            </w:r>
            <w:r>
              <w:rPr>
                <w:rFonts w:hint="eastAsia" w:ascii="宋体" w:hAnsi="宋体" w:cs="宋体"/>
                <w:szCs w:val="21"/>
              </w:rPr>
              <w:t>，招标人不再另行通知，该答复内容为询价文件的组成部分，对供应商具有同样约束力效力。</w:t>
            </w:r>
          </w:p>
          <w:p>
            <w:pPr>
              <w:adjustRightInd w:val="0"/>
              <w:snapToGrid w:val="0"/>
              <w:spacing w:line="320" w:lineRule="exact"/>
              <w:rPr>
                <w:rFonts w:ascii="宋体" w:hAnsi="宋体" w:cs="宋体"/>
                <w:szCs w:val="21"/>
              </w:rPr>
            </w:pPr>
            <w:r>
              <w:rPr>
                <w:rFonts w:hint="eastAsia" w:ascii="宋体" w:hAnsi="宋体" w:cs="宋体"/>
                <w:szCs w:val="21"/>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rPr>
            </w:pPr>
            <w:r>
              <w:rPr>
                <w:rFonts w:hint="eastAsia" w:ascii="宋体" w:hAnsi="宋体" w:cs="宋体"/>
                <w:szCs w:val="21"/>
              </w:rPr>
              <w:t>质疑函应当包括下列主要内容：</w:t>
            </w:r>
            <w:r>
              <w:rPr>
                <w:rFonts w:hint="eastAsia" w:ascii="宋体" w:hAnsi="宋体" w:cs="宋体"/>
                <w:szCs w:val="21"/>
              </w:rPr>
              <w:br w:type="textWrapping"/>
            </w:r>
            <w:r>
              <w:rPr>
                <w:rFonts w:hint="eastAsia" w:ascii="宋体" w:hAnsi="宋体" w:cs="宋体"/>
                <w:szCs w:val="21"/>
              </w:rPr>
              <w:t>1.质疑人的名称、地址、联系电话(固定电话及手机)；</w:t>
            </w:r>
            <w:r>
              <w:rPr>
                <w:rFonts w:hint="eastAsia" w:ascii="宋体" w:hAnsi="宋体" w:cs="宋体"/>
                <w:szCs w:val="21"/>
              </w:rPr>
              <w:br w:type="textWrapping"/>
            </w:r>
            <w:r>
              <w:rPr>
                <w:rFonts w:hint="eastAsia" w:ascii="宋体" w:hAnsi="宋体" w:cs="宋体"/>
                <w:szCs w:val="21"/>
              </w:rPr>
              <w:t>2.项目名称、项目编号及标段号或分包号；</w:t>
            </w:r>
            <w:r>
              <w:rPr>
                <w:rFonts w:hint="eastAsia" w:ascii="宋体" w:hAnsi="宋体" w:cs="宋体"/>
                <w:szCs w:val="21"/>
              </w:rPr>
              <w:br w:type="textWrapping"/>
            </w:r>
            <w:r>
              <w:rPr>
                <w:rFonts w:hint="eastAsia" w:ascii="宋体" w:hAnsi="宋体" w:cs="宋体"/>
                <w:szCs w:val="21"/>
              </w:rPr>
              <w:t>3.具体的质疑事项、原因、基本事实及相关证明材料；</w:t>
            </w:r>
            <w:r>
              <w:rPr>
                <w:rFonts w:hint="eastAsia" w:ascii="宋体" w:hAnsi="宋体" w:cs="宋体"/>
                <w:szCs w:val="21"/>
              </w:rPr>
              <w:br w:type="textWrapping"/>
            </w:r>
            <w:r>
              <w:rPr>
                <w:rFonts w:hint="eastAsia" w:ascii="宋体" w:hAnsi="宋体" w:cs="宋体"/>
                <w:szCs w:val="21"/>
              </w:rPr>
              <w:t>4.本次质疑的法人授权书（后附法人、被授权人身份证扫描件）；</w:t>
            </w:r>
            <w:r>
              <w:rPr>
                <w:rFonts w:hint="eastAsia" w:ascii="宋体" w:hAnsi="宋体" w:cs="宋体"/>
                <w:szCs w:val="21"/>
              </w:rPr>
              <w:br w:type="textWrapping"/>
            </w:r>
            <w:r>
              <w:rPr>
                <w:rFonts w:hint="eastAsia" w:ascii="宋体" w:hAnsi="宋体" w:cs="宋体"/>
                <w:szCs w:val="21"/>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询价保证金</w:t>
            </w:r>
          </w:p>
        </w:tc>
        <w:tc>
          <w:tcPr>
            <w:tcW w:w="7568" w:type="dxa"/>
            <w:vAlign w:val="center"/>
          </w:tcPr>
          <w:p>
            <w:pPr>
              <w:adjustRightInd w:val="0"/>
              <w:snapToGrid w:val="0"/>
              <w:spacing w:line="320" w:lineRule="exact"/>
              <w:ind w:firstLine="420" w:firstLineChars="200"/>
              <w:rPr>
                <w:rFonts w:ascii="宋体" w:hAnsi="宋体" w:cs="宋体"/>
                <w:bCs/>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履约保证金</w:t>
            </w:r>
          </w:p>
        </w:tc>
        <w:tc>
          <w:tcPr>
            <w:tcW w:w="7568" w:type="dxa"/>
            <w:vAlign w:val="center"/>
          </w:tcPr>
          <w:p>
            <w:pPr>
              <w:adjustRightInd w:val="0"/>
              <w:snapToGrid w:val="0"/>
              <w:spacing w:line="320" w:lineRule="exact"/>
              <w:ind w:firstLine="420" w:firstLineChars="200"/>
              <w:rPr>
                <w:rFonts w:ascii="宋体" w:hAnsi="宋体" w:cs="宋体"/>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备注一</w:t>
            </w:r>
          </w:p>
        </w:tc>
        <w:tc>
          <w:tcPr>
            <w:tcW w:w="7568" w:type="dxa"/>
            <w:vAlign w:val="center"/>
          </w:tcPr>
          <w:p>
            <w:pPr>
              <w:pStyle w:val="46"/>
              <w:adjustRightInd w:val="0"/>
              <w:snapToGrid w:val="0"/>
              <w:spacing w:line="320" w:lineRule="exact"/>
              <w:rPr>
                <w:rFonts w:ascii="宋体" w:hAnsi="宋体" w:cs="宋体"/>
                <w:sz w:val="21"/>
                <w:szCs w:val="21"/>
              </w:rPr>
            </w:pPr>
            <w:r>
              <w:rPr>
                <w:rFonts w:hint="eastAsia" w:ascii="宋体" w:hAnsi="宋体" w:cs="宋体"/>
                <w:sz w:val="21"/>
                <w:szCs w:val="21"/>
              </w:rPr>
              <w:t>1、存在以下不良信用记录情形之一的，不得推荐为成交候选供应商：</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（1）供应商被人民法院列入失信被执行人的；</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（2）供应商或其法定代表人被人民检察院列入行贿犯罪档案的；</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（3）供应商被工商行政管理部门列入企业经营异常名录的；</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（4）供应商被税务部门列入重大税收违法案件当事人名单的；</w:t>
            </w:r>
          </w:p>
          <w:p>
            <w:pPr>
              <w:pStyle w:val="46"/>
              <w:adjustRightInd w:val="0"/>
              <w:snapToGrid w:val="0"/>
              <w:spacing w:line="320" w:lineRule="exact"/>
              <w:rPr>
                <w:rFonts w:ascii="宋体" w:hAnsi="宋体" w:cs="宋体"/>
                <w:spacing w:val="-4"/>
                <w:sz w:val="21"/>
                <w:szCs w:val="21"/>
              </w:rPr>
            </w:pPr>
            <w:r>
              <w:rPr>
                <w:rFonts w:hint="eastAsia" w:ascii="宋体" w:hAnsi="宋体" w:cs="宋体"/>
                <w:sz w:val="21"/>
                <w:szCs w:val="21"/>
              </w:rPr>
              <w:t>（5）</w:t>
            </w:r>
            <w:r>
              <w:rPr>
                <w:rFonts w:hint="eastAsia" w:ascii="宋体" w:hAnsi="宋体" w:cs="宋体"/>
                <w:spacing w:val="-4"/>
                <w:sz w:val="21"/>
                <w:szCs w:val="21"/>
              </w:rPr>
              <w:t>供应商被政府采购监管部门列入政府采购严重违法失信行为记录名单的。</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2、联合体供应商，联合体任何一方存在上述不良信用记录的，视同联合体存在不良信用记录。</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3、供应商存在以下不良信用记录情形之一的，不得推荐为成交候选供应商，不得确定为成交供应商（仅以下述渠道查询结果为准，其他网站无效）</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(1)失信被执行人：信用中国官网（www.creditchina.gov.cn）</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(2)企业经营异常名录：国家企业信用信息公示系统网（www.gsxt.gov.cn）</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(3)重大税收违法案件当事人名单：信用中国官网（www.creditchina.gov.cn）</w:t>
            </w:r>
          </w:p>
          <w:p>
            <w:pPr>
              <w:pStyle w:val="46"/>
              <w:adjustRightInd w:val="0"/>
              <w:snapToGrid w:val="0"/>
              <w:spacing w:line="320" w:lineRule="exact"/>
              <w:rPr>
                <w:rFonts w:ascii="宋体" w:hAnsi="宋体" w:cs="宋体"/>
                <w:sz w:val="21"/>
                <w:szCs w:val="21"/>
              </w:rPr>
            </w:pPr>
            <w:r>
              <w:rPr>
                <w:rFonts w:hint="eastAsia" w:ascii="宋体" w:hAnsi="宋体" w:cs="宋体"/>
                <w:sz w:val="21"/>
                <w:szCs w:val="21"/>
              </w:rPr>
              <w:t>(4)政府采购严重违法失信行为记录名单：中国政府采购官网（www.ccgp.gov.cn）</w:t>
            </w:r>
          </w:p>
          <w:p>
            <w:pPr>
              <w:pStyle w:val="46"/>
              <w:adjustRightInd w:val="0"/>
              <w:snapToGrid w:val="0"/>
              <w:spacing w:line="320" w:lineRule="exact"/>
              <w:rPr>
                <w:rFonts w:ascii="宋体" w:hAnsi="宋体" w:cs="宋体"/>
                <w:b/>
                <w:bCs/>
                <w:kern w:val="0"/>
                <w:szCs w:val="21"/>
                <w:shd w:val="clear" w:color="auto" w:fill="FFFFFF"/>
              </w:rPr>
            </w:pPr>
            <w:r>
              <w:rPr>
                <w:rFonts w:hint="eastAsia" w:ascii="宋体" w:hAnsi="宋体" w:cs="宋体"/>
                <w:sz w:val="21"/>
                <w:szCs w:val="21"/>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rPr>
            </w:pP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备注二</w:t>
            </w:r>
          </w:p>
        </w:tc>
        <w:tc>
          <w:tcPr>
            <w:tcW w:w="7568" w:type="dxa"/>
            <w:vAlign w:val="center"/>
          </w:tcPr>
          <w:p>
            <w:pPr>
              <w:pStyle w:val="46"/>
              <w:adjustRightInd w:val="0"/>
              <w:snapToGrid w:val="0"/>
              <w:spacing w:line="320" w:lineRule="exact"/>
              <w:rPr>
                <w:rFonts w:ascii="宋体" w:hAnsi="宋体" w:cs="宋体"/>
                <w:b/>
                <w:sz w:val="21"/>
                <w:szCs w:val="21"/>
              </w:rPr>
            </w:pPr>
            <w:r>
              <w:rPr>
                <w:rFonts w:hint="eastAsia" w:ascii="宋体" w:hAnsi="宋体" w:cs="宋体"/>
                <w:b/>
                <w:sz w:val="21"/>
                <w:szCs w:val="21"/>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8" w:hRule="atLeast"/>
          <w:jc w:val="center"/>
        </w:trPr>
        <w:tc>
          <w:tcPr>
            <w:tcW w:w="10163" w:type="dxa"/>
            <w:gridSpan w:val="3"/>
            <w:vAlign w:val="center"/>
          </w:tcPr>
          <w:p>
            <w:pPr>
              <w:keepNext w:val="0"/>
              <w:keepLines w:val="0"/>
              <w:pageBreakBefore w:val="0"/>
              <w:kinsoku/>
              <w:wordWrap/>
              <w:overflowPunct/>
              <w:topLinePunct w:val="0"/>
              <w:autoSpaceDE/>
              <w:autoSpaceDN/>
              <w:bidi w:val="0"/>
              <w:adjustRightInd w:val="0"/>
              <w:snapToGrid w:val="0"/>
              <w:spacing w:line="240" w:lineRule="auto"/>
              <w:jc w:val="left"/>
              <w:textAlignment w:val="auto"/>
            </w:pPr>
            <w:r>
              <w:rPr>
                <w:rFonts w:hint="eastAsia"/>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keepNext w:val="0"/>
              <w:keepLines w:val="0"/>
              <w:pageBreakBefore w:val="0"/>
              <w:widowControl/>
              <w:kinsoku/>
              <w:wordWrap/>
              <w:overflowPunct/>
              <w:topLinePunct w:val="0"/>
              <w:autoSpaceDE/>
              <w:autoSpaceDN/>
              <w:bidi w:val="0"/>
              <w:adjustRightInd w:val="0"/>
              <w:snapToGrid w:val="0"/>
              <w:spacing w:line="240" w:lineRule="auto"/>
              <w:textAlignment w:val="auto"/>
            </w:pPr>
            <w:r>
              <w:rPr>
                <w:rFonts w:hint="eastAsia"/>
              </w:rPr>
              <w:t>代理费缴纳账户：</w:t>
            </w:r>
          </w:p>
          <w:p>
            <w:pPr>
              <w:keepNext w:val="0"/>
              <w:keepLines w:val="0"/>
              <w:pageBreakBefore w:val="0"/>
              <w:widowControl/>
              <w:kinsoku/>
              <w:wordWrap/>
              <w:overflowPunct/>
              <w:topLinePunct w:val="0"/>
              <w:autoSpaceDE/>
              <w:autoSpaceDN/>
              <w:bidi w:val="0"/>
              <w:adjustRightInd w:val="0"/>
              <w:snapToGrid w:val="0"/>
              <w:spacing w:line="240" w:lineRule="auto"/>
              <w:textAlignment w:val="auto"/>
            </w:pPr>
            <w:r>
              <w:rPr>
                <w:rFonts w:hint="eastAsia"/>
              </w:rPr>
              <w:t>户名：安徽大别山工程咨询有限公司</w:t>
            </w:r>
          </w:p>
          <w:p>
            <w:pPr>
              <w:keepNext w:val="0"/>
              <w:keepLines w:val="0"/>
              <w:pageBreakBefore w:val="0"/>
              <w:widowControl/>
              <w:kinsoku/>
              <w:wordWrap/>
              <w:overflowPunct/>
              <w:topLinePunct w:val="0"/>
              <w:autoSpaceDE/>
              <w:autoSpaceDN/>
              <w:bidi w:val="0"/>
              <w:adjustRightInd w:val="0"/>
              <w:snapToGrid w:val="0"/>
              <w:spacing w:line="240" w:lineRule="auto"/>
              <w:textAlignment w:val="auto"/>
            </w:pPr>
            <w:r>
              <w:rPr>
                <w:rFonts w:hint="eastAsia"/>
              </w:rPr>
              <w:t>开户行：安徽霍山农村商业银行股份有限公司营业部</w:t>
            </w:r>
          </w:p>
          <w:p>
            <w:pPr>
              <w:pStyle w:val="39"/>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账号：20010048352066600000012</w:t>
            </w:r>
          </w:p>
          <w:p>
            <w:pPr>
              <w:keepNext w:val="0"/>
              <w:keepLines w:val="0"/>
              <w:pageBreakBefore w:val="0"/>
              <w:numPr>
                <w:ilvl w:val="0"/>
                <w:numId w:val="1"/>
              </w:numPr>
              <w:kinsoku/>
              <w:wordWrap/>
              <w:overflowPunct/>
              <w:topLinePunct w:val="0"/>
              <w:autoSpaceDE/>
              <w:autoSpaceDN/>
              <w:bidi w:val="0"/>
              <w:adjustRightInd w:val="0"/>
              <w:snapToGrid w:val="0"/>
              <w:spacing w:line="240" w:lineRule="auto"/>
              <w:jc w:val="left"/>
              <w:textAlignment w:val="auto"/>
            </w:pPr>
            <w:r>
              <w:rPr>
                <w:rFonts w:hint="eastAsia"/>
              </w:rPr>
              <w:t>投标人在响应文件递交截止时间内收到的响应文件不足三家的，或评审过程中造成流标现象的，其响应文件也不予退还给投标人。</w:t>
            </w:r>
          </w:p>
        </w:tc>
      </w:tr>
    </w:tbl>
    <w:p>
      <w:pPr>
        <w:pStyle w:val="3"/>
        <w:numPr>
          <w:ilvl w:val="0"/>
          <w:numId w:val="2"/>
        </w:numPr>
        <w:snapToGrid w:val="0"/>
        <w:spacing w:before="100" w:after="100" w:line="360" w:lineRule="exact"/>
        <w:jc w:val="center"/>
        <w:rPr>
          <w:rFonts w:ascii="宋体" w:hAnsi="宋体" w:eastAsia="宋体" w:cs="宋体"/>
          <w:bCs/>
          <w:sz w:val="28"/>
          <w:szCs w:val="28"/>
        </w:rPr>
      </w:pPr>
      <w:bookmarkStart w:id="9" w:name="_Toc16823"/>
      <w:bookmarkStart w:id="10" w:name="_Toc438107743"/>
      <w:bookmarkStart w:id="11" w:name="_Toc216158627"/>
      <w:bookmarkStart w:id="12" w:name="_Toc363199267"/>
      <w:r>
        <w:rPr>
          <w:rFonts w:hint="eastAsia" w:ascii="宋体" w:hAnsi="宋体" w:eastAsia="宋体" w:cs="宋体"/>
          <w:bCs/>
          <w:sz w:val="28"/>
          <w:szCs w:val="28"/>
        </w:rPr>
        <w:t>供应商资格</w:t>
      </w:r>
      <w:bookmarkEnd w:id="9"/>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pPr>
      <w:r>
        <w:rPr>
          <w:rFonts w:hint="eastAsia" w:ascii="宋体" w:hAnsi="宋体" w:eastAsia="宋体" w:cs="宋体"/>
          <w:b/>
          <w:color w:val="000000"/>
          <w:kern w:val="10"/>
          <w:sz w:val="24"/>
          <w:szCs w:val="24"/>
          <w:highlight w:val="none"/>
        </w:rPr>
        <w:t>评审办法前附表一（资格审查指标表）</w:t>
      </w:r>
    </w:p>
    <w:tbl>
      <w:tblPr>
        <w:tblStyle w:val="22"/>
        <w:tblW w:w="9799" w:type="dxa"/>
        <w:jc w:val="center"/>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jc w:val="center"/>
        </w:trPr>
        <w:tc>
          <w:tcPr>
            <w:tcW w:w="82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序号</w:t>
            </w:r>
          </w:p>
        </w:tc>
        <w:tc>
          <w:tcPr>
            <w:tcW w:w="2411"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评审因素</w:t>
            </w:r>
          </w:p>
        </w:tc>
        <w:tc>
          <w:tcPr>
            <w:tcW w:w="6566"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投标资格评审标准</w:t>
            </w:r>
          </w:p>
        </w:tc>
      </w:tr>
      <w:tr>
        <w:tblPrEx>
          <w:tblCellMar>
            <w:top w:w="0" w:type="dxa"/>
            <w:left w:w="108" w:type="dxa"/>
            <w:bottom w:w="0" w:type="dxa"/>
            <w:right w:w="108" w:type="dxa"/>
          </w:tblCellMar>
        </w:tblPrEx>
        <w:trPr>
          <w:trHeight w:val="106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1</w:t>
            </w:r>
          </w:p>
        </w:tc>
        <w:tc>
          <w:tcPr>
            <w:tcW w:w="24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hint="eastAsia" w:ascii="宋体" w:hAnsi="宋体" w:cs="宋体"/>
                <w:color w:val="000000"/>
                <w:szCs w:val="21"/>
              </w:rPr>
            </w:pPr>
            <w:r>
              <w:rPr>
                <w:rFonts w:hint="eastAsia" w:ascii="宋体" w:hAnsi="宋体" w:cs="宋体"/>
                <w:color w:val="000000"/>
                <w:szCs w:val="21"/>
              </w:rPr>
              <w:t>法人授权委托书及</w:t>
            </w:r>
          </w:p>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代理人身份证</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both"/>
              <w:rPr>
                <w:rFonts w:ascii="宋体" w:hAnsi="宋体" w:cs="宋体"/>
                <w:color w:val="000000"/>
                <w:spacing w:val="-4"/>
                <w:szCs w:val="21"/>
              </w:rPr>
            </w:pPr>
            <w:r>
              <w:rPr>
                <w:rFonts w:hint="eastAsia" w:ascii="宋体" w:hAnsi="宋体" w:cs="宋体"/>
                <w:color w:val="000000"/>
                <w:spacing w:val="-4"/>
                <w:szCs w:val="21"/>
              </w:rPr>
              <w:t>若法人代表本人参加开标会则只需查验身份证；若代理人参加开标</w:t>
            </w:r>
            <w:r>
              <w:rPr>
                <w:rFonts w:hint="eastAsia" w:ascii="宋体" w:hAnsi="宋体" w:cs="宋体"/>
                <w:color w:val="000000"/>
                <w:spacing w:val="-2"/>
                <w:szCs w:val="21"/>
              </w:rPr>
              <w:t>会则需查验法人授权委托书、代理人居民身份证</w:t>
            </w:r>
            <w:r>
              <w:rPr>
                <w:rFonts w:hint="eastAsia" w:ascii="宋体" w:hAnsi="宋体" w:cs="宋体"/>
                <w:b/>
                <w:bCs/>
                <w:color w:val="000000"/>
                <w:spacing w:val="-2"/>
                <w:szCs w:val="21"/>
              </w:rPr>
              <w:t>（响应文件中需提供加盖投标人公章的复印件</w:t>
            </w:r>
            <w:r>
              <w:rPr>
                <w:rFonts w:hint="eastAsia" w:ascii="宋体" w:hAnsi="宋体" w:cs="宋体"/>
                <w:b/>
                <w:bCs/>
                <w:color w:val="000000"/>
                <w:spacing w:val="-4"/>
                <w:szCs w:val="21"/>
              </w:rPr>
              <w:t>，评标现场查验原件）</w:t>
            </w:r>
            <w:r>
              <w:rPr>
                <w:rFonts w:hint="eastAsia" w:ascii="宋体" w:hAnsi="宋体" w:cs="宋体"/>
                <w:color w:val="000000"/>
                <w:spacing w:val="-4"/>
                <w:szCs w:val="21"/>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2</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cs="宋体"/>
                <w:color w:val="000000"/>
                <w:spacing w:val="-2"/>
                <w:szCs w:val="21"/>
              </w:rPr>
            </w:pPr>
            <w:r>
              <w:rPr>
                <w:rFonts w:hint="eastAsia" w:ascii="宋体" w:hAnsi="宋体" w:cs="宋体"/>
                <w:color w:val="000000"/>
                <w:spacing w:val="-2"/>
                <w:szCs w:val="21"/>
              </w:rPr>
              <w:t>供应商应具备</w:t>
            </w:r>
          </w:p>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独立法人资格</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宋体" w:hAnsi="宋体" w:cs="宋体"/>
                <w:color w:val="000000"/>
                <w:spacing w:val="-2"/>
                <w:szCs w:val="21"/>
              </w:rPr>
            </w:pPr>
            <w:r>
              <w:rPr>
                <w:rFonts w:hint="eastAsia" w:ascii="宋体" w:hAnsi="宋体" w:cs="宋体"/>
                <w:color w:val="000000"/>
                <w:spacing w:val="-2"/>
                <w:szCs w:val="21"/>
              </w:rPr>
              <w:t>营业执照正本或副本（</w:t>
            </w:r>
            <w:r>
              <w:rPr>
                <w:rFonts w:hint="eastAsia" w:ascii="宋体" w:hAnsi="宋体" w:cs="宋体"/>
                <w:b/>
                <w:bCs/>
                <w:color w:val="000000"/>
                <w:spacing w:val="-2"/>
                <w:szCs w:val="21"/>
              </w:rPr>
              <w:t>响应文件中需提供加盖投标人公章的复印件</w:t>
            </w:r>
            <w:r>
              <w:rPr>
                <w:rFonts w:hint="eastAsia" w:ascii="宋体" w:hAnsi="宋体" w:cs="宋体"/>
                <w:color w:val="000000"/>
                <w:spacing w:val="-2"/>
                <w:szCs w:val="21"/>
              </w:rPr>
              <w:t>）。</w:t>
            </w:r>
          </w:p>
        </w:tc>
      </w:tr>
      <w:tr>
        <w:tblPrEx>
          <w:tblCellMar>
            <w:top w:w="0" w:type="dxa"/>
            <w:left w:w="108" w:type="dxa"/>
            <w:bottom w:w="0" w:type="dxa"/>
            <w:right w:w="108" w:type="dxa"/>
          </w:tblCellMar>
        </w:tblPrEx>
        <w:trPr>
          <w:trHeight w:val="115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3</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cs="宋体"/>
                <w:color w:val="000000"/>
                <w:spacing w:val="-2"/>
                <w:szCs w:val="21"/>
              </w:rPr>
            </w:pPr>
            <w:r>
              <w:rPr>
                <w:rFonts w:hint="eastAsia" w:ascii="宋体" w:hAnsi="宋体" w:cs="宋体"/>
                <w:color w:val="000000"/>
                <w:spacing w:val="-2"/>
                <w:szCs w:val="21"/>
              </w:rPr>
              <w:t>供应商须具有林业有害生物监测类似业绩</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hint="eastAsia" w:ascii="宋体" w:hAnsi="宋体" w:cs="宋体"/>
                <w:color w:val="000000"/>
                <w:spacing w:val="-2"/>
                <w:szCs w:val="21"/>
              </w:rPr>
            </w:pPr>
            <w:r>
              <w:rPr>
                <w:rFonts w:hint="eastAsia" w:ascii="宋体" w:hAnsi="宋体" w:cs="宋体"/>
                <w:color w:val="000000"/>
                <w:spacing w:val="-2"/>
                <w:szCs w:val="21"/>
              </w:rPr>
              <w:t>供应商</w:t>
            </w:r>
            <w:r>
              <w:rPr>
                <w:rFonts w:hint="eastAsia" w:ascii="宋体" w:hAnsi="宋体" w:cs="宋体"/>
                <w:color w:val="000000"/>
                <w:spacing w:val="-2"/>
                <w:szCs w:val="21"/>
                <w:lang w:val="en-US" w:eastAsia="zh-CN"/>
              </w:rPr>
              <w:t>须</w:t>
            </w:r>
            <w:r>
              <w:rPr>
                <w:rFonts w:hint="eastAsia" w:ascii="宋体" w:hAnsi="宋体" w:cs="宋体"/>
                <w:color w:val="000000"/>
                <w:spacing w:val="-2"/>
                <w:szCs w:val="21"/>
              </w:rPr>
              <w:t>至少提供一个</w:t>
            </w:r>
            <w:r>
              <w:rPr>
                <w:rFonts w:hint="eastAsia" w:ascii="宋体" w:hAnsi="宋体" w:cs="宋体"/>
                <w:color w:val="000000"/>
                <w:spacing w:val="-2"/>
                <w:szCs w:val="21"/>
                <w:lang w:val="en-US" w:eastAsia="zh-CN"/>
              </w:rPr>
              <w:t>类似</w:t>
            </w:r>
            <w:r>
              <w:rPr>
                <w:rFonts w:hint="eastAsia" w:ascii="宋体" w:hAnsi="宋体" w:cs="宋体"/>
                <w:color w:val="000000"/>
                <w:spacing w:val="-2"/>
                <w:szCs w:val="21"/>
              </w:rPr>
              <w:t>项目</w:t>
            </w:r>
            <w:r>
              <w:rPr>
                <w:rFonts w:hint="eastAsia" w:ascii="宋体" w:hAnsi="宋体" w:cs="宋体"/>
                <w:color w:val="000000"/>
                <w:spacing w:val="-2"/>
                <w:szCs w:val="21"/>
                <w:lang w:val="en-US" w:eastAsia="zh-CN"/>
              </w:rPr>
              <w:t>业绩合同或其他有效证明材料</w:t>
            </w:r>
            <w:r>
              <w:rPr>
                <w:rFonts w:hint="eastAsia" w:ascii="宋体" w:hAnsi="宋体" w:cs="宋体"/>
                <w:b/>
                <w:bCs/>
                <w:color w:val="000000"/>
                <w:spacing w:val="-2"/>
                <w:szCs w:val="21"/>
              </w:rPr>
              <w:t>（询价响应文件中需提供加盖投标人公章的复印件）。</w:t>
            </w:r>
          </w:p>
        </w:tc>
      </w:tr>
      <w:tr>
        <w:tblPrEx>
          <w:tblCellMar>
            <w:top w:w="0" w:type="dxa"/>
            <w:left w:w="108" w:type="dxa"/>
            <w:bottom w:w="0" w:type="dxa"/>
            <w:right w:w="108" w:type="dxa"/>
          </w:tblCellMar>
        </w:tblPrEx>
        <w:trPr>
          <w:trHeight w:val="125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4</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cs="宋体"/>
                <w:color w:val="000000"/>
                <w:spacing w:val="-2"/>
                <w:szCs w:val="21"/>
              </w:rPr>
            </w:pPr>
            <w:r>
              <w:rPr>
                <w:rFonts w:hint="eastAsia" w:ascii="宋体" w:hAnsi="宋体" w:cs="宋体"/>
                <w:color w:val="000000"/>
                <w:spacing w:val="-2"/>
                <w:szCs w:val="21"/>
              </w:rPr>
              <w:t>项目负责人需具有林业有害生物监测经验或农林类中级以上技术职称</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hint="eastAsia" w:ascii="宋体" w:hAnsi="宋体" w:cs="宋体"/>
                <w:color w:val="000000"/>
                <w:spacing w:val="-2"/>
                <w:szCs w:val="21"/>
              </w:rPr>
            </w:pPr>
            <w:r>
              <w:rPr>
                <w:rFonts w:hint="eastAsia" w:ascii="宋体" w:hAnsi="宋体" w:cs="宋体"/>
                <w:color w:val="000000"/>
                <w:spacing w:val="-2"/>
                <w:szCs w:val="21"/>
              </w:rPr>
              <w:t>供应商须</w:t>
            </w:r>
            <w:r>
              <w:rPr>
                <w:rFonts w:hint="eastAsia" w:ascii="宋体" w:hAnsi="宋体" w:cs="宋体"/>
                <w:color w:val="000000"/>
                <w:spacing w:val="-2"/>
                <w:szCs w:val="21"/>
                <w:lang w:val="en-US" w:eastAsia="zh-CN"/>
              </w:rPr>
              <w:t>提供项目负责人农林类中级以上技术职称证书或</w:t>
            </w:r>
            <w:r>
              <w:rPr>
                <w:rFonts w:hint="eastAsia" w:ascii="宋体" w:hAnsi="宋体" w:cs="宋体"/>
                <w:color w:val="000000"/>
                <w:spacing w:val="-2"/>
                <w:szCs w:val="21"/>
              </w:rPr>
              <w:t>具有林业有害生物监测经验</w:t>
            </w:r>
            <w:r>
              <w:rPr>
                <w:rFonts w:hint="eastAsia" w:ascii="宋体" w:hAnsi="宋体" w:cs="宋体"/>
                <w:color w:val="000000"/>
                <w:spacing w:val="-2"/>
                <w:szCs w:val="21"/>
                <w:lang w:val="en-US" w:eastAsia="zh-CN"/>
              </w:rPr>
              <w:t>的证明材料</w:t>
            </w:r>
            <w:r>
              <w:rPr>
                <w:rFonts w:hint="eastAsia" w:ascii="宋体" w:hAnsi="宋体" w:cs="宋体"/>
                <w:b/>
                <w:bCs/>
                <w:color w:val="000000"/>
                <w:spacing w:val="-2"/>
                <w:szCs w:val="21"/>
              </w:rPr>
              <w:t>（询价响应文件中需提供加盖投标人公章的复印件）。</w:t>
            </w:r>
          </w:p>
        </w:tc>
      </w:tr>
      <w:tr>
        <w:tblPrEx>
          <w:tblCellMar>
            <w:top w:w="0" w:type="dxa"/>
            <w:left w:w="108" w:type="dxa"/>
            <w:bottom w:w="0" w:type="dxa"/>
            <w:right w:w="108" w:type="dxa"/>
          </w:tblCellMar>
        </w:tblPrEx>
        <w:trPr>
          <w:trHeight w:val="461" w:hRule="atLeast"/>
          <w:jc w:val="center"/>
        </w:trPr>
        <w:tc>
          <w:tcPr>
            <w:tcW w:w="97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s="宋体"/>
                <w:bCs/>
                <w:color w:val="000000"/>
                <w:szCs w:val="21"/>
              </w:rPr>
            </w:pPr>
            <w:r>
              <w:rPr>
                <w:rFonts w:hint="eastAsia" w:ascii="宋体" w:hAnsi="宋体" w:cs="宋体"/>
                <w:b/>
                <w:bCs w:val="0"/>
                <w:color w:val="000000"/>
                <w:szCs w:val="21"/>
              </w:rPr>
              <w:t>未通过或缺少任何一项需提交的材料的，资格审查不合格，按无效投标处理。</w:t>
            </w:r>
          </w:p>
        </w:tc>
      </w:tr>
      <w:bookmarkEnd w:id="10"/>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color w:val="000000"/>
          <w:kern w:val="10"/>
          <w:sz w:val="24"/>
          <w:szCs w:val="24"/>
          <w:highlight w:val="none"/>
        </w:rPr>
      </w:pPr>
      <w:bookmarkStart w:id="13" w:name="_Toc216158625"/>
      <w:bookmarkStart w:id="14" w:name="_Toc12806"/>
      <w:bookmarkStart w:id="15" w:name="_Toc438648662"/>
      <w:bookmarkStart w:id="16" w:name="_Toc363199266"/>
      <w:r>
        <w:rPr>
          <w:rFonts w:hint="eastAsia" w:ascii="宋体" w:hAnsi="宋体" w:eastAsia="宋体" w:cs="宋体"/>
          <w:b/>
          <w:color w:val="000000"/>
          <w:kern w:val="10"/>
          <w:sz w:val="24"/>
          <w:szCs w:val="24"/>
          <w:highlight w:val="none"/>
        </w:rPr>
        <w:t>评审办法前附表二（初步评审指标表）</w:t>
      </w:r>
    </w:p>
    <w:tbl>
      <w:tblPr>
        <w:tblStyle w:val="22"/>
        <w:tblW w:w="0" w:type="auto"/>
        <w:jc w:val="center"/>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w:t>
            </w:r>
          </w:p>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w:t>
            </w:r>
          </w:p>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w:t>
            </w:r>
          </w:p>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color w:val="000000"/>
          <w:kern w:val="10"/>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2"/>
        <w:tblW w:w="9787" w:type="dxa"/>
        <w:jc w:val="center"/>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服务内容响应情况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项目完成时间</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tbl>
    <w:p>
      <w:pPr>
        <w:pStyle w:val="3"/>
        <w:snapToGrid w:val="0"/>
        <w:spacing w:before="100" w:after="100" w:line="360" w:lineRule="exact"/>
        <w:jc w:val="center"/>
        <w:rPr>
          <w:rFonts w:ascii="宋体" w:hAnsi="宋体" w:cs="宋体"/>
          <w:szCs w:val="21"/>
        </w:rPr>
      </w:pPr>
      <w:r>
        <w:rPr>
          <w:rFonts w:hint="eastAsia" w:ascii="宋体" w:hAnsi="宋体" w:eastAsia="宋体" w:cs="宋体"/>
          <w:bCs/>
          <w:sz w:val="28"/>
          <w:szCs w:val="28"/>
        </w:rPr>
        <w:t>（三）供应商必须提交的响应文件内容</w:t>
      </w:r>
      <w:bookmarkEnd w:id="13"/>
      <w:bookmarkEnd w:id="14"/>
      <w:bookmarkEnd w:id="15"/>
      <w:bookmarkEnd w:id="16"/>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1、供应商基本信息；</w:t>
      </w:r>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2、响应授权书；</w:t>
      </w:r>
    </w:p>
    <w:p>
      <w:pPr>
        <w:widowControl/>
        <w:shd w:val="solid" w:color="FFFFFF" w:fill="auto"/>
        <w:adjustRightInd w:val="0"/>
        <w:snapToGrid w:val="0"/>
        <w:spacing w:line="360" w:lineRule="exact"/>
        <w:ind w:firstLine="420" w:firstLineChars="200"/>
        <w:jc w:val="left"/>
        <w:rPr>
          <w:szCs w:val="21"/>
        </w:rPr>
      </w:pPr>
      <w:r>
        <w:rPr>
          <w:rFonts w:hint="eastAsia" w:ascii="宋体" w:hAnsi="宋体" w:cs="宋体"/>
          <w:kern w:val="0"/>
          <w:szCs w:val="21"/>
          <w:shd w:val="clear" w:color="auto" w:fill="FFFFFF"/>
        </w:rPr>
        <w:t>3、</w:t>
      </w:r>
      <w:r>
        <w:rPr>
          <w:rFonts w:hint="eastAsia"/>
          <w:szCs w:val="21"/>
        </w:rPr>
        <w:t>响应函；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szCs w:val="21"/>
        </w:rPr>
        <w:t>4、</w:t>
      </w:r>
      <w:r>
        <w:rPr>
          <w:rFonts w:hint="eastAsia" w:ascii="宋体" w:hAnsi="宋体"/>
          <w:szCs w:val="21"/>
        </w:rPr>
        <w:t>无重大违法记录声明函、无不良信用记录承诺函；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5、</w:t>
      </w:r>
      <w:r>
        <w:rPr>
          <w:rFonts w:hint="eastAsia" w:ascii="Tahoma" w:hAnsi="Tahoma"/>
          <w:szCs w:val="21"/>
          <w:lang w:val="zh-CN"/>
        </w:rPr>
        <w:t>询价响应表；</w:t>
      </w:r>
    </w:p>
    <w:p>
      <w:pPr>
        <w:widowControl/>
        <w:shd w:val="solid" w:color="FFFFFF" w:fill="auto"/>
        <w:adjustRightInd w:val="0"/>
        <w:snapToGrid w:val="0"/>
        <w:spacing w:line="360" w:lineRule="exact"/>
        <w:ind w:firstLine="420" w:firstLineChars="200"/>
        <w:jc w:val="left"/>
        <w:rPr>
          <w:szCs w:val="21"/>
        </w:rPr>
      </w:pPr>
      <w:r>
        <w:rPr>
          <w:rFonts w:hint="eastAsia"/>
          <w:szCs w:val="21"/>
        </w:rPr>
        <w:t>6、响应报价书；</w:t>
      </w:r>
    </w:p>
    <w:p>
      <w:pPr>
        <w:widowControl/>
        <w:shd w:val="solid" w:color="FFFFFF" w:fill="auto"/>
        <w:adjustRightInd w:val="0"/>
        <w:snapToGrid w:val="0"/>
        <w:spacing w:line="360" w:lineRule="exact"/>
        <w:ind w:firstLine="420" w:firstLineChars="200"/>
        <w:jc w:val="left"/>
        <w:rPr>
          <w:szCs w:val="21"/>
        </w:rPr>
      </w:pPr>
      <w:r>
        <w:rPr>
          <w:rFonts w:hint="eastAsia"/>
          <w:szCs w:val="21"/>
        </w:rPr>
        <w:t>7、相关服务承诺函；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8、询价文件要求和供应商认为需要提供的其它说明和资料。</w:t>
      </w:r>
    </w:p>
    <w:p>
      <w:pPr>
        <w:pStyle w:val="3"/>
        <w:snapToGrid w:val="0"/>
        <w:spacing w:before="100" w:after="100" w:line="360" w:lineRule="exact"/>
        <w:ind w:firstLine="3443" w:firstLineChars="1225"/>
        <w:rPr>
          <w:rFonts w:ascii="宋体" w:hAnsi="宋体" w:eastAsia="宋体" w:cs="宋体"/>
          <w:bCs/>
          <w:sz w:val="28"/>
          <w:szCs w:val="28"/>
        </w:rPr>
      </w:pPr>
      <w:bookmarkStart w:id="17" w:name="_Toc3875"/>
      <w:r>
        <w:rPr>
          <w:rFonts w:hint="eastAsia" w:ascii="宋体" w:hAnsi="宋体" w:eastAsia="宋体" w:cs="宋体"/>
          <w:bCs/>
          <w:sz w:val="28"/>
          <w:szCs w:val="28"/>
        </w:rPr>
        <w:t>（四）有关定义</w:t>
      </w:r>
      <w:bookmarkEnd w:id="17"/>
    </w:p>
    <w:p>
      <w:pPr>
        <w:adjustRightInd w:val="0"/>
        <w:snapToGrid w:val="0"/>
        <w:spacing w:line="360" w:lineRule="exact"/>
        <w:ind w:firstLine="550"/>
        <w:rPr>
          <w:rFonts w:ascii="宋体" w:hAnsi="宋体" w:cs="宋体"/>
          <w:szCs w:val="21"/>
        </w:rPr>
      </w:pPr>
      <w:r>
        <w:rPr>
          <w:rFonts w:hint="eastAsia" w:ascii="宋体" w:hAnsi="宋体" w:cs="宋体"/>
          <w:szCs w:val="21"/>
        </w:rPr>
        <w:t>1、采购监督管理部门：系指</w:t>
      </w:r>
      <w:r>
        <w:rPr>
          <w:rFonts w:hint="eastAsia" w:ascii="宋体" w:hAnsi="宋体" w:cs="宋体"/>
          <w:szCs w:val="21"/>
          <w:u w:val="single"/>
        </w:rPr>
        <w:t xml:space="preserve"> / </w:t>
      </w:r>
      <w:r>
        <w:rPr>
          <w:rFonts w:hint="eastAsia" w:ascii="宋体" w:hAnsi="宋体" w:cs="宋体"/>
          <w:szCs w:val="21"/>
        </w:rPr>
        <w:t>。</w:t>
      </w:r>
    </w:p>
    <w:p>
      <w:pPr>
        <w:adjustRightInd w:val="0"/>
        <w:snapToGrid w:val="0"/>
        <w:spacing w:line="360" w:lineRule="exact"/>
        <w:ind w:firstLine="550"/>
        <w:rPr>
          <w:rFonts w:ascii="宋体" w:hAnsi="宋体" w:cs="宋体"/>
          <w:szCs w:val="21"/>
        </w:rPr>
      </w:pPr>
      <w:r>
        <w:rPr>
          <w:rFonts w:hint="eastAsia" w:ascii="宋体" w:hAnsi="宋体" w:cs="宋体"/>
          <w:szCs w:val="21"/>
        </w:rPr>
        <w:t>2、采购人：系指本次采购项目的业主方。</w:t>
      </w:r>
    </w:p>
    <w:p>
      <w:pPr>
        <w:adjustRightInd w:val="0"/>
        <w:snapToGrid w:val="0"/>
        <w:spacing w:line="360" w:lineRule="exact"/>
        <w:ind w:firstLine="550"/>
        <w:rPr>
          <w:rFonts w:ascii="宋体" w:hAnsi="宋体" w:cs="宋体"/>
          <w:szCs w:val="21"/>
        </w:rPr>
      </w:pPr>
      <w:r>
        <w:rPr>
          <w:rFonts w:hint="eastAsia" w:ascii="宋体" w:hAnsi="宋体" w:cs="宋体"/>
          <w:szCs w:val="21"/>
        </w:rPr>
        <w:t>3、采购代理机构：系指</w:t>
      </w:r>
      <w:r>
        <w:rPr>
          <w:rFonts w:hint="eastAsia" w:ascii="宋体" w:hAnsi="宋体" w:cs="宋体"/>
          <w:szCs w:val="21"/>
          <w:u w:val="single"/>
        </w:rPr>
        <w:t>安徽大别山工程咨询有限公司</w:t>
      </w:r>
      <w:r>
        <w:rPr>
          <w:rFonts w:hint="eastAsia" w:ascii="宋体" w:hAnsi="宋体" w:cs="宋体"/>
          <w:szCs w:val="21"/>
        </w:rPr>
        <w:t>。</w:t>
      </w:r>
    </w:p>
    <w:p>
      <w:pPr>
        <w:adjustRightInd w:val="0"/>
        <w:snapToGrid w:val="0"/>
        <w:spacing w:line="360" w:lineRule="exact"/>
        <w:ind w:firstLine="550"/>
        <w:rPr>
          <w:rFonts w:ascii="宋体" w:hAnsi="宋体" w:cs="宋体"/>
          <w:b/>
          <w:bCs/>
          <w:szCs w:val="21"/>
        </w:rPr>
      </w:pPr>
      <w:r>
        <w:rPr>
          <w:rFonts w:hint="eastAsia" w:ascii="宋体" w:hAnsi="宋体" w:cs="宋体"/>
          <w:b/>
          <w:bCs/>
          <w:szCs w:val="21"/>
        </w:rPr>
        <w:t>4、近X年内：系指从询价之日向前追溯X年（“X”为“一”及以后整数）起算。除非本询价文件另有规定，否则均以合同签订之日为追溯结点。</w:t>
      </w:r>
    </w:p>
    <w:bookmarkEnd w:id="11"/>
    <w:bookmarkEnd w:id="12"/>
    <w:p>
      <w:pPr>
        <w:pStyle w:val="3"/>
        <w:snapToGrid w:val="0"/>
        <w:spacing w:before="100" w:after="100" w:line="360" w:lineRule="exact"/>
        <w:jc w:val="center"/>
        <w:rPr>
          <w:rFonts w:ascii="宋体" w:hAnsi="宋体" w:eastAsia="宋体" w:cs="宋体"/>
          <w:bCs/>
          <w:sz w:val="28"/>
          <w:szCs w:val="28"/>
        </w:rPr>
      </w:pPr>
      <w:bookmarkStart w:id="18" w:name="_Toc26915"/>
      <w:bookmarkStart w:id="19" w:name="_Toc216158630"/>
      <w:r>
        <w:rPr>
          <w:rFonts w:hint="eastAsia" w:ascii="宋体" w:hAnsi="宋体" w:eastAsia="宋体" w:cs="宋体"/>
          <w:bCs/>
          <w:sz w:val="28"/>
          <w:szCs w:val="28"/>
        </w:rPr>
        <w:t>（五）</w:t>
      </w:r>
      <w:bookmarkStart w:id="20" w:name="_Toc471299092"/>
      <w:r>
        <w:rPr>
          <w:rFonts w:hint="eastAsia" w:ascii="宋体" w:hAnsi="宋体" w:eastAsia="宋体" w:cs="宋体"/>
          <w:bCs/>
          <w:sz w:val="28"/>
          <w:szCs w:val="28"/>
        </w:rPr>
        <w:t>响应文件的提交</w:t>
      </w:r>
      <w:bookmarkEnd w:id="18"/>
    </w:p>
    <w:p>
      <w:pPr>
        <w:adjustRightInd w:val="0"/>
        <w:snapToGrid w:val="0"/>
        <w:spacing w:line="360" w:lineRule="exact"/>
        <w:ind w:firstLine="409" w:firstLineChars="195"/>
        <w:rPr>
          <w:rFonts w:ascii="宋体" w:hAnsi="宋体" w:cs="宋体"/>
        </w:rPr>
      </w:pPr>
      <w:bookmarkStart w:id="21" w:name="_Toc21708"/>
      <w:r>
        <w:rPr>
          <w:rFonts w:hint="eastAsia" w:ascii="宋体" w:hAnsi="宋体" w:cs="宋体"/>
        </w:rPr>
        <w:t>1、纸质版响应性文件的密封和标记</w:t>
      </w:r>
    </w:p>
    <w:p>
      <w:pPr>
        <w:adjustRightInd w:val="0"/>
        <w:snapToGrid w:val="0"/>
        <w:spacing w:line="360" w:lineRule="exact"/>
        <w:ind w:firstLine="409" w:firstLineChars="195"/>
        <w:rPr>
          <w:rFonts w:hAnsi="宋体" w:cs="宋体"/>
          <w:b/>
          <w:bCs/>
        </w:rPr>
      </w:pPr>
      <w:r>
        <w:rPr>
          <w:rFonts w:hint="eastAsia" w:ascii="宋体" w:hAnsi="宋体" w:cs="宋体"/>
        </w:rPr>
        <w:t>投标人应将纸质响应性文件的正本和副本分别密封（正本一个封套，副本共一个封套），并在封袋上注明</w:t>
      </w:r>
      <w:r>
        <w:rPr>
          <w:rFonts w:hint="eastAsia" w:ascii="宋体" w:cs="宋体"/>
        </w:rPr>
        <w:t>“</w:t>
      </w:r>
      <w:r>
        <w:rPr>
          <w:rFonts w:hint="eastAsia" w:ascii="宋体" w:hAnsi="宋体" w:cs="宋体"/>
        </w:rPr>
        <w:t>正本</w:t>
      </w:r>
      <w:r>
        <w:rPr>
          <w:rFonts w:hint="eastAsia" w:ascii="宋体" w:cs="宋体"/>
        </w:rPr>
        <w:t>”</w:t>
      </w:r>
      <w:r>
        <w:rPr>
          <w:rFonts w:hint="eastAsia" w:ascii="宋体" w:hAnsi="宋体" w:cs="宋体"/>
        </w:rPr>
        <w:t>或</w:t>
      </w:r>
      <w:r>
        <w:rPr>
          <w:rFonts w:hint="eastAsia" w:ascii="宋体" w:cs="宋体"/>
        </w:rPr>
        <w:t>“</w:t>
      </w:r>
      <w:r>
        <w:rPr>
          <w:rFonts w:hint="eastAsia" w:ascii="宋体" w:hAnsi="宋体" w:cs="宋体"/>
        </w:rPr>
        <w:t>副本</w:t>
      </w:r>
      <w:r>
        <w:rPr>
          <w:rFonts w:hint="eastAsia" w:ascii="宋体" w:cs="宋体"/>
        </w:rPr>
        <w:t>”</w:t>
      </w:r>
      <w:r>
        <w:rPr>
          <w:rFonts w:hint="eastAsia" w:ascii="宋体" w:hAnsi="宋体" w:cs="宋体"/>
        </w:rPr>
        <w:t>，响应文件份数为一式叁份（正本一份，副本二份）。在骑缝处和封条上加盖响应人公章或法定代表人（或授权代理人）签字或盖章</w:t>
      </w:r>
      <w:r>
        <w:rPr>
          <w:rFonts w:hint="eastAsia" w:ascii="宋体" w:hAnsi="宋体" w:cs="宋体"/>
          <w:b/>
          <w:bCs/>
        </w:rPr>
        <w:t>（注：投标书不准活页装订，应胶装成册，响应人所递交的响应性文件应按照响应性文件组成及格式、响应性文件的密封要求以及</w:t>
      </w:r>
      <w:r>
        <w:rPr>
          <w:rFonts w:hint="eastAsia" w:ascii="宋体" w:hAnsi="宋体" w:cs="宋体"/>
        </w:rPr>
        <w:t>，</w:t>
      </w:r>
      <w:r>
        <w:rPr>
          <w:rFonts w:hint="eastAsia" w:ascii="宋体" w:hAnsi="宋体" w:cs="宋体"/>
          <w:b/>
          <w:bCs/>
        </w:rPr>
        <w:t>否则视为无效投标。响应性文件所有内容以纸质正本为准</w:t>
      </w:r>
      <w:r>
        <w:rPr>
          <w:rFonts w:hint="eastAsia" w:ascii="宋体" w:hAnsi="宋体" w:cs="宋体"/>
        </w:rPr>
        <w:t>。</w:t>
      </w:r>
      <w:r>
        <w:rPr>
          <w:rFonts w:hint="eastAsia" w:ascii="宋体" w:hAnsi="宋体" w:cs="宋体"/>
          <w:b/>
          <w:bCs/>
        </w:rPr>
        <w:t>）</w:t>
      </w:r>
      <w:r>
        <w:rPr>
          <w:rFonts w:hint="eastAsia" w:hAnsi="宋体" w:cs="宋体"/>
          <w:b/>
          <w:bCs/>
        </w:rPr>
        <w:t>。</w:t>
      </w:r>
    </w:p>
    <w:p>
      <w:pPr>
        <w:adjustRightInd w:val="0"/>
        <w:snapToGrid w:val="0"/>
        <w:spacing w:line="360" w:lineRule="exact"/>
        <w:ind w:firstLine="420" w:firstLineChars="200"/>
        <w:jc w:val="left"/>
        <w:rPr>
          <w:rFonts w:ascii="宋体" w:hAnsi="宋体" w:cs="宋体"/>
        </w:rPr>
      </w:pPr>
      <w:r>
        <w:rPr>
          <w:rFonts w:hint="eastAsia" w:ascii="宋体" w:hAnsi="宋体" w:cs="宋体"/>
        </w:rPr>
        <w:t>2、纸质版响应性文件的提交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rPr>
      </w:pPr>
      <w:r>
        <w:rPr>
          <w:rFonts w:hint="eastAsia" w:ascii="宋体" w:hAnsi="宋体" w:cs="宋体"/>
        </w:rPr>
        <w:t>2.2在响应须知前附表规定的响应文件递交截止时间以后递交的纸质版响应性标文件将被拒绝并退还给投标人。</w:t>
      </w:r>
    </w:p>
    <w:p>
      <w:pPr>
        <w:adjustRightInd w:val="0"/>
        <w:snapToGrid w:val="0"/>
        <w:spacing w:line="360" w:lineRule="exact"/>
        <w:ind w:firstLine="420" w:firstLineChars="200"/>
        <w:jc w:val="left"/>
        <w:rPr>
          <w:rFonts w:ascii="宋体" w:hAnsi="宋体" w:cs="宋体"/>
        </w:rPr>
      </w:pPr>
      <w:r>
        <w:rPr>
          <w:rFonts w:hint="eastAsia" w:ascii="宋体" w:hAnsi="宋体" w:cs="宋体"/>
        </w:rPr>
        <w:t>3、纸质版响应文件的提交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响应人应在响应截止时间之前，现场递交纸质版响应性文件。未在响应截止时间前通过递交纸质版响应性文件的，开标现场不予接收。</w:t>
      </w:r>
    </w:p>
    <w:p>
      <w:pPr>
        <w:pStyle w:val="3"/>
        <w:snapToGrid w:val="0"/>
        <w:spacing w:before="100" w:after="100" w:line="360" w:lineRule="exact"/>
        <w:jc w:val="center"/>
        <w:rPr>
          <w:rFonts w:ascii="宋体" w:hAnsi="宋体" w:eastAsia="宋体" w:cs="宋体"/>
          <w:bCs/>
          <w:sz w:val="28"/>
          <w:szCs w:val="28"/>
        </w:rPr>
      </w:pPr>
      <w:r>
        <w:rPr>
          <w:rFonts w:hint="eastAsia" w:ascii="宋体" w:hAnsi="宋体" w:eastAsia="宋体" w:cs="宋体"/>
          <w:bCs/>
          <w:sz w:val="28"/>
          <w:szCs w:val="28"/>
        </w:rPr>
        <w:t>（六）评标方法及废标</w:t>
      </w:r>
      <w:bookmarkEnd w:id="20"/>
      <w:bookmarkEnd w:id="21"/>
    </w:p>
    <w:p>
      <w:pPr>
        <w:adjustRightInd w:val="0"/>
        <w:snapToGrid w:val="0"/>
        <w:spacing w:line="360" w:lineRule="exact"/>
        <w:ind w:firstLine="420" w:firstLineChars="200"/>
        <w:rPr>
          <w:rFonts w:ascii="宋体" w:hAnsi="宋体"/>
          <w:szCs w:val="21"/>
        </w:rPr>
      </w:pPr>
      <w:r>
        <w:rPr>
          <w:rFonts w:hint="eastAsia" w:ascii="宋体" w:hAnsi="宋体"/>
          <w:szCs w:val="21"/>
        </w:rPr>
        <w:t>1、本次询价活动将采用最低评标价法评审。</w:t>
      </w:r>
    </w:p>
    <w:p>
      <w:pPr>
        <w:adjustRightInd w:val="0"/>
        <w:snapToGrid w:val="0"/>
        <w:spacing w:line="360" w:lineRule="exact"/>
        <w:ind w:firstLine="420" w:firstLineChars="200"/>
        <w:rPr>
          <w:rFonts w:ascii="宋体" w:hAnsi="宋体"/>
          <w:szCs w:val="21"/>
        </w:rPr>
      </w:pPr>
      <w:r>
        <w:rPr>
          <w:rFonts w:hint="eastAsia" w:ascii="宋体" w:hAnsi="宋体"/>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rPr>
      </w:pPr>
      <w:r>
        <w:rPr>
          <w:rFonts w:hint="eastAsia" w:ascii="宋体" w:hAnsi="宋体"/>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ind w:firstLine="420" w:firstLineChars="200"/>
        <w:rPr>
          <w:rFonts w:ascii="宋体" w:hAnsi="宋体"/>
          <w:szCs w:val="21"/>
        </w:rPr>
      </w:pPr>
      <w:r>
        <w:rPr>
          <w:rFonts w:hint="eastAsia" w:ascii="宋体" w:hAnsi="宋体"/>
          <w:szCs w:val="21"/>
        </w:rPr>
        <w:t>2、在询价过程中，出现下列情形之一的，应予废标：</w:t>
      </w:r>
    </w:p>
    <w:p>
      <w:pPr>
        <w:adjustRightInd w:val="0"/>
        <w:snapToGrid w:val="0"/>
        <w:spacing w:line="360" w:lineRule="exact"/>
        <w:ind w:firstLine="420" w:firstLineChars="200"/>
        <w:rPr>
          <w:rFonts w:ascii="宋体" w:hAnsi="宋体"/>
          <w:szCs w:val="21"/>
        </w:rPr>
      </w:pPr>
      <w:r>
        <w:rPr>
          <w:rFonts w:hint="eastAsia" w:ascii="宋体" w:hAnsi="宋体"/>
          <w:szCs w:val="21"/>
        </w:rPr>
        <w:t>1）出现影响采购公正的违法、违规行为的；</w:t>
      </w:r>
    </w:p>
    <w:p>
      <w:pPr>
        <w:adjustRightInd w:val="0"/>
        <w:snapToGrid w:val="0"/>
        <w:spacing w:line="360" w:lineRule="exact"/>
        <w:ind w:firstLine="420" w:firstLineChars="200"/>
        <w:rPr>
          <w:rFonts w:ascii="宋体" w:hAnsi="宋体"/>
          <w:szCs w:val="21"/>
        </w:rPr>
      </w:pPr>
      <w:r>
        <w:rPr>
          <w:rFonts w:hint="eastAsia" w:ascii="宋体" w:hAnsi="宋体"/>
          <w:szCs w:val="21"/>
        </w:rPr>
        <w:t>2）供应商的报价均超过预算金额，采购人不能支付的；</w:t>
      </w:r>
    </w:p>
    <w:p>
      <w:pPr>
        <w:adjustRightInd w:val="0"/>
        <w:snapToGrid w:val="0"/>
        <w:spacing w:line="360" w:lineRule="exact"/>
        <w:ind w:firstLine="420" w:firstLineChars="200"/>
        <w:rPr>
          <w:rFonts w:ascii="宋体" w:hAnsi="宋体"/>
          <w:szCs w:val="21"/>
        </w:rPr>
      </w:pPr>
      <w:r>
        <w:rPr>
          <w:rFonts w:hint="eastAsia" w:ascii="宋体" w:hAnsi="宋体"/>
          <w:szCs w:val="21"/>
        </w:rPr>
        <w:t>3）因重大变故，采购任务取消的；</w:t>
      </w:r>
    </w:p>
    <w:p>
      <w:pPr>
        <w:adjustRightInd w:val="0"/>
        <w:snapToGrid w:val="0"/>
        <w:spacing w:line="360" w:lineRule="exact"/>
        <w:ind w:firstLine="420" w:firstLineChars="200"/>
        <w:rPr>
          <w:rFonts w:ascii="宋体" w:hAnsi="宋体"/>
          <w:szCs w:val="21"/>
        </w:rPr>
      </w:pPr>
      <w:r>
        <w:rPr>
          <w:rFonts w:hint="eastAsia" w:ascii="宋体" w:hAnsi="宋体"/>
          <w:szCs w:val="21"/>
        </w:rPr>
        <w:t>4）其他经询价小组一致认定应予废标情形的。</w:t>
      </w:r>
    </w:p>
    <w:p>
      <w:pPr>
        <w:adjustRightInd w:val="0"/>
        <w:snapToGrid w:val="0"/>
        <w:spacing w:line="360" w:lineRule="exact"/>
        <w:rPr>
          <w:rFonts w:ascii="宋体" w:hAnsi="宋体" w:cs="宋体"/>
          <w:kern w:val="0"/>
          <w:szCs w:val="21"/>
        </w:rPr>
      </w:pPr>
      <w:r>
        <w:rPr>
          <w:rFonts w:hint="eastAsia" w:ascii="宋体" w:hAnsi="宋体"/>
          <w:b/>
          <w:bCs/>
          <w:szCs w:val="21"/>
        </w:rPr>
        <w:t>备注：1、</w:t>
      </w:r>
      <w:r>
        <w:rPr>
          <w:rFonts w:hint="eastAsia" w:ascii="宋体" w:hAnsi="宋体" w:cs="宋体"/>
          <w:b/>
          <w:color w:val="000000" w:themeColor="text1"/>
          <w:spacing w:val="-6"/>
          <w:kern w:val="0"/>
          <w:szCs w:val="21"/>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rPr>
        <w:t>只有两家供应商的，现场转为竞争性谈判；仅有一家供应商的，可直接转为单一来源。）</w:t>
      </w:r>
    </w:p>
    <w:p>
      <w:pPr>
        <w:pStyle w:val="18"/>
      </w:pPr>
    </w:p>
    <w:p>
      <w:pPr>
        <w:pStyle w:val="3"/>
        <w:snapToGrid w:val="0"/>
        <w:spacing w:before="100" w:after="100" w:line="360" w:lineRule="exact"/>
        <w:jc w:val="center"/>
        <w:rPr>
          <w:rFonts w:ascii="宋体" w:hAnsi="宋体" w:eastAsia="宋体" w:cs="宋体"/>
          <w:bCs/>
          <w:sz w:val="28"/>
          <w:szCs w:val="28"/>
        </w:rPr>
      </w:pPr>
      <w:bookmarkStart w:id="22" w:name="_Toc31686"/>
      <w:bookmarkStart w:id="23" w:name="_Toc471299093"/>
      <w:r>
        <w:rPr>
          <w:rFonts w:hint="eastAsia" w:ascii="宋体" w:hAnsi="宋体" w:eastAsia="宋体" w:cs="宋体"/>
          <w:bCs/>
          <w:sz w:val="28"/>
          <w:szCs w:val="28"/>
        </w:rPr>
        <w:t>（七）报价响应及答疑</w:t>
      </w:r>
      <w:bookmarkEnd w:id="22"/>
      <w:bookmarkEnd w:id="23"/>
    </w:p>
    <w:p>
      <w:pPr>
        <w:adjustRightInd w:val="0"/>
        <w:snapToGrid w:val="0"/>
        <w:spacing w:line="320" w:lineRule="exact"/>
        <w:ind w:firstLine="420" w:firstLineChars="200"/>
        <w:rPr>
          <w:rFonts w:ascii="宋体" w:hAnsi="宋体"/>
          <w:szCs w:val="21"/>
        </w:rPr>
      </w:pPr>
      <w:r>
        <w:rPr>
          <w:rFonts w:hint="eastAsia" w:ascii="宋体" w:hAnsi="宋体"/>
          <w:szCs w:val="21"/>
        </w:rPr>
        <w:t>1、供应商应当按照询价文件的规定一次报出不得更改的价格。</w:t>
      </w:r>
    </w:p>
    <w:p>
      <w:pPr>
        <w:adjustRightInd w:val="0"/>
        <w:snapToGrid w:val="0"/>
        <w:spacing w:line="320" w:lineRule="exact"/>
        <w:ind w:firstLine="420" w:firstLineChars="200"/>
        <w:rPr>
          <w:rFonts w:ascii="宋体" w:hAnsi="宋体"/>
          <w:szCs w:val="21"/>
        </w:rPr>
      </w:pPr>
      <w:r>
        <w:rPr>
          <w:rFonts w:hint="eastAsia" w:ascii="宋体" w:hAnsi="宋体"/>
          <w:szCs w:val="21"/>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rPr>
      </w:pPr>
      <w:r>
        <w:rPr>
          <w:rFonts w:hint="eastAsia" w:ascii="宋体" w:hAnsi="宋体"/>
          <w:szCs w:val="21"/>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rPr>
      </w:pPr>
      <w:r>
        <w:rPr>
          <w:rFonts w:hint="eastAsia" w:ascii="宋体" w:hAnsi="宋体"/>
          <w:szCs w:val="21"/>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rPr>
      </w:pPr>
      <w:r>
        <w:rPr>
          <w:rFonts w:hint="eastAsia" w:ascii="宋体" w:hAnsi="宋体"/>
          <w:szCs w:val="21"/>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rPr>
      </w:pPr>
      <w:r>
        <w:rPr>
          <w:rFonts w:hint="eastAsia" w:ascii="宋体" w:hAnsi="宋体"/>
          <w:szCs w:val="21"/>
        </w:rPr>
        <w:t>提交成功后疑问文件即传至我公司，请供应商及时通过网站答疑补遗公告栏目查看答疑文件。</w:t>
      </w:r>
    </w:p>
    <w:p>
      <w:pPr>
        <w:numPr>
          <w:ilvl w:val="0"/>
          <w:numId w:val="3"/>
        </w:numPr>
        <w:adjustRightInd w:val="0"/>
        <w:snapToGrid w:val="0"/>
        <w:spacing w:line="320" w:lineRule="exact"/>
        <w:ind w:left="420" w:leftChars="200"/>
        <w:rPr>
          <w:rFonts w:eastAsia="仿宋_GB2312"/>
        </w:rPr>
      </w:pPr>
      <w:r>
        <w:rPr>
          <w:rFonts w:hint="eastAsia" w:ascii="宋体" w:hAnsi="宋体"/>
          <w:szCs w:val="21"/>
        </w:rPr>
        <w:t>供应商应确保其所提供的响应资料的真实性、有效性及合法性，否则，由此引起的任何责任</w:t>
      </w:r>
    </w:p>
    <w:p>
      <w:pPr>
        <w:adjustRightInd w:val="0"/>
        <w:snapToGrid w:val="0"/>
        <w:spacing w:line="320" w:lineRule="exact"/>
        <w:rPr>
          <w:rFonts w:eastAsia="仿宋_GB2312"/>
        </w:rPr>
      </w:pPr>
      <w:r>
        <w:rPr>
          <w:rFonts w:hint="eastAsia" w:ascii="宋体" w:hAnsi="宋体"/>
          <w:szCs w:val="21"/>
        </w:rPr>
        <w:t>由其自行承担。</w:t>
      </w:r>
    </w:p>
    <w:p>
      <w:pPr>
        <w:pStyle w:val="3"/>
        <w:snapToGrid w:val="0"/>
        <w:spacing w:before="100" w:after="100" w:line="360" w:lineRule="exact"/>
        <w:jc w:val="center"/>
        <w:rPr>
          <w:rFonts w:ascii="宋体" w:hAnsi="宋体" w:eastAsia="宋体" w:cs="宋体"/>
          <w:bCs/>
          <w:sz w:val="28"/>
          <w:szCs w:val="28"/>
        </w:rPr>
      </w:pPr>
      <w:bookmarkStart w:id="24" w:name="_Toc471299094"/>
      <w:bookmarkStart w:id="25" w:name="_Toc1065"/>
      <w:r>
        <w:rPr>
          <w:rFonts w:hint="eastAsia" w:ascii="宋体" w:hAnsi="宋体" w:eastAsia="宋体" w:cs="宋体"/>
          <w:bCs/>
          <w:sz w:val="28"/>
          <w:szCs w:val="28"/>
        </w:rPr>
        <w:t>（八）确定成交供应商与签订合同</w:t>
      </w:r>
      <w:bookmarkEnd w:id="24"/>
      <w:bookmarkEnd w:id="25"/>
    </w:p>
    <w:p>
      <w:pPr>
        <w:adjustRightInd w:val="0"/>
        <w:snapToGrid w:val="0"/>
        <w:spacing w:line="360" w:lineRule="exact"/>
        <w:ind w:firstLine="420" w:firstLineChars="200"/>
        <w:rPr>
          <w:rFonts w:ascii="仿宋_GB2312" w:hAnsi="仿宋" w:eastAsia="仿宋_GB2312"/>
          <w:szCs w:val="21"/>
        </w:rPr>
      </w:pPr>
      <w:r>
        <w:rPr>
          <w:rFonts w:hint="eastAsia" w:ascii="宋体" w:hAnsi="宋体"/>
          <w:bCs/>
          <w:szCs w:val="21"/>
        </w:rPr>
        <w:t>1、经询价小组评审确定的成交候选供应商名称和成交金额，</w:t>
      </w:r>
      <w:r>
        <w:rPr>
          <w:rFonts w:hint="eastAsia" w:ascii="宋体" w:hAnsi="宋体"/>
          <w:szCs w:val="21"/>
        </w:rPr>
        <w:t>我公司</w:t>
      </w:r>
      <w:r>
        <w:rPr>
          <w:rFonts w:hint="eastAsia"/>
          <w:szCs w:val="21"/>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rPr>
      </w:pPr>
      <w:r>
        <w:rPr>
          <w:rFonts w:hint="eastAsia" w:ascii="宋体" w:hAnsi="宋体"/>
          <w:szCs w:val="21"/>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rPr>
      </w:pPr>
      <w:r>
        <w:rPr>
          <w:rFonts w:hint="eastAsia" w:ascii="宋体" w:hAnsi="宋体"/>
          <w:szCs w:val="21"/>
        </w:rPr>
        <w:t>3、成交供应商应按规定的时间、地点与采购单位签订成交合同。</w:t>
      </w:r>
    </w:p>
    <w:p>
      <w:pPr>
        <w:adjustRightInd w:val="0"/>
        <w:snapToGrid w:val="0"/>
        <w:spacing w:line="360" w:lineRule="exact"/>
        <w:ind w:firstLine="420" w:firstLineChars="200"/>
        <w:rPr>
          <w:rFonts w:ascii="宋体" w:hAnsi="宋体"/>
          <w:szCs w:val="21"/>
        </w:rPr>
      </w:pPr>
      <w:r>
        <w:rPr>
          <w:rFonts w:hint="eastAsia" w:ascii="宋体" w:hAnsi="宋体"/>
          <w:szCs w:val="21"/>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rPr>
      </w:pPr>
      <w:r>
        <w:rPr>
          <w:rFonts w:hint="eastAsia" w:ascii="宋体" w:hAnsi="宋体"/>
          <w:szCs w:val="21"/>
        </w:rPr>
        <w:t>5、合同签订后，成交供应商不得转包、分包，亦不得将合同全部及任何权利、义务向第三方转让，否则将被视为严重违约。</w:t>
      </w:r>
    </w:p>
    <w:p>
      <w:pPr>
        <w:pStyle w:val="3"/>
        <w:snapToGrid w:val="0"/>
        <w:spacing w:before="100" w:after="100" w:line="360" w:lineRule="exact"/>
        <w:jc w:val="center"/>
        <w:rPr>
          <w:rFonts w:ascii="宋体" w:hAnsi="宋体" w:eastAsia="宋体" w:cs="宋体"/>
          <w:bCs/>
          <w:sz w:val="28"/>
          <w:szCs w:val="28"/>
        </w:rPr>
      </w:pPr>
      <w:bookmarkStart w:id="26" w:name="_Toc382"/>
      <w:bookmarkStart w:id="27" w:name="_Toc471299095"/>
      <w:r>
        <w:rPr>
          <w:rFonts w:hint="eastAsia" w:ascii="宋体" w:hAnsi="宋体" w:eastAsia="宋体" w:cs="宋体"/>
          <w:bCs/>
          <w:sz w:val="28"/>
          <w:szCs w:val="28"/>
        </w:rPr>
        <w:t>（九）澄清及变更</w:t>
      </w:r>
      <w:bookmarkEnd w:id="26"/>
      <w:bookmarkEnd w:id="27"/>
    </w:p>
    <w:p>
      <w:pPr>
        <w:adjustRightInd w:val="0"/>
        <w:snapToGrid w:val="0"/>
        <w:spacing w:line="360" w:lineRule="exact"/>
        <w:ind w:firstLine="420" w:firstLineChars="200"/>
        <w:rPr>
          <w:rFonts w:ascii="宋体" w:hAnsi="宋体"/>
          <w:szCs w:val="21"/>
        </w:rPr>
      </w:pPr>
      <w:r>
        <w:rPr>
          <w:rFonts w:hint="eastAsia" w:ascii="宋体" w:hAnsi="宋体"/>
          <w:szCs w:val="21"/>
        </w:rPr>
        <w:t>询价文件如有澄清及变更，我公司将以网上公告形式发布，请供应商及时关注。</w:t>
      </w:r>
    </w:p>
    <w:p>
      <w:pPr>
        <w:pStyle w:val="3"/>
        <w:snapToGrid w:val="0"/>
        <w:spacing w:before="100" w:after="100" w:line="360" w:lineRule="exact"/>
        <w:jc w:val="center"/>
        <w:rPr>
          <w:rFonts w:ascii="宋体" w:hAnsi="宋体" w:eastAsia="宋体" w:cs="宋体"/>
          <w:bCs/>
          <w:sz w:val="28"/>
          <w:szCs w:val="28"/>
        </w:rPr>
      </w:pPr>
      <w:bookmarkStart w:id="28" w:name="_Toc23222"/>
      <w:bookmarkStart w:id="29" w:name="_Toc471299096"/>
      <w:r>
        <w:rPr>
          <w:rFonts w:hint="eastAsia" w:ascii="宋体" w:hAnsi="宋体" w:eastAsia="宋体" w:cs="宋体"/>
          <w:bCs/>
          <w:sz w:val="28"/>
          <w:szCs w:val="28"/>
        </w:rPr>
        <w:t>（十）验收</w:t>
      </w:r>
      <w:bookmarkEnd w:id="28"/>
      <w:bookmarkEnd w:id="29"/>
    </w:p>
    <w:p>
      <w:pPr>
        <w:adjustRightInd w:val="0"/>
        <w:snapToGrid w:val="0"/>
        <w:spacing w:line="360" w:lineRule="exact"/>
        <w:ind w:firstLine="420" w:firstLineChars="200"/>
        <w:rPr>
          <w:rFonts w:ascii="宋体" w:hAnsi="宋体"/>
          <w:szCs w:val="21"/>
        </w:rPr>
      </w:pPr>
      <w:r>
        <w:rPr>
          <w:rFonts w:hint="eastAsia" w:ascii="宋体" w:hAnsi="宋体"/>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rPr>
      </w:pPr>
      <w:r>
        <w:rPr>
          <w:rFonts w:hint="eastAsia" w:ascii="宋体" w:hAnsi="宋体"/>
          <w:szCs w:val="21"/>
        </w:rPr>
        <w:t>2、涉及安全、消防、环保等其他需要由质检或行业主管部门进行验收的项目，必须邀请相关部门或相关专家参与验收。</w:t>
      </w:r>
    </w:p>
    <w:p>
      <w:pPr>
        <w:pStyle w:val="3"/>
        <w:snapToGrid w:val="0"/>
        <w:spacing w:before="100" w:after="100" w:line="360" w:lineRule="exact"/>
        <w:jc w:val="center"/>
        <w:rPr>
          <w:rFonts w:ascii="宋体" w:hAnsi="宋体" w:eastAsia="宋体" w:cs="宋体"/>
          <w:bCs/>
          <w:sz w:val="28"/>
          <w:szCs w:val="28"/>
        </w:rPr>
      </w:pPr>
      <w:bookmarkStart w:id="30" w:name="_Toc23894"/>
      <w:bookmarkStart w:id="31" w:name="_Toc471299097"/>
      <w:r>
        <w:rPr>
          <w:rFonts w:hint="eastAsia" w:ascii="宋体" w:hAnsi="宋体" w:eastAsia="宋体" w:cs="宋体"/>
          <w:bCs/>
          <w:sz w:val="28"/>
          <w:szCs w:val="28"/>
        </w:rPr>
        <w:t>（十一）质疑</w:t>
      </w:r>
      <w:bookmarkEnd w:id="30"/>
      <w:bookmarkEnd w:id="31"/>
    </w:p>
    <w:p>
      <w:pPr>
        <w:adjustRightInd w:val="0"/>
        <w:snapToGrid w:val="0"/>
        <w:spacing w:line="360" w:lineRule="exact"/>
        <w:ind w:firstLine="420" w:firstLineChars="200"/>
        <w:rPr>
          <w:rFonts w:ascii="宋体" w:hAnsi="宋体"/>
          <w:bCs/>
          <w:szCs w:val="21"/>
        </w:rPr>
      </w:pPr>
      <w:r>
        <w:rPr>
          <w:rFonts w:hint="eastAsia" w:ascii="宋体" w:hAnsi="宋体"/>
          <w:bCs/>
          <w:szCs w:val="21"/>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rPr>
      </w:pPr>
      <w:r>
        <w:rPr>
          <w:rFonts w:hint="eastAsia" w:ascii="宋体" w:hAnsi="宋体"/>
          <w:bCs/>
          <w:szCs w:val="21"/>
        </w:rPr>
        <w:t>2、质疑应在规定时限内提出：</w:t>
      </w:r>
    </w:p>
    <w:p>
      <w:pPr>
        <w:adjustRightInd w:val="0"/>
        <w:snapToGrid w:val="0"/>
        <w:spacing w:line="360" w:lineRule="exact"/>
        <w:ind w:firstLine="420" w:firstLineChars="200"/>
        <w:rPr>
          <w:rFonts w:ascii="宋体" w:hAnsi="宋体"/>
          <w:bCs/>
          <w:szCs w:val="21"/>
        </w:rPr>
      </w:pPr>
      <w:r>
        <w:rPr>
          <w:rFonts w:hint="eastAsia" w:ascii="宋体" w:hAnsi="宋体"/>
          <w:bCs/>
          <w:szCs w:val="21"/>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rPr>
      </w:pPr>
      <w:r>
        <w:rPr>
          <w:rFonts w:hint="eastAsia" w:ascii="宋体" w:hAnsi="宋体"/>
          <w:bCs/>
          <w:szCs w:val="21"/>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3.1质疑人的名称、地址、有效联系方式；</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3.2项目名称、项目编号、包别号（如有）；</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3.3被质疑人名称；</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3.5明确的请求及主张；</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3.6提起质疑的日期。</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rPr>
      </w:pPr>
      <w:r>
        <w:rPr>
          <w:rFonts w:hint="eastAsia" w:ascii="宋体" w:hAnsi="宋体"/>
          <w:bCs/>
          <w:szCs w:val="21"/>
        </w:rPr>
        <w:t>4、有下列情形之一的，不予受理：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4.3质疑材料不完整的；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rPr>
      </w:pPr>
      <w:r>
        <w:rPr>
          <w:rFonts w:hint="eastAsia" w:ascii="宋体" w:hAnsi="宋体" w:cs="宋体"/>
          <w:kern w:val="0"/>
          <w:szCs w:val="21"/>
        </w:rPr>
        <w:t>4.6质疑事项已进入投诉处理、行政复议或行政诉讼程序的。</w:t>
      </w:r>
    </w:p>
    <w:p>
      <w:pPr>
        <w:adjustRightInd w:val="0"/>
        <w:snapToGrid w:val="0"/>
        <w:spacing w:line="360" w:lineRule="exact"/>
        <w:ind w:firstLine="420" w:firstLineChars="200"/>
        <w:rPr>
          <w:rFonts w:ascii="宋体" w:hAnsi="宋体"/>
          <w:bCs/>
          <w:szCs w:val="21"/>
        </w:rPr>
      </w:pPr>
      <w:r>
        <w:rPr>
          <w:rFonts w:hint="eastAsia" w:ascii="宋体" w:hAnsi="宋体"/>
          <w:bCs/>
          <w:szCs w:val="21"/>
        </w:rPr>
        <w:t>5、经审查符合质疑条件的，自收到质疑之日起即为受理。采购人及</w:t>
      </w:r>
      <w:r>
        <w:rPr>
          <w:rFonts w:hint="eastAsia" w:ascii="宋体" w:hAnsi="宋体"/>
          <w:szCs w:val="21"/>
        </w:rPr>
        <w:t>采购代理机构</w:t>
      </w:r>
      <w:r>
        <w:rPr>
          <w:rFonts w:hint="eastAsia" w:ascii="宋体" w:hAnsi="宋体"/>
          <w:bCs/>
          <w:szCs w:val="21"/>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rPr>
      </w:pPr>
      <w:r>
        <w:rPr>
          <w:rFonts w:hint="eastAsia" w:ascii="宋体" w:hAnsi="宋体"/>
          <w:bCs/>
          <w:szCs w:val="21"/>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rPr>
      </w:pPr>
      <w:r>
        <w:rPr>
          <w:rFonts w:hint="eastAsia" w:ascii="宋体" w:hAnsi="宋体" w:cs="宋体"/>
          <w:bCs/>
          <w:szCs w:val="21"/>
        </w:rPr>
        <w:t>质疑人对质疑答复不满意或采购人及采购代理机构未在规定时间内做出答复的，</w:t>
      </w:r>
      <w:r>
        <w:rPr>
          <w:rFonts w:hint="eastAsia" w:ascii="宋体" w:hAnsi="宋体" w:cs="宋体"/>
          <w:kern w:val="10"/>
          <w:szCs w:val="21"/>
        </w:rPr>
        <w:t>可以在答复期满后15个工作日内向采购人投诉，</w:t>
      </w:r>
      <w:r>
        <w:rPr>
          <w:rFonts w:hint="eastAsia" w:ascii="宋体" w:hAnsi="宋体" w:cs="宋体"/>
          <w:bCs/>
          <w:szCs w:val="21"/>
        </w:rPr>
        <w:t>同时将投诉书副本送安徽大别山工程咨询有限公司。</w:t>
      </w:r>
    </w:p>
    <w:p>
      <w:pPr>
        <w:adjustRightInd w:val="0"/>
        <w:snapToGrid w:val="0"/>
        <w:spacing w:line="360" w:lineRule="exact"/>
        <w:ind w:firstLine="420" w:firstLineChars="200"/>
        <w:rPr>
          <w:rFonts w:ascii="宋体" w:hAnsi="宋体"/>
          <w:bCs/>
          <w:szCs w:val="21"/>
        </w:rPr>
      </w:pPr>
      <w:r>
        <w:rPr>
          <w:rFonts w:hint="eastAsia" w:ascii="宋体" w:hAnsi="宋体"/>
          <w:bCs/>
          <w:szCs w:val="21"/>
        </w:rPr>
        <w:t>7、质疑人有下列情形之一的，属于虚假、恶意质疑，</w:t>
      </w:r>
      <w:r>
        <w:rPr>
          <w:rFonts w:hint="eastAsia" w:ascii="宋体" w:hAnsi="宋体" w:cs="宋体"/>
          <w:bCs/>
          <w:szCs w:val="21"/>
        </w:rPr>
        <w:t>我公司</w:t>
      </w:r>
      <w:r>
        <w:rPr>
          <w:rFonts w:hint="eastAsia" w:ascii="宋体" w:hAnsi="宋体"/>
          <w:bCs/>
          <w:szCs w:val="21"/>
        </w:rPr>
        <w:t>将报霍山县林业局予以处理。</w:t>
      </w:r>
    </w:p>
    <w:p>
      <w:pPr>
        <w:adjustRightInd w:val="0"/>
        <w:snapToGrid w:val="0"/>
        <w:spacing w:line="360" w:lineRule="exact"/>
        <w:ind w:firstLine="420" w:firstLineChars="200"/>
        <w:rPr>
          <w:rFonts w:ascii="宋体" w:hAnsi="宋体"/>
          <w:bCs/>
          <w:szCs w:val="21"/>
        </w:rPr>
      </w:pPr>
      <w:r>
        <w:rPr>
          <w:rFonts w:hint="eastAsia" w:ascii="宋体" w:hAnsi="宋体"/>
          <w:bCs/>
          <w:szCs w:val="21"/>
        </w:rPr>
        <w:t>7.1一年内三次以上质疑均查无实据的；</w:t>
      </w:r>
    </w:p>
    <w:p>
      <w:pPr>
        <w:adjustRightInd w:val="0"/>
        <w:snapToGrid w:val="0"/>
        <w:spacing w:line="360" w:lineRule="exact"/>
        <w:ind w:firstLine="420" w:firstLineChars="200"/>
        <w:rPr>
          <w:rFonts w:ascii="宋体" w:hAnsi="宋体" w:cs="宋体"/>
          <w:b/>
          <w:kern w:val="0"/>
          <w:sz w:val="32"/>
          <w:szCs w:val="32"/>
        </w:rPr>
      </w:pPr>
      <w:r>
        <w:rPr>
          <w:rFonts w:hint="eastAsia" w:ascii="宋体" w:hAnsi="宋体"/>
          <w:bCs/>
          <w:szCs w:val="21"/>
        </w:rPr>
        <w:t>7.2捏造事实恶意诬陷他人、有意提供虚假质疑材料的</w:t>
      </w:r>
      <w:r>
        <w:rPr>
          <w:rFonts w:hint="eastAsia" w:ascii="宋体" w:hAnsi="宋体"/>
          <w:szCs w:val="21"/>
        </w:rPr>
        <w:t>或者通过非法手段获取材料的。</w:t>
      </w:r>
    </w:p>
    <w:p/>
    <w:bookmarkEnd w:id="19"/>
    <w:p>
      <w:pPr>
        <w:pStyle w:val="47"/>
        <w:tabs>
          <w:tab w:val="left" w:pos="1978"/>
          <w:tab w:val="center" w:pos="4482"/>
        </w:tabs>
        <w:jc w:val="center"/>
        <w:outlineLvl w:val="0"/>
        <w:rPr>
          <w:rFonts w:cs="宋体"/>
          <w:bCs/>
          <w:sz w:val="30"/>
          <w:szCs w:val="30"/>
        </w:rPr>
      </w:pPr>
      <w:bookmarkStart w:id="32" w:name="_Toc16484_WPSOffice_Level1"/>
      <w:bookmarkStart w:id="33" w:name="_Toc12757"/>
      <w:bookmarkStart w:id="34" w:name="_Toc363199273"/>
      <w:r>
        <w:rPr>
          <w:rFonts w:hint="eastAsia" w:cs="宋体"/>
          <w:bCs/>
          <w:sz w:val="30"/>
          <w:szCs w:val="30"/>
        </w:rPr>
        <w:t>第三章 采购合同</w:t>
      </w:r>
    </w:p>
    <w:p>
      <w:pPr>
        <w:pStyle w:val="47"/>
        <w:tabs>
          <w:tab w:val="left" w:pos="1978"/>
          <w:tab w:val="center" w:pos="4482"/>
        </w:tabs>
        <w:jc w:val="center"/>
        <w:outlineLvl w:val="0"/>
        <w:rPr>
          <w:sz w:val="32"/>
          <w:szCs w:val="32"/>
        </w:rPr>
      </w:pPr>
      <w:r>
        <w:rPr>
          <w:rFonts w:hint="eastAsia"/>
          <w:sz w:val="32"/>
          <w:szCs w:val="32"/>
        </w:rPr>
        <w:t>（</w:t>
      </w:r>
      <w:r>
        <w:rPr>
          <w:rFonts w:hint="eastAsia"/>
          <w:bCs/>
          <w:sz w:val="28"/>
          <w:szCs w:val="28"/>
        </w:rPr>
        <w:t>甲乙双方自行拟定</w:t>
      </w:r>
      <w:r>
        <w:rPr>
          <w:rFonts w:hint="eastAsia" w:ascii="Times New Roman" w:hAnsi="Times New Roman"/>
          <w:bCs/>
          <w:sz w:val="28"/>
          <w:szCs w:val="28"/>
        </w:rPr>
        <w:t>，但不得有违背采购文件精神的条款。</w:t>
      </w:r>
      <w:r>
        <w:rPr>
          <w:rFonts w:hint="eastAsia"/>
          <w:sz w:val="32"/>
          <w:szCs w:val="32"/>
        </w:rPr>
        <w:t>）</w:t>
      </w:r>
    </w:p>
    <w:p>
      <w:pPr>
        <w:pStyle w:val="20"/>
        <w:jc w:val="center"/>
        <w:rPr>
          <w:rFonts w:cs="宋体"/>
          <w:b/>
          <w:kern w:val="0"/>
          <w:sz w:val="32"/>
          <w:szCs w:val="32"/>
        </w:rPr>
      </w:pPr>
      <w:r>
        <w:rPr>
          <w:rFonts w:hint="eastAsia" w:cs="宋体"/>
          <w:b/>
          <w:kern w:val="0"/>
          <w:sz w:val="32"/>
          <w:szCs w:val="32"/>
        </w:rPr>
        <w:tab/>
      </w:r>
    </w:p>
    <w:p>
      <w:pPr>
        <w:rPr>
          <w:rFonts w:cs="宋体"/>
          <w:b/>
          <w:kern w:val="0"/>
          <w:sz w:val="32"/>
          <w:szCs w:val="32"/>
        </w:rPr>
      </w:pPr>
      <w:r>
        <w:rPr>
          <w:rFonts w:hint="eastAsia" w:cs="宋体"/>
          <w:b/>
          <w:kern w:val="0"/>
          <w:sz w:val="32"/>
          <w:szCs w:val="32"/>
        </w:rPr>
        <w:br w:type="page"/>
      </w:r>
    </w:p>
    <w:bookmarkEnd w:id="32"/>
    <w:bookmarkEnd w:id="33"/>
    <w:p>
      <w:pPr>
        <w:jc w:val="center"/>
        <w:outlineLvl w:val="0"/>
        <w:rPr>
          <w:rFonts w:ascii="宋体" w:hAnsi="宋体" w:cs="宋体"/>
          <w:b/>
          <w:bCs/>
          <w:kern w:val="0"/>
          <w:sz w:val="30"/>
          <w:szCs w:val="30"/>
        </w:rPr>
      </w:pPr>
      <w:r>
        <w:rPr>
          <w:rFonts w:hint="eastAsia" w:ascii="宋体" w:hAnsi="宋体" w:cs="宋体"/>
          <w:b/>
          <w:bCs/>
          <w:kern w:val="0"/>
          <w:sz w:val="30"/>
          <w:szCs w:val="30"/>
        </w:rPr>
        <w:t>第四章 采购需求</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（一）松科病虫害监测</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松褐天牛成虫监测</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2024年4月1日前完成全县10个监测点松褐天牛诱捕器挂设，定期监测记录和更换诱芯，到10月31日松褐天牛停止活动后结束。记录成虫始见期，末见期，分析各因子关系。</w:t>
      </w:r>
    </w:p>
    <w:tbl>
      <w:tblPr>
        <w:tblStyle w:val="22"/>
        <w:tblW w:w="8066" w:type="dxa"/>
        <w:tblInd w:w="0" w:type="dxa"/>
        <w:tblLayout w:type="fixed"/>
        <w:tblCellMar>
          <w:top w:w="15" w:type="dxa"/>
          <w:left w:w="15" w:type="dxa"/>
          <w:bottom w:w="15" w:type="dxa"/>
          <w:right w:w="15" w:type="dxa"/>
        </w:tblCellMar>
      </w:tblPr>
      <w:tblGrid>
        <w:gridCol w:w="771"/>
        <w:gridCol w:w="1377"/>
        <w:gridCol w:w="586"/>
        <w:gridCol w:w="941"/>
        <w:gridCol w:w="4391"/>
      </w:tblGrid>
      <w:tr>
        <w:tblPrEx>
          <w:tblCellMar>
            <w:top w:w="15" w:type="dxa"/>
            <w:left w:w="15" w:type="dxa"/>
            <w:bottom w:w="15" w:type="dxa"/>
            <w:right w:w="15" w:type="dxa"/>
          </w:tblCellMar>
        </w:tblPrEx>
        <w:trPr>
          <w:trHeight w:val="48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1377"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w:t>
            </w:r>
          </w:p>
        </w:tc>
        <w:tc>
          <w:tcPr>
            <w:tcW w:w="586"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监测点数</w:t>
            </w:r>
          </w:p>
        </w:tc>
        <w:tc>
          <w:tcPr>
            <w:tcW w:w="941"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记录频度</w:t>
            </w:r>
          </w:p>
        </w:tc>
        <w:tc>
          <w:tcPr>
            <w:tcW w:w="4391"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业务内容</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137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海拔100-1000米</w:t>
            </w:r>
          </w:p>
        </w:tc>
        <w:tc>
          <w:tcPr>
            <w:tcW w:w="5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w:t>
            </w:r>
          </w:p>
        </w:tc>
        <w:tc>
          <w:tcPr>
            <w:tcW w:w="94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2-7d</w:t>
            </w:r>
          </w:p>
        </w:tc>
        <w:tc>
          <w:tcPr>
            <w:tcW w:w="439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诱捕昆虫收集、初步鉴定、保存、记录，气候因子记录，按期换芯</w:t>
            </w:r>
          </w:p>
        </w:tc>
      </w:tr>
    </w:tbl>
    <w:p>
      <w:pPr>
        <w:pStyle w:val="21"/>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2、</w:t>
      </w:r>
      <w:r>
        <w:rPr>
          <w:rFonts w:hint="eastAsia" w:ascii="宋体" w:hAnsi="宋体" w:eastAsia="宋体" w:cs="宋体"/>
          <w:kern w:val="2"/>
          <w:sz w:val="21"/>
          <w:szCs w:val="21"/>
          <w:lang w:val="en-US" w:eastAsia="zh-CN" w:bidi="ar-SA"/>
        </w:rPr>
        <w:t>马尾松毛虫监测预警</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2024年1月-</w:t>
      </w:r>
      <w:bookmarkStart w:id="74" w:name="_GoBack"/>
      <w:bookmarkEnd w:id="74"/>
      <w:r>
        <w:rPr>
          <w:rFonts w:hint="eastAsia" w:ascii="宋体" w:hAnsi="宋体" w:eastAsia="宋体" w:cs="宋体"/>
          <w:kern w:val="2"/>
          <w:sz w:val="21"/>
          <w:szCs w:val="21"/>
          <w:lang w:val="en-US" w:eastAsia="zh-CN" w:bidi="ar-SA"/>
        </w:rPr>
        <w:t>3月进行越冬代调查。</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2024年4月底完成诱捕器挂设，开始进行成虫诱捕观测。</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2024年4-10月进行第一代、第二代松毛虫调查，成虫监测。</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要求强化线路踏查，根据踏查情况设置标准地，做好标准地调查，重视越冬代调查。准确掌握松毛虫发生地点、种类、范围以及虫口密度、危害程度,为防治决策提供科学依据。</w:t>
      </w:r>
    </w:p>
    <w:tbl>
      <w:tblPr>
        <w:tblStyle w:val="22"/>
        <w:tblW w:w="7701" w:type="dxa"/>
        <w:tblInd w:w="0" w:type="dxa"/>
        <w:tblLayout w:type="fixed"/>
        <w:tblCellMar>
          <w:top w:w="15" w:type="dxa"/>
          <w:left w:w="15" w:type="dxa"/>
          <w:bottom w:w="15" w:type="dxa"/>
          <w:right w:w="15" w:type="dxa"/>
        </w:tblCellMar>
      </w:tblPr>
      <w:tblGrid>
        <w:gridCol w:w="771"/>
        <w:gridCol w:w="1186"/>
        <w:gridCol w:w="627"/>
        <w:gridCol w:w="1119"/>
        <w:gridCol w:w="3998"/>
      </w:tblGrid>
      <w:tr>
        <w:tblPrEx>
          <w:tblCellMar>
            <w:top w:w="15" w:type="dxa"/>
            <w:left w:w="15" w:type="dxa"/>
            <w:bottom w:w="15" w:type="dxa"/>
            <w:right w:w="15" w:type="dxa"/>
          </w:tblCellMar>
        </w:tblPrEx>
        <w:trPr>
          <w:trHeight w:val="48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1186"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w:t>
            </w:r>
          </w:p>
        </w:tc>
        <w:tc>
          <w:tcPr>
            <w:tcW w:w="627"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监测点数</w:t>
            </w:r>
          </w:p>
        </w:tc>
        <w:tc>
          <w:tcPr>
            <w:tcW w:w="1119"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记录频度</w:t>
            </w:r>
          </w:p>
        </w:tc>
        <w:tc>
          <w:tcPr>
            <w:tcW w:w="3998"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业务内容</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太平畈等片</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5-10d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幼虫踏查与标准地调查，成虫诱捕、初步鉴定保存、记录，气象因子，监测预警</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与儿街等片</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5-10d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同上</w:t>
            </w:r>
          </w:p>
        </w:tc>
      </w:tr>
    </w:tbl>
    <w:p>
      <w:pPr>
        <w:pStyle w:val="21"/>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leftChars="0" w:firstLine="420" w:firstLineChars="200"/>
        <w:jc w:val="left"/>
        <w:textAlignment w:val="auto"/>
        <w:outlineLvl w:val="9"/>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3、</w:t>
      </w:r>
      <w:r>
        <w:rPr>
          <w:rFonts w:hint="default" w:ascii="宋体" w:hAnsi="宋体" w:eastAsia="宋体" w:cs="宋体"/>
          <w:kern w:val="2"/>
          <w:sz w:val="21"/>
          <w:szCs w:val="21"/>
          <w:lang w:val="en-US" w:eastAsia="zh-CN" w:bidi="ar-SA"/>
        </w:rPr>
        <w:t>金钱松尺</w:t>
      </w:r>
      <w:r>
        <w:rPr>
          <w:rFonts w:hint="eastAsia" w:ascii="宋体" w:hAnsi="宋体" w:eastAsia="宋体" w:cs="宋体"/>
          <w:kern w:val="2"/>
          <w:sz w:val="21"/>
          <w:szCs w:val="21"/>
          <w:lang w:val="en-US" w:eastAsia="zh-CN" w:bidi="ar-SA"/>
        </w:rPr>
        <w:t>蛾</w:t>
      </w:r>
      <w:r>
        <w:rPr>
          <w:rFonts w:hint="default" w:ascii="宋体" w:hAnsi="宋体" w:eastAsia="宋体" w:cs="宋体"/>
          <w:kern w:val="2"/>
          <w:sz w:val="21"/>
          <w:szCs w:val="21"/>
          <w:lang w:val="en-US" w:eastAsia="zh-CN" w:bidi="ar-SA"/>
        </w:rPr>
        <w:t>监测</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2024年1月-6月，10-12月蛹期调查。</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2024年4-10月幼虫调查。</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2024年6-10月成虫调查。</w:t>
      </w:r>
    </w:p>
    <w:tbl>
      <w:tblPr>
        <w:tblStyle w:val="22"/>
        <w:tblW w:w="7701" w:type="dxa"/>
        <w:tblInd w:w="0" w:type="dxa"/>
        <w:tblLayout w:type="fixed"/>
        <w:tblCellMar>
          <w:top w:w="15" w:type="dxa"/>
          <w:left w:w="15" w:type="dxa"/>
          <w:bottom w:w="15" w:type="dxa"/>
          <w:right w:w="15" w:type="dxa"/>
        </w:tblCellMar>
      </w:tblPr>
      <w:tblGrid>
        <w:gridCol w:w="771"/>
        <w:gridCol w:w="1186"/>
        <w:gridCol w:w="627"/>
        <w:gridCol w:w="1119"/>
        <w:gridCol w:w="3998"/>
      </w:tblGrid>
      <w:tr>
        <w:tblPrEx>
          <w:tblCellMar>
            <w:top w:w="15" w:type="dxa"/>
            <w:left w:w="15" w:type="dxa"/>
            <w:bottom w:w="15" w:type="dxa"/>
            <w:right w:w="15" w:type="dxa"/>
          </w:tblCellMar>
        </w:tblPrEx>
        <w:trPr>
          <w:trHeight w:val="48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1186"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w:t>
            </w:r>
          </w:p>
        </w:tc>
        <w:tc>
          <w:tcPr>
            <w:tcW w:w="627"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监测点数</w:t>
            </w:r>
          </w:p>
        </w:tc>
        <w:tc>
          <w:tcPr>
            <w:tcW w:w="1119"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记录频度</w:t>
            </w:r>
          </w:p>
        </w:tc>
        <w:tc>
          <w:tcPr>
            <w:tcW w:w="3998"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业务内容</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大化坪片</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5-15d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幼虫踏查与标准地调查，成虫诱捕、初步鉴定保存、记录，气象因子</w:t>
            </w:r>
          </w:p>
        </w:tc>
      </w:tr>
    </w:tbl>
    <w:p>
      <w:pPr>
        <w:pStyle w:val="21"/>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leftChars="0" w:firstLine="420" w:firstLineChars="200"/>
        <w:jc w:val="left"/>
        <w:textAlignment w:val="auto"/>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（二）毛竹病虫害监测</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1、</w:t>
      </w:r>
      <w:r>
        <w:rPr>
          <w:rFonts w:hint="eastAsia" w:ascii="宋体" w:hAnsi="宋体" w:eastAsia="宋体" w:cs="宋体"/>
          <w:kern w:val="2"/>
          <w:sz w:val="21"/>
          <w:szCs w:val="21"/>
          <w:lang w:val="en-US" w:eastAsia="zh-CN" w:bidi="ar-SA"/>
        </w:rPr>
        <w:t>黄脊竹蝗监测预警</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2024年3-4月，卵期调查。</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2024年5月-7月，跳蝻调查。</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2024年7-9月，成虫调查。</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开展1-2次卵期调查，挖取尽量多的卵块交实验室培养观察。根据踏查情况设置监测点5-10个，进行标准地调查。</w:t>
      </w:r>
    </w:p>
    <w:tbl>
      <w:tblPr>
        <w:tblStyle w:val="22"/>
        <w:tblW w:w="7701" w:type="dxa"/>
        <w:tblInd w:w="0" w:type="dxa"/>
        <w:tblLayout w:type="fixed"/>
        <w:tblCellMar>
          <w:top w:w="15" w:type="dxa"/>
          <w:left w:w="15" w:type="dxa"/>
          <w:bottom w:w="15" w:type="dxa"/>
          <w:right w:w="15" w:type="dxa"/>
        </w:tblCellMar>
      </w:tblPr>
      <w:tblGrid>
        <w:gridCol w:w="771"/>
        <w:gridCol w:w="1186"/>
        <w:gridCol w:w="627"/>
        <w:gridCol w:w="1119"/>
        <w:gridCol w:w="3998"/>
      </w:tblGrid>
      <w:tr>
        <w:tblPrEx>
          <w:tblCellMar>
            <w:top w:w="15" w:type="dxa"/>
            <w:left w:w="15" w:type="dxa"/>
            <w:bottom w:w="15" w:type="dxa"/>
            <w:right w:w="15" w:type="dxa"/>
          </w:tblCellMar>
        </w:tblPrEx>
        <w:trPr>
          <w:trHeight w:val="48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1186"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w:t>
            </w:r>
          </w:p>
        </w:tc>
        <w:tc>
          <w:tcPr>
            <w:tcW w:w="627"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监测点数</w:t>
            </w:r>
          </w:p>
        </w:tc>
        <w:tc>
          <w:tcPr>
            <w:tcW w:w="1119"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记录频度</w:t>
            </w:r>
          </w:p>
        </w:tc>
        <w:tc>
          <w:tcPr>
            <w:tcW w:w="3998"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业务内容</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但家庙片</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2-5</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5-15d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踏查与标准地调查，成虫诱捕、初步鉴定保存、记录，气象因子，监测预警</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诸佛庵片</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2-5</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5-15d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同上</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合计</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r>
    </w:tbl>
    <w:p>
      <w:pPr>
        <w:pStyle w:val="21"/>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leftChars="0" w:firstLine="420" w:firstLineChars="200"/>
        <w:jc w:val="left"/>
        <w:textAlignment w:val="auto"/>
        <w:outlineLvl w:val="9"/>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2、</w:t>
      </w:r>
      <w:r>
        <w:rPr>
          <w:rFonts w:hint="eastAsia" w:ascii="宋体" w:hAnsi="宋体" w:eastAsia="宋体" w:cs="宋体"/>
          <w:kern w:val="2"/>
          <w:sz w:val="21"/>
          <w:szCs w:val="21"/>
          <w:lang w:val="en-US" w:eastAsia="zh-CN" w:bidi="ar-SA"/>
        </w:rPr>
        <w:t>其他毛竹病虫害调查</w:t>
      </w:r>
    </w:p>
    <w:tbl>
      <w:tblPr>
        <w:tblStyle w:val="22"/>
        <w:tblW w:w="7701" w:type="dxa"/>
        <w:tblInd w:w="0" w:type="dxa"/>
        <w:tblLayout w:type="fixed"/>
        <w:tblCellMar>
          <w:top w:w="15" w:type="dxa"/>
          <w:left w:w="15" w:type="dxa"/>
          <w:bottom w:w="15" w:type="dxa"/>
          <w:right w:w="15" w:type="dxa"/>
        </w:tblCellMar>
      </w:tblPr>
      <w:tblGrid>
        <w:gridCol w:w="771"/>
        <w:gridCol w:w="1186"/>
        <w:gridCol w:w="627"/>
        <w:gridCol w:w="1119"/>
        <w:gridCol w:w="3998"/>
      </w:tblGrid>
      <w:tr>
        <w:tblPrEx>
          <w:tblCellMar>
            <w:top w:w="15" w:type="dxa"/>
            <w:left w:w="15" w:type="dxa"/>
            <w:bottom w:w="15" w:type="dxa"/>
            <w:right w:w="15" w:type="dxa"/>
          </w:tblCellMar>
        </w:tblPrEx>
        <w:trPr>
          <w:trHeight w:val="480" w:hRule="atLeast"/>
        </w:trPr>
        <w:tc>
          <w:tcPr>
            <w:tcW w:w="77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118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w:t>
            </w:r>
          </w:p>
        </w:tc>
        <w:tc>
          <w:tcPr>
            <w:tcW w:w="62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监测点数</w:t>
            </w:r>
          </w:p>
        </w:tc>
        <w:tc>
          <w:tcPr>
            <w:tcW w:w="111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记录频度</w:t>
            </w:r>
          </w:p>
        </w:tc>
        <w:tc>
          <w:tcPr>
            <w:tcW w:w="399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业务内容</w:t>
            </w:r>
          </w:p>
        </w:tc>
      </w:tr>
      <w:tr>
        <w:tblPrEx>
          <w:tblCellMar>
            <w:top w:w="15" w:type="dxa"/>
            <w:left w:w="15" w:type="dxa"/>
            <w:bottom w:w="15" w:type="dxa"/>
            <w:right w:w="15" w:type="dxa"/>
          </w:tblCellMar>
        </w:tblPrEx>
        <w:trPr>
          <w:trHeight w:val="340" w:hRule="atLeast"/>
        </w:trPr>
        <w:tc>
          <w:tcPr>
            <w:tcW w:w="77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118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但家庙片</w:t>
            </w:r>
          </w:p>
        </w:tc>
        <w:tc>
          <w:tcPr>
            <w:tcW w:w="62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2-5</w:t>
            </w:r>
          </w:p>
        </w:tc>
        <w:tc>
          <w:tcPr>
            <w:tcW w:w="111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10-30d</w:t>
            </w:r>
          </w:p>
        </w:tc>
        <w:tc>
          <w:tcPr>
            <w:tcW w:w="399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踏查与标准地调查，成虫诱捕、初步鉴定保存、记录，气象因子</w:t>
            </w:r>
          </w:p>
        </w:tc>
      </w:tr>
      <w:tr>
        <w:tblPrEx>
          <w:tblCellMar>
            <w:top w:w="15" w:type="dxa"/>
            <w:left w:w="15" w:type="dxa"/>
            <w:bottom w:w="15" w:type="dxa"/>
            <w:right w:w="15" w:type="dxa"/>
          </w:tblCellMar>
        </w:tblPrEx>
        <w:trPr>
          <w:trHeight w:val="340" w:hRule="atLeast"/>
        </w:trPr>
        <w:tc>
          <w:tcPr>
            <w:tcW w:w="77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1186"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大化坪片</w:t>
            </w:r>
          </w:p>
        </w:tc>
        <w:tc>
          <w:tcPr>
            <w:tcW w:w="62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2-5</w:t>
            </w:r>
          </w:p>
        </w:tc>
        <w:tc>
          <w:tcPr>
            <w:tcW w:w="1119"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10-30d</w:t>
            </w:r>
          </w:p>
        </w:tc>
        <w:tc>
          <w:tcPr>
            <w:tcW w:w="399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同上</w:t>
            </w:r>
          </w:p>
        </w:tc>
      </w:tr>
      <w:tr>
        <w:tblPrEx>
          <w:tblCellMar>
            <w:top w:w="15" w:type="dxa"/>
            <w:left w:w="15" w:type="dxa"/>
            <w:bottom w:w="15" w:type="dxa"/>
            <w:right w:w="15" w:type="dxa"/>
          </w:tblCellMar>
        </w:tblPrEx>
        <w:trPr>
          <w:trHeight w:val="340" w:hRule="atLeast"/>
        </w:trPr>
        <w:tc>
          <w:tcPr>
            <w:tcW w:w="771" w:type="dxa"/>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w:t>
            </w:r>
          </w:p>
        </w:tc>
        <w:tc>
          <w:tcPr>
            <w:tcW w:w="1186" w:type="dxa"/>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诸佛庵片</w:t>
            </w:r>
          </w:p>
        </w:tc>
        <w:tc>
          <w:tcPr>
            <w:tcW w:w="627" w:type="dxa"/>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2-5</w:t>
            </w:r>
          </w:p>
        </w:tc>
        <w:tc>
          <w:tcPr>
            <w:tcW w:w="1119" w:type="dxa"/>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10-30d</w:t>
            </w:r>
          </w:p>
        </w:tc>
        <w:tc>
          <w:tcPr>
            <w:tcW w:w="3998" w:type="dxa"/>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同上</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东西溪片</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2-5</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10-30d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同上</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合计</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r>
    </w:tbl>
    <w:p>
      <w:pPr>
        <w:pStyle w:val="21"/>
        <w:keepNext w:val="0"/>
        <w:keepLines w:val="0"/>
        <w:pageBreakBefore w:val="0"/>
        <w:widowControl w:val="0"/>
        <w:kinsoku/>
        <w:wordWrap/>
        <w:overflowPunct/>
        <w:topLinePunct w:val="0"/>
        <w:autoSpaceDE/>
        <w:autoSpaceDN/>
        <w:bidi w:val="0"/>
        <w:adjustRightInd w:val="0"/>
        <w:snapToGrid w:val="0"/>
        <w:spacing w:before="157" w:beforeLines="50" w:line="360" w:lineRule="auto"/>
        <w:jc w:val="left"/>
        <w:textAlignment w:val="auto"/>
        <w:outlineLvl w:val="9"/>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（三）油茶病虫害监测</w:t>
      </w:r>
    </w:p>
    <w:p>
      <w:pPr>
        <w:pStyle w:val="21"/>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1、油茶病虫害种类调查。</w:t>
      </w:r>
    </w:p>
    <w:p>
      <w:pPr>
        <w:pStyle w:val="21"/>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2、油茶象甲，油茶软腐病监测。</w:t>
      </w:r>
    </w:p>
    <w:tbl>
      <w:tblPr>
        <w:tblStyle w:val="22"/>
        <w:tblW w:w="7701" w:type="dxa"/>
        <w:tblInd w:w="0" w:type="dxa"/>
        <w:tblLayout w:type="fixed"/>
        <w:tblCellMar>
          <w:top w:w="15" w:type="dxa"/>
          <w:left w:w="15" w:type="dxa"/>
          <w:bottom w:w="15" w:type="dxa"/>
          <w:right w:w="15" w:type="dxa"/>
        </w:tblCellMar>
      </w:tblPr>
      <w:tblGrid>
        <w:gridCol w:w="771"/>
        <w:gridCol w:w="1186"/>
        <w:gridCol w:w="627"/>
        <w:gridCol w:w="1119"/>
        <w:gridCol w:w="3998"/>
      </w:tblGrid>
      <w:tr>
        <w:tblPrEx>
          <w:tblCellMar>
            <w:top w:w="15" w:type="dxa"/>
            <w:left w:w="15" w:type="dxa"/>
            <w:bottom w:w="15" w:type="dxa"/>
            <w:right w:w="15" w:type="dxa"/>
          </w:tblCellMar>
        </w:tblPrEx>
        <w:trPr>
          <w:trHeight w:val="48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1186"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w:t>
            </w:r>
          </w:p>
        </w:tc>
        <w:tc>
          <w:tcPr>
            <w:tcW w:w="627"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监测点数</w:t>
            </w:r>
          </w:p>
        </w:tc>
        <w:tc>
          <w:tcPr>
            <w:tcW w:w="1119"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记录频度</w:t>
            </w:r>
          </w:p>
        </w:tc>
        <w:tc>
          <w:tcPr>
            <w:tcW w:w="3998"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业务内容</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但家庙</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2-5</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10-30d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踏查与标准地调查，成虫诱捕、初步鉴定保存、记录，气象因子</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下符桥</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2-5</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10-30d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同上</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合计</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p>
        </w:tc>
      </w:tr>
    </w:tbl>
    <w:p>
      <w:pPr>
        <w:pStyle w:val="21"/>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leftChars="0" w:firstLine="420" w:firstLineChars="200"/>
        <w:jc w:val="left"/>
        <w:textAlignment w:val="auto"/>
        <w:outlineLvl w:val="9"/>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（四）美国白蛾监测预警</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2024年4月-9月、成虫期监测，采取性引诱监测与夜晚灯诱监测。</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2024年4月-10月，幼虫期监测，踏查与详查相结合。</w:t>
      </w:r>
    </w:p>
    <w:p>
      <w:pPr>
        <w:pStyle w:val="21"/>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监测挂设美国白蛾诱捕器，定期线路踏查、查看诱捕器和更换诱芯，记录相关资料，到9月30日结束。</w:t>
      </w:r>
    </w:p>
    <w:tbl>
      <w:tblPr>
        <w:tblStyle w:val="22"/>
        <w:tblW w:w="7701" w:type="dxa"/>
        <w:tblInd w:w="0" w:type="dxa"/>
        <w:tblLayout w:type="fixed"/>
        <w:tblCellMar>
          <w:top w:w="15" w:type="dxa"/>
          <w:left w:w="15" w:type="dxa"/>
          <w:bottom w:w="15" w:type="dxa"/>
          <w:right w:w="15" w:type="dxa"/>
        </w:tblCellMar>
      </w:tblPr>
      <w:tblGrid>
        <w:gridCol w:w="771"/>
        <w:gridCol w:w="1186"/>
        <w:gridCol w:w="627"/>
        <w:gridCol w:w="1119"/>
        <w:gridCol w:w="3998"/>
      </w:tblGrid>
      <w:tr>
        <w:tblPrEx>
          <w:tblCellMar>
            <w:top w:w="15" w:type="dxa"/>
            <w:left w:w="15" w:type="dxa"/>
            <w:bottom w:w="15" w:type="dxa"/>
            <w:right w:w="15" w:type="dxa"/>
          </w:tblCellMar>
        </w:tblPrEx>
        <w:trPr>
          <w:trHeight w:val="48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1186"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地点</w:t>
            </w:r>
          </w:p>
        </w:tc>
        <w:tc>
          <w:tcPr>
            <w:tcW w:w="627"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监测点数</w:t>
            </w:r>
          </w:p>
        </w:tc>
        <w:tc>
          <w:tcPr>
            <w:tcW w:w="1119"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记录频度</w:t>
            </w:r>
          </w:p>
        </w:tc>
        <w:tc>
          <w:tcPr>
            <w:tcW w:w="3998" w:type="dxa"/>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pPr>
              <w:widowControl/>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业务内容</w:t>
            </w:r>
          </w:p>
        </w:tc>
      </w:tr>
      <w:tr>
        <w:tblPrEx>
          <w:tblCellMar>
            <w:top w:w="15" w:type="dxa"/>
            <w:left w:w="15" w:type="dxa"/>
            <w:bottom w:w="15" w:type="dxa"/>
            <w:right w:w="15" w:type="dxa"/>
          </w:tblCellMar>
        </w:tblPrEx>
        <w:trPr>
          <w:trHeight w:val="340" w:hRule="atLeast"/>
        </w:trPr>
        <w:tc>
          <w:tcPr>
            <w:tcW w:w="77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1186"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下符桥、衡山镇等片</w:t>
            </w:r>
          </w:p>
        </w:tc>
        <w:tc>
          <w:tcPr>
            <w:tcW w:w="627"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w:t>
            </w:r>
          </w:p>
        </w:tc>
        <w:tc>
          <w:tcPr>
            <w:tcW w:w="1119"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5d</w:t>
            </w:r>
          </w:p>
        </w:tc>
        <w:tc>
          <w:tcPr>
            <w:tcW w:w="399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widowControl/>
              <w:spacing w:line="360" w:lineRule="auto"/>
              <w:jc w:val="center"/>
              <w:textAlignment w:val="center"/>
              <w:outlineLvl w:val="9"/>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踏查与标准地调查，成虫诱捕、初步鉴定保存、记录，气象因子，监测预警</w:t>
            </w:r>
          </w:p>
        </w:tc>
      </w:tr>
    </w:tbl>
    <w:p>
      <w:pPr>
        <w:pStyle w:val="21"/>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（五）验收和成果</w:t>
      </w:r>
    </w:p>
    <w:p>
      <w:pPr>
        <w:pStyle w:val="21"/>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林业有害生物监测在11月底提交相关全部监测原始记录。</w:t>
      </w:r>
    </w:p>
    <w:p>
      <w:pPr>
        <w:pStyle w:val="21"/>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林业有害生物监测成果验收，包括有林调资质专业机构审定的方案，野外调查记录，专家审核的病虫害鉴定报告，提供成果，提交相关调查报告，调查报告须有专家评审。</w:t>
      </w:r>
    </w:p>
    <w:p>
      <w:pPr>
        <w:pStyle w:val="20"/>
      </w:pPr>
    </w:p>
    <w:p>
      <w:pPr>
        <w:jc w:val="left"/>
        <w:sectPr>
          <w:footerReference r:id="rId5" w:type="default"/>
          <w:pgSz w:w="11906" w:h="16838"/>
          <w:pgMar w:top="1134" w:right="1449" w:bottom="1134" w:left="1417" w:header="567" w:footer="992" w:gutter="0"/>
          <w:pgNumType w:start="1"/>
          <w:cols w:space="720" w:num="1"/>
          <w:docGrid w:type="lines" w:linePitch="312" w:charSpace="0"/>
        </w:sectPr>
      </w:pPr>
    </w:p>
    <w:bookmarkEnd w:id="34"/>
    <w:p>
      <w:pPr>
        <w:spacing w:line="500" w:lineRule="exact"/>
        <w:jc w:val="center"/>
        <w:rPr>
          <w:rFonts w:hint="eastAsia" w:ascii="宋体" w:hAnsi="宋体" w:eastAsia="宋体" w:cs="宋体"/>
          <w:b/>
          <w:color w:val="auto"/>
          <w:sz w:val="32"/>
          <w:highlight w:val="none"/>
          <w:u w:val="none"/>
          <w:lang w:eastAsia="zh-CN"/>
        </w:rPr>
      </w:pPr>
      <w:r>
        <w:rPr>
          <w:rFonts w:hint="eastAsia" w:ascii="宋体" w:hAnsi="宋体" w:eastAsia="宋体" w:cs="宋体"/>
          <w:b/>
          <w:color w:val="auto"/>
          <w:sz w:val="32"/>
          <w:highlight w:val="none"/>
          <w:u w:val="none"/>
          <w:lang w:eastAsia="zh-CN"/>
        </w:rPr>
        <w:t>五、响应文件格式</w:t>
      </w:r>
    </w:p>
    <w:p>
      <w:pPr>
        <w:spacing w:line="500" w:lineRule="exact"/>
        <w:jc w:val="center"/>
        <w:rPr>
          <w:rFonts w:hint="eastAsia" w:ascii="宋体" w:hAnsi="宋体" w:eastAsia="宋体" w:cs="宋体"/>
          <w:b/>
          <w:color w:val="auto"/>
          <w:sz w:val="32"/>
          <w:highlight w:val="none"/>
          <w:u w:val="single"/>
        </w:rPr>
      </w:pPr>
    </w:p>
    <w:p>
      <w:pPr>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u w:val="single"/>
        </w:rPr>
        <w:t>　　　　　　　　　</w:t>
      </w:r>
      <w:bookmarkStart w:id="35" w:name="_Toc6546_WPSOffice_Level1"/>
      <w:r>
        <w:rPr>
          <w:rFonts w:hint="eastAsia" w:ascii="宋体" w:hAnsi="宋体" w:eastAsia="宋体" w:cs="宋体"/>
          <w:b/>
          <w:color w:val="auto"/>
          <w:sz w:val="32"/>
          <w:highlight w:val="none"/>
        </w:rPr>
        <w:t>采购</w:t>
      </w:r>
      <w:r>
        <w:rPr>
          <w:rFonts w:hint="eastAsia" w:ascii="宋体" w:hAnsi="宋体" w:cs="宋体"/>
          <w:b/>
          <w:color w:val="auto"/>
          <w:sz w:val="32"/>
          <w:highlight w:val="none"/>
          <w:lang w:eastAsia="zh-CN"/>
        </w:rPr>
        <w:t>项目</w:t>
      </w:r>
      <w:bookmarkEnd w:id="35"/>
      <w:r>
        <w:rPr>
          <w:rFonts w:hint="eastAsia" w:ascii="宋体" w:hAnsi="宋体" w:eastAsia="宋体" w:cs="宋体"/>
          <w:b/>
          <w:color w:val="auto"/>
          <w:sz w:val="32"/>
          <w:highlight w:val="none"/>
        </w:rPr>
        <w:t xml:space="preserve"> </w:t>
      </w:r>
    </w:p>
    <w:p>
      <w:pPr>
        <w:spacing w:line="900" w:lineRule="exact"/>
        <w:rPr>
          <w:rFonts w:hint="eastAsia" w:ascii="宋体" w:hAnsi="宋体" w:eastAsia="宋体" w:cs="宋体"/>
          <w:b/>
          <w:color w:val="auto"/>
          <w:sz w:val="72"/>
          <w:highlight w:val="none"/>
        </w:rPr>
      </w:pPr>
    </w:p>
    <w:p>
      <w:pPr>
        <w:spacing w:line="900" w:lineRule="exact"/>
        <w:jc w:val="center"/>
        <w:rPr>
          <w:rFonts w:hint="eastAsia" w:ascii="宋体" w:hAnsi="宋体" w:eastAsia="宋体" w:cs="宋体"/>
          <w:b/>
          <w:color w:val="auto"/>
          <w:sz w:val="44"/>
          <w:szCs w:val="44"/>
          <w:highlight w:val="none"/>
        </w:rPr>
      </w:pPr>
      <w:bookmarkStart w:id="36" w:name="_Toc12631_WPSOffice_Level1"/>
      <w:r>
        <w:rPr>
          <w:rFonts w:hint="eastAsia" w:ascii="宋体" w:hAnsi="宋体" w:eastAsia="宋体" w:cs="宋体"/>
          <w:b/>
          <w:color w:val="auto"/>
          <w:sz w:val="44"/>
          <w:szCs w:val="44"/>
          <w:highlight w:val="none"/>
        </w:rPr>
        <w:t>响</w:t>
      </w:r>
      <w:bookmarkEnd w:id="36"/>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37" w:name="_Toc13194_WPSOffice_Level1"/>
      <w:r>
        <w:rPr>
          <w:rFonts w:hint="eastAsia" w:ascii="宋体" w:hAnsi="宋体" w:eastAsia="宋体" w:cs="宋体"/>
          <w:b/>
          <w:color w:val="auto"/>
          <w:sz w:val="44"/>
          <w:szCs w:val="44"/>
          <w:highlight w:val="none"/>
        </w:rPr>
        <w:t>应</w:t>
      </w:r>
      <w:bookmarkEnd w:id="37"/>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38" w:name="_Toc28638_WPSOffice_Level1"/>
      <w:r>
        <w:rPr>
          <w:rFonts w:hint="eastAsia" w:ascii="宋体" w:hAnsi="宋体" w:eastAsia="宋体" w:cs="宋体"/>
          <w:b/>
          <w:color w:val="auto"/>
          <w:sz w:val="44"/>
          <w:szCs w:val="44"/>
          <w:highlight w:val="none"/>
        </w:rPr>
        <w:t>文</w:t>
      </w:r>
      <w:bookmarkEnd w:id="38"/>
    </w:p>
    <w:p>
      <w:pPr>
        <w:spacing w:line="900" w:lineRule="exact"/>
        <w:jc w:val="center"/>
        <w:rPr>
          <w:rFonts w:hint="eastAsia" w:ascii="宋体" w:hAnsi="宋体" w:eastAsia="宋体" w:cs="宋体"/>
          <w:b/>
          <w:color w:val="auto"/>
          <w:sz w:val="44"/>
          <w:szCs w:val="44"/>
          <w:highlight w:val="none"/>
        </w:rPr>
      </w:pPr>
    </w:p>
    <w:p>
      <w:pPr>
        <w:jc w:val="center"/>
        <w:rPr>
          <w:rFonts w:hint="eastAsia" w:ascii="宋体" w:hAnsi="宋体" w:eastAsia="宋体" w:cs="宋体"/>
          <w:b/>
          <w:color w:val="auto"/>
          <w:sz w:val="44"/>
          <w:szCs w:val="44"/>
          <w:highlight w:val="none"/>
        </w:rPr>
      </w:pPr>
      <w:bookmarkStart w:id="39" w:name="_Toc21450_WPSOffice_Level1"/>
      <w:r>
        <w:rPr>
          <w:rFonts w:hint="eastAsia" w:ascii="宋体" w:hAnsi="宋体" w:eastAsia="宋体" w:cs="宋体"/>
          <w:b/>
          <w:color w:val="auto"/>
          <w:sz w:val="44"/>
          <w:szCs w:val="44"/>
          <w:highlight w:val="none"/>
        </w:rPr>
        <w:t>件</w:t>
      </w:r>
      <w:bookmarkEnd w:id="39"/>
    </w:p>
    <w:p>
      <w:pPr>
        <w:pStyle w:val="7"/>
        <w:jc w:val="center"/>
        <w:rPr>
          <w:rFonts w:ascii="黑体"/>
          <w:color w:val="auto"/>
          <w:sz w:val="44"/>
          <w:highlight w:val="none"/>
          <w:u w:val="single"/>
        </w:rPr>
      </w:pPr>
      <w:bookmarkStart w:id="40" w:name="_Toc30778_WPSOffice_Level1"/>
      <w:r>
        <w:rPr>
          <w:rFonts w:hint="eastAsia" w:ascii="黑体" w:hAnsi="Times New Roman" w:eastAsia="黑体"/>
          <w:color w:val="auto"/>
          <w:kern w:val="2"/>
          <w:sz w:val="32"/>
          <w:szCs w:val="22"/>
          <w:highlight w:val="none"/>
          <w:u w:val="single"/>
        </w:rPr>
        <w:t>正本（副本）</w:t>
      </w:r>
      <w:bookmarkEnd w:id="40"/>
    </w:p>
    <w:p>
      <w:pPr>
        <w:spacing w:afterLines="50" w:line="500" w:lineRule="exact"/>
        <w:ind w:firstLine="2479" w:firstLineChars="343"/>
        <w:rPr>
          <w:rFonts w:hint="eastAsia" w:ascii="宋体" w:hAnsi="宋体" w:eastAsia="宋体" w:cs="宋体"/>
          <w:b/>
          <w:color w:val="auto"/>
          <w:sz w:val="72"/>
          <w:highlight w:val="none"/>
        </w:rPr>
      </w:pPr>
    </w:p>
    <w:p>
      <w:pPr>
        <w:spacing w:afterLines="50" w:line="500" w:lineRule="exact"/>
        <w:ind w:firstLine="2409" w:firstLineChars="800"/>
        <w:jc w:val="both"/>
        <w:rPr>
          <w:rFonts w:hint="default" w:ascii="宋体" w:hAnsi="宋体" w:eastAsia="宋体" w:cs="宋体"/>
          <w:b/>
          <w:color w:val="auto"/>
          <w:sz w:val="30"/>
          <w:szCs w:val="30"/>
          <w:highlight w:val="none"/>
          <w:lang w:val="en-US"/>
        </w:rPr>
      </w:pPr>
      <w:bookmarkStart w:id="41" w:name="_Toc2436_WPSOffice_Level1"/>
      <w:r>
        <w:rPr>
          <w:rFonts w:hint="eastAsia" w:ascii="宋体" w:hAnsi="宋体" w:cs="宋体"/>
          <w:b/>
          <w:color w:val="auto"/>
          <w:sz w:val="30"/>
          <w:szCs w:val="30"/>
          <w:highlight w:val="none"/>
          <w:lang w:eastAsia="zh-CN"/>
        </w:rPr>
        <w:t>项目</w:t>
      </w:r>
      <w:r>
        <w:rPr>
          <w:rFonts w:hint="eastAsia" w:ascii="宋体" w:hAnsi="宋体" w:eastAsia="宋体" w:cs="宋体"/>
          <w:b/>
          <w:color w:val="auto"/>
          <w:sz w:val="30"/>
          <w:szCs w:val="30"/>
          <w:highlight w:val="none"/>
        </w:rPr>
        <w:t>编号：</w:t>
      </w:r>
      <w:bookmarkEnd w:id="41"/>
    </w:p>
    <w:p>
      <w:pPr>
        <w:spacing w:afterLines="50" w:line="500" w:lineRule="exact"/>
        <w:jc w:val="center"/>
        <w:rPr>
          <w:rFonts w:hint="eastAsia" w:ascii="宋体" w:hAnsi="宋体" w:eastAsia="宋体" w:cs="宋体"/>
          <w:b/>
          <w:color w:val="auto"/>
          <w:sz w:val="28"/>
          <w:szCs w:val="28"/>
          <w:highlight w:val="none"/>
        </w:rPr>
      </w:pPr>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2" w:name="_Toc19527_WPSOffice_Level1"/>
      <w:r>
        <w:rPr>
          <w:rFonts w:hint="eastAsia" w:ascii="宋体" w:hAnsi="宋体" w:cs="宋体"/>
          <w:b/>
          <w:color w:val="auto"/>
          <w:sz w:val="28"/>
          <w:szCs w:val="28"/>
          <w:highlight w:val="none"/>
          <w:lang w:eastAsia="zh-CN"/>
        </w:rPr>
        <w:t>供应商</w:t>
      </w:r>
      <w:r>
        <w:rPr>
          <w:rFonts w:hint="eastAsia" w:ascii="宋体" w:hAnsi="宋体" w:eastAsia="宋体" w:cs="宋体"/>
          <w:b/>
          <w:color w:val="auto"/>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 xml:space="preserve">  　　　　　　（盖单位章）</w:t>
      </w:r>
      <w:bookmarkEnd w:id="42"/>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3" w:name="_Toc2247_WPSOffice_Level1"/>
      <w:r>
        <w:rPr>
          <w:rFonts w:hint="eastAsia" w:ascii="宋体" w:hAnsi="宋体" w:eastAsia="宋体" w:cs="宋体"/>
          <w:b/>
          <w:color w:val="auto"/>
          <w:spacing w:val="0"/>
          <w:kern w:val="0"/>
          <w:sz w:val="28"/>
          <w:szCs w:val="28"/>
          <w:highlight w:val="none"/>
        </w:rPr>
        <w:t>法定代表人或委托代理人</w:t>
      </w:r>
      <w:r>
        <w:rPr>
          <w:rFonts w:hint="eastAsia" w:ascii="宋体" w:hAnsi="宋体" w:eastAsia="宋体" w:cs="宋体"/>
          <w:b/>
          <w:color w:val="auto"/>
          <w:spacing w:val="20"/>
          <w:kern w:val="0"/>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eastAsia="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（签字或盖章）</w:t>
      </w:r>
      <w:bookmarkEnd w:id="43"/>
      <w:r>
        <w:rPr>
          <w:rFonts w:hint="eastAsia" w:ascii="宋体" w:hAnsi="宋体" w:eastAsia="宋体" w:cs="宋体"/>
          <w:b/>
          <w:color w:val="auto"/>
          <w:spacing w:val="20"/>
          <w:kern w:val="0"/>
          <w:sz w:val="28"/>
          <w:szCs w:val="28"/>
          <w:highlight w:val="none"/>
          <w:u w:val="single"/>
        </w:rPr>
        <w:t>　</w:t>
      </w:r>
      <w:bookmarkStart w:id="44" w:name="_Toc19164_WPSOffice_Level1"/>
    </w:p>
    <w:p>
      <w:pPr>
        <w:spacing w:afterLines="50" w:line="500" w:lineRule="exact"/>
        <w:ind w:firstLine="642" w:firstLineChars="200"/>
        <w:rPr>
          <w:rFonts w:hint="eastAsia" w:ascii="宋体" w:hAnsi="宋体" w:eastAsia="宋体" w:cs="宋体"/>
          <w:b/>
          <w:color w:val="auto"/>
          <w:spacing w:val="20"/>
          <w:kern w:val="0"/>
          <w:sz w:val="28"/>
          <w:szCs w:val="28"/>
          <w:highlight w:val="none"/>
        </w:rPr>
      </w:pPr>
      <w:r>
        <w:rPr>
          <w:rFonts w:hint="eastAsia" w:ascii="宋体" w:hAnsi="宋体" w:eastAsia="宋体" w:cs="宋体"/>
          <w:b/>
          <w:color w:val="auto"/>
          <w:spacing w:val="20"/>
          <w:kern w:val="0"/>
          <w:sz w:val="28"/>
          <w:szCs w:val="28"/>
          <w:highlight w:val="none"/>
        </w:rPr>
        <w:t>日  期：　　　　</w:t>
      </w:r>
      <w:r>
        <w:rPr>
          <w:rFonts w:hint="eastAsia" w:ascii="宋体" w:hAnsi="宋体" w:eastAsia="宋体" w:cs="宋体"/>
          <w:b/>
          <w:color w:val="auto"/>
          <w:sz w:val="28"/>
          <w:szCs w:val="28"/>
          <w:highlight w:val="none"/>
        </w:rPr>
        <w:t>年    月    日</w:t>
      </w:r>
      <w:bookmarkEnd w:id="44"/>
    </w:p>
    <w:p>
      <w:pPr>
        <w:jc w:val="center"/>
        <w:rPr>
          <w:rFonts w:hint="eastAsia"/>
          <w:b/>
          <w:bCs/>
          <w:color w:val="auto"/>
          <w:sz w:val="28"/>
          <w:szCs w:val="28"/>
          <w:highlight w:val="none"/>
        </w:rPr>
      </w:pPr>
      <w:bookmarkStart w:id="45" w:name="_Toc19469_WPSOffice_Level1"/>
    </w:p>
    <w:p>
      <w:pPr>
        <w:jc w:val="center"/>
        <w:rPr>
          <w:rFonts w:hint="eastAsia"/>
          <w:b/>
          <w:bCs/>
          <w:color w:val="auto"/>
          <w:sz w:val="28"/>
          <w:szCs w:val="28"/>
          <w:highlight w:val="none"/>
        </w:rPr>
      </w:pPr>
    </w:p>
    <w:p>
      <w:pPr>
        <w:jc w:val="center"/>
        <w:rPr>
          <w:rFonts w:hint="eastAsia"/>
          <w:b/>
          <w:bCs/>
          <w:color w:val="auto"/>
          <w:sz w:val="28"/>
          <w:szCs w:val="28"/>
          <w:highlight w:val="none"/>
        </w:rPr>
      </w:pPr>
      <w:r>
        <w:rPr>
          <w:rFonts w:hint="eastAsia"/>
          <w:b/>
          <w:bCs/>
          <w:color w:val="auto"/>
          <w:sz w:val="28"/>
          <w:szCs w:val="28"/>
          <w:highlight w:val="none"/>
        </w:rPr>
        <w:t>响应文件资料清单</w:t>
      </w:r>
      <w:bookmarkEnd w:id="45"/>
    </w:p>
    <w:p>
      <w:pPr>
        <w:adjustRightInd w:val="0"/>
        <w:snapToGrid w:val="0"/>
        <w:spacing w:line="240" w:lineRule="exact"/>
        <w:jc w:val="center"/>
        <w:rPr>
          <w:rFonts w:hint="eastAsia" w:ascii="宋体" w:hAnsi="宋体" w:eastAsia="宋体" w:cs="宋体"/>
          <w:b/>
          <w:color w:val="auto"/>
          <w:sz w:val="24"/>
          <w:highlight w:val="none"/>
        </w:rPr>
      </w:pPr>
    </w:p>
    <w:tbl>
      <w:tblPr>
        <w:tblStyle w:val="22"/>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r>
              <w:rPr>
                <w:rFonts w:hint="eastAsia" w:ascii="Tahoma" w:hAnsi="Tahoma"/>
                <w:color w:val="auto"/>
                <w:sz w:val="21"/>
                <w:szCs w:val="21"/>
                <w:highlight w:val="none"/>
                <w:lang w:eastAsia="zh-CN"/>
              </w:rPr>
              <w:t>（</w:t>
            </w:r>
            <w:r>
              <w:rPr>
                <w:rFonts w:hint="eastAsia" w:ascii="Tahoma" w:hAnsi="Tahoma"/>
                <w:color w:val="auto"/>
                <w:sz w:val="21"/>
                <w:szCs w:val="21"/>
                <w:highlight w:val="none"/>
                <w:lang w:val="en-US" w:eastAsia="zh-CN"/>
              </w:rPr>
              <w:t>营业执照等</w:t>
            </w:r>
            <w:r>
              <w:rPr>
                <w:rFonts w:hint="eastAsia" w:ascii="Tahoma" w:hAnsi="Tahoma"/>
                <w:color w:val="auto"/>
                <w:sz w:val="21"/>
                <w:szCs w:val="21"/>
                <w:highlight w:val="none"/>
                <w:lang w:eastAsia="zh-CN"/>
              </w:rPr>
              <w:t>）</w:t>
            </w:r>
          </w:p>
        </w:tc>
        <w:tc>
          <w:tcPr>
            <w:tcW w:w="2625" w:type="dxa"/>
            <w:noWrap w:val="0"/>
            <w:vAlign w:val="center"/>
          </w:tcPr>
          <w:p>
            <w:pPr>
              <w:spacing w:line="360" w:lineRule="auto"/>
              <w:jc w:val="center"/>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eastAsia="zh-CN"/>
              </w:rPr>
              <w:t>企业营业执照等相关证明材料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pPr>
              <w:pStyle w:val="48"/>
              <w:rPr>
                <w:rFonts w:hint="eastAsia" w:ascii="宋体" w:hAnsi="宋体" w:eastAsia="宋体" w:cs="宋体"/>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法定代表人身份证明或响应授权书</w:t>
            </w:r>
          </w:p>
        </w:tc>
        <w:tc>
          <w:tcPr>
            <w:tcW w:w="2625" w:type="dxa"/>
            <w:noWrap w:val="0"/>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三</w:t>
            </w:r>
          </w:p>
        </w:tc>
        <w:tc>
          <w:tcPr>
            <w:tcW w:w="5460" w:type="dxa"/>
            <w:noWrap w:val="0"/>
            <w:vAlign w:val="center"/>
          </w:tcPr>
          <w:p>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lang w:val="en-US" w:eastAsia="zh-CN"/>
              </w:rPr>
              <w:t>其他</w:t>
            </w:r>
            <w:r>
              <w:rPr>
                <w:rFonts w:hint="eastAsia" w:ascii="宋体" w:hAnsi="宋体"/>
                <w:color w:val="auto"/>
                <w:sz w:val="21"/>
                <w:szCs w:val="21"/>
                <w:highlight w:val="none"/>
              </w:rPr>
              <w:t>资料</w:t>
            </w:r>
          </w:p>
        </w:tc>
        <w:tc>
          <w:tcPr>
            <w:tcW w:w="2625" w:type="dxa"/>
            <w:noWrap w:val="0"/>
            <w:vAlign w:val="center"/>
          </w:tcPr>
          <w:p>
            <w:pPr>
              <w:spacing w:line="360" w:lineRule="auto"/>
              <w:rPr>
                <w:rFonts w:hint="eastAsia" w:ascii="宋体" w:hAnsi="宋体" w:eastAsia="宋体" w:cs="宋体"/>
                <w:b/>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pPr>
              <w:jc w:val="center"/>
              <w:rPr>
                <w:rFonts w:hint="eastAsia" w:ascii="宋体" w:hAnsi="宋体" w:eastAsia="宋体" w:cs="宋体"/>
                <w:color w:val="auto"/>
                <w:szCs w:val="21"/>
                <w:highlight w:val="none"/>
                <w:lang w:eastAsia="zh-CN"/>
              </w:rPr>
            </w:pPr>
          </w:p>
        </w:tc>
        <w:tc>
          <w:tcPr>
            <w:tcW w:w="5460" w:type="dxa"/>
            <w:noWrap w:val="0"/>
            <w:vAlign w:val="center"/>
          </w:tcPr>
          <w:p>
            <w:pPr>
              <w:rPr>
                <w:rFonts w:hint="default" w:ascii="宋体" w:hAnsi="宋体" w:eastAsia="宋体" w:cs="宋体"/>
                <w:color w:val="auto"/>
                <w:szCs w:val="21"/>
                <w:highlight w:val="none"/>
                <w:lang w:val="en-US" w:eastAsia="zh-CN"/>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bl>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pStyle w:val="20"/>
        <w:rPr>
          <w:rFonts w:hint="eastAsia"/>
          <w:highlight w:val="none"/>
        </w:rPr>
      </w:pPr>
    </w:p>
    <w:p>
      <w:pPr>
        <w:pStyle w:val="17"/>
        <w:rPr>
          <w:rFonts w:hint="eastAsia"/>
          <w:highlight w:val="none"/>
        </w:rPr>
      </w:pPr>
    </w:p>
    <w:p>
      <w:pPr>
        <w:rPr>
          <w:rFonts w:hint="eastAsia"/>
          <w:highlight w:val="none"/>
        </w:rPr>
      </w:pPr>
    </w:p>
    <w:p>
      <w:pPr>
        <w:spacing w:line="360" w:lineRule="auto"/>
        <w:jc w:val="center"/>
        <w:rPr>
          <w:rFonts w:hint="eastAsia" w:ascii="宋体" w:hAnsi="宋体" w:eastAsia="宋体" w:cs="宋体"/>
          <w:b/>
          <w:color w:val="auto"/>
          <w:sz w:val="24"/>
          <w:highlight w:val="none"/>
        </w:rPr>
      </w:pPr>
    </w:p>
    <w:p>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46" w:name="_Toc471299103"/>
      <w:bookmarkStart w:id="47" w:name="_Toc5932"/>
      <w:r>
        <w:rPr>
          <w:rFonts w:hint="eastAsia" w:ascii="宋体" w:hAnsi="宋体" w:eastAsia="宋体" w:cs="宋体"/>
          <w:color w:val="auto"/>
          <w:sz w:val="21"/>
          <w:szCs w:val="21"/>
          <w:highlight w:val="none"/>
        </w:rPr>
        <w:t>附件</w:t>
      </w:r>
      <w:bookmarkEnd w:id="46"/>
      <w:bookmarkEnd w:id="47"/>
      <w:r>
        <w:rPr>
          <w:rFonts w:hint="eastAsia" w:ascii="宋体" w:hAnsi="宋体" w:cs="宋体"/>
          <w:color w:val="auto"/>
          <w:sz w:val="21"/>
          <w:szCs w:val="21"/>
          <w:highlight w:val="none"/>
          <w:lang w:eastAsia="zh-CN"/>
        </w:rPr>
        <w:t>一</w:t>
      </w:r>
    </w:p>
    <w:p>
      <w:pPr>
        <w:jc w:val="center"/>
        <w:rPr>
          <w:rFonts w:hint="eastAsia"/>
          <w:b/>
          <w:bCs/>
          <w:color w:val="auto"/>
          <w:sz w:val="28"/>
          <w:szCs w:val="28"/>
          <w:highlight w:val="none"/>
        </w:rPr>
      </w:pPr>
      <w:bookmarkStart w:id="48" w:name="_Toc10142_WPSOffice_Level1"/>
      <w:r>
        <w:rPr>
          <w:rFonts w:hint="eastAsia"/>
          <w:b/>
          <w:bCs/>
          <w:color w:val="auto"/>
          <w:sz w:val="28"/>
          <w:szCs w:val="28"/>
          <w:highlight w:val="none"/>
        </w:rPr>
        <w:t>供应商基本信息</w:t>
      </w:r>
      <w:bookmarkEnd w:id="48"/>
      <w:r>
        <w:rPr>
          <w:rFonts w:hint="eastAsia"/>
          <w:b/>
          <w:bCs/>
          <w:color w:val="auto"/>
          <w:sz w:val="28"/>
          <w:szCs w:val="28"/>
          <w:highlight w:val="none"/>
        </w:rPr>
        <w:t>（营业执照等）</w:t>
      </w:r>
    </w:p>
    <w:p>
      <w:pPr>
        <w:pStyle w:val="20"/>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pPr>
        <w:jc w:val="center"/>
        <w:rPr>
          <w:rFonts w:hint="eastAsia" w:eastAsia="宋体"/>
          <w:b/>
          <w:bCs/>
          <w:color w:val="auto"/>
          <w:sz w:val="28"/>
          <w:szCs w:val="28"/>
          <w:highlight w:val="none"/>
          <w:lang w:eastAsia="zh-CN"/>
        </w:rPr>
      </w:pPr>
      <w:bookmarkStart w:id="49" w:name="_Toc5936_WPSOffice_Level1"/>
      <w:r>
        <w:rPr>
          <w:rFonts w:hint="eastAsia"/>
          <w:b/>
          <w:bCs/>
          <w:color w:val="auto"/>
          <w:sz w:val="28"/>
          <w:szCs w:val="28"/>
          <w:highlight w:val="none"/>
          <w:lang w:eastAsia="zh-CN"/>
        </w:rPr>
        <w:t>（格式自拟）</w:t>
      </w:r>
      <w:bookmarkEnd w:id="49"/>
    </w:p>
    <w:p>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0" w:name="_Toc31656"/>
      <w:bookmarkStart w:id="51"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0"/>
      <w:bookmarkEnd w:id="51"/>
      <w:r>
        <w:rPr>
          <w:rFonts w:hint="eastAsia" w:ascii="宋体" w:hAnsi="宋体" w:cs="宋体"/>
          <w:color w:val="auto"/>
          <w:sz w:val="21"/>
          <w:szCs w:val="21"/>
          <w:highlight w:val="none"/>
          <w:lang w:eastAsia="zh-CN"/>
        </w:rPr>
        <w:t>二</w:t>
      </w:r>
    </w:p>
    <w:p>
      <w:pPr>
        <w:jc w:val="center"/>
        <w:rPr>
          <w:rFonts w:hint="eastAsia"/>
          <w:b/>
          <w:bCs/>
          <w:color w:val="auto"/>
          <w:sz w:val="28"/>
          <w:szCs w:val="28"/>
          <w:highlight w:val="none"/>
        </w:rPr>
      </w:pPr>
      <w:bookmarkStart w:id="52" w:name="_Toc8862_WPSOffice_Level1"/>
      <w:bookmarkStart w:id="53" w:name="_Toc471299105"/>
      <w:r>
        <w:rPr>
          <w:rFonts w:hint="eastAsia"/>
          <w:b/>
          <w:bCs/>
          <w:color w:val="auto"/>
          <w:sz w:val="28"/>
          <w:szCs w:val="28"/>
          <w:highlight w:val="none"/>
          <w:lang w:eastAsia="zh-CN"/>
        </w:rPr>
        <w:t>法定代表人身份证明或响应</w:t>
      </w:r>
      <w:r>
        <w:rPr>
          <w:rFonts w:hint="eastAsia"/>
          <w:b/>
          <w:bCs/>
          <w:color w:val="auto"/>
          <w:sz w:val="28"/>
          <w:szCs w:val="28"/>
          <w:highlight w:val="none"/>
        </w:rPr>
        <w:t>授权书</w:t>
      </w:r>
      <w:bookmarkEnd w:id="52"/>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（投标人名称）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投标人名称（公章）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3"/>
      <w:bookmarkEnd w:id="54"/>
      <w:r>
        <w:rPr>
          <w:rFonts w:hint="eastAsia" w:ascii="宋体" w:hAnsi="宋体" w:cs="宋体"/>
          <w:color w:val="auto"/>
          <w:sz w:val="21"/>
          <w:szCs w:val="21"/>
          <w:highlight w:val="none"/>
          <w:lang w:eastAsia="zh-CN"/>
        </w:rPr>
        <w:t>三</w:t>
      </w:r>
    </w:p>
    <w:p>
      <w:pPr>
        <w:jc w:val="center"/>
        <w:rPr>
          <w:rFonts w:hint="eastAsia"/>
          <w:b/>
          <w:bCs/>
          <w:color w:val="auto"/>
          <w:sz w:val="28"/>
          <w:szCs w:val="28"/>
          <w:highlight w:val="none"/>
        </w:rPr>
      </w:pPr>
      <w:bookmarkStart w:id="55" w:name="_Toc516969098"/>
      <w:bookmarkStart w:id="56" w:name="_Toc3858_WPSOffice_Level1"/>
      <w:bookmarkStart w:id="57" w:name="_Toc148501698"/>
      <w:r>
        <w:rPr>
          <w:rFonts w:hint="eastAsia"/>
          <w:b/>
          <w:bCs/>
          <w:color w:val="auto"/>
          <w:sz w:val="28"/>
          <w:szCs w:val="28"/>
          <w:highlight w:val="none"/>
        </w:rPr>
        <w:t>响应函</w:t>
      </w:r>
      <w:bookmarkEnd w:id="55"/>
      <w:bookmarkEnd w:id="56"/>
      <w:bookmarkEnd w:id="57"/>
    </w:p>
    <w:p>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single"/>
          <w:lang w:val="en-US" w:eastAsia="zh-CN"/>
        </w:rPr>
        <w:t xml:space="preserve">代理人（被授权人）姓名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pStyle w:val="20"/>
        <w:rPr>
          <w:rFonts w:hint="default" w:eastAsia="宋体"/>
          <w:lang w:val="en-US" w:eastAsia="zh-CN"/>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spacing w:line="360" w:lineRule="auto"/>
        <w:rPr>
          <w:rFonts w:ascii="宋体" w:hAnsi="宋体"/>
          <w:color w:val="auto"/>
          <w:sz w:val="24"/>
          <w:highlight w:val="none"/>
          <w:u w:val="single"/>
        </w:rPr>
      </w:pPr>
    </w:p>
    <w:p>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8" w:name="_Toc417045478"/>
      <w:bookmarkStart w:id="59" w:name="_Toc471299106"/>
      <w:bookmarkStart w:id="60"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8"/>
      <w:bookmarkEnd w:id="59"/>
      <w:bookmarkEnd w:id="60"/>
      <w:r>
        <w:rPr>
          <w:rFonts w:hint="eastAsia" w:ascii="宋体" w:hAnsi="宋体" w:cs="宋体"/>
          <w:color w:val="auto"/>
          <w:sz w:val="21"/>
          <w:szCs w:val="21"/>
          <w:highlight w:val="none"/>
          <w:lang w:eastAsia="zh-CN"/>
        </w:rPr>
        <w:t>四</w:t>
      </w:r>
    </w:p>
    <w:p>
      <w:pPr>
        <w:jc w:val="center"/>
        <w:rPr>
          <w:rFonts w:hint="eastAsia"/>
          <w:b/>
          <w:bCs/>
          <w:color w:val="auto"/>
          <w:sz w:val="28"/>
          <w:szCs w:val="28"/>
          <w:highlight w:val="none"/>
          <w:lang w:val="zh-CN"/>
        </w:rPr>
      </w:pPr>
      <w:bookmarkStart w:id="61" w:name="_Toc1513_WPSOffice_Level1"/>
      <w:r>
        <w:rPr>
          <w:rFonts w:hint="eastAsia"/>
          <w:b/>
          <w:bCs/>
          <w:color w:val="auto"/>
          <w:sz w:val="28"/>
          <w:szCs w:val="28"/>
          <w:highlight w:val="none"/>
          <w:lang w:val="zh-CN"/>
        </w:rPr>
        <w:t>无重大违法记录声明函</w:t>
      </w:r>
      <w:bookmarkEnd w:id="6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pPr>
        <w:jc w:val="center"/>
        <w:rPr>
          <w:rFonts w:hint="eastAsia"/>
          <w:b/>
          <w:bCs/>
          <w:color w:val="auto"/>
          <w:sz w:val="28"/>
          <w:szCs w:val="28"/>
          <w:highlight w:val="none"/>
          <w:lang w:val="zh-CN"/>
        </w:rPr>
      </w:pPr>
      <w:bookmarkStart w:id="62" w:name="_Toc29566_WPSOffice_Level1"/>
    </w:p>
    <w:p>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2"/>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3" w:name="_Toc363199274"/>
    </w:p>
    <w:p>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4" w:name="_Toc471299107"/>
      <w:r>
        <w:rPr>
          <w:rFonts w:hint="eastAsia"/>
          <w:color w:val="auto"/>
          <w:sz w:val="24"/>
          <w:szCs w:val="24"/>
          <w:highlight w:val="none"/>
        </w:rPr>
        <w:br w:type="page"/>
      </w:r>
      <w:bookmarkStart w:id="65" w:name="_Toc3574"/>
      <w:r>
        <w:rPr>
          <w:rFonts w:hint="eastAsia" w:ascii="宋体" w:hAnsi="宋体" w:eastAsia="宋体" w:cs="宋体"/>
          <w:color w:val="auto"/>
          <w:sz w:val="21"/>
          <w:szCs w:val="21"/>
          <w:highlight w:val="none"/>
        </w:rPr>
        <w:t>附件</w:t>
      </w:r>
      <w:bookmarkEnd w:id="63"/>
      <w:bookmarkEnd w:id="64"/>
      <w:bookmarkEnd w:id="65"/>
      <w:r>
        <w:rPr>
          <w:rFonts w:hint="eastAsia" w:ascii="宋体" w:hAnsi="宋体" w:cs="宋体"/>
          <w:color w:val="auto"/>
          <w:sz w:val="21"/>
          <w:szCs w:val="21"/>
          <w:highlight w:val="none"/>
          <w:lang w:eastAsia="zh-CN"/>
        </w:rPr>
        <w:t>五</w:t>
      </w:r>
    </w:p>
    <w:p>
      <w:pPr>
        <w:pStyle w:val="3"/>
        <w:spacing w:before="0" w:after="0" w:line="560" w:lineRule="exact"/>
        <w:ind w:firstLine="3927" w:firstLineChars="1397"/>
        <w:jc w:val="both"/>
        <w:rPr>
          <w:rFonts w:hint="eastAsia" w:ascii="宋体" w:hAnsi="宋体" w:eastAsia="宋体" w:cs="宋体"/>
          <w:b/>
          <w:bCs/>
          <w:color w:val="auto"/>
          <w:kern w:val="2"/>
          <w:sz w:val="28"/>
          <w:szCs w:val="28"/>
          <w:highlight w:val="none"/>
          <w:lang w:val="zh-CN" w:eastAsia="zh-CN" w:bidi="ar-SA"/>
        </w:rPr>
      </w:pPr>
      <w:bookmarkStart w:id="66" w:name="_Toc18402"/>
      <w:bookmarkStart w:id="67" w:name="_Toc25238"/>
      <w:bookmarkStart w:id="68" w:name="_Toc30075"/>
      <w:bookmarkStart w:id="69" w:name="_Toc471299110"/>
      <w:bookmarkStart w:id="70"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6"/>
      <w:bookmarkEnd w:id="67"/>
      <w:bookmarkEnd w:id="68"/>
    </w:p>
    <w:p>
      <w:pPr>
        <w:jc w:val="center"/>
        <w:rPr>
          <w:rFonts w:ascii="宋体" w:hAnsi="宋体" w:cs="宋体"/>
          <w:bCs/>
          <w:color w:val="auto"/>
          <w:sz w:val="24"/>
          <w:szCs w:val="24"/>
          <w:highlight w:val="none"/>
          <w:lang w:val="zh-CN"/>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8"/>
                <w:highlight w:val="none"/>
              </w:rPr>
              <w:t>技术响应</w:t>
            </w:r>
          </w:p>
        </w:tc>
        <w:tc>
          <w:tcPr>
            <w:tcW w:w="2196" w:type="dxa"/>
            <w:noWrap w:val="0"/>
            <w:vAlign w:val="center"/>
          </w:tcPr>
          <w:p>
            <w:pPr>
              <w:rPr>
                <w:rFonts w:ascii="宋体" w:hAnsi="宋体" w:cs="宋体"/>
                <w:color w:val="auto"/>
                <w:sz w:val="24"/>
                <w:szCs w:val="24"/>
                <w:highlight w:val="none"/>
              </w:rPr>
            </w:pPr>
          </w:p>
        </w:tc>
        <w:tc>
          <w:tcPr>
            <w:tcW w:w="2222" w:type="dxa"/>
            <w:noWrap w:val="0"/>
            <w:vAlign w:val="center"/>
          </w:tcPr>
          <w:p>
            <w:pPr>
              <w:rPr>
                <w:rFonts w:ascii="宋体" w:hAnsi="宋体" w:cs="宋体"/>
                <w:color w:val="auto"/>
                <w:sz w:val="24"/>
                <w:szCs w:val="24"/>
                <w:highlight w:val="none"/>
              </w:rPr>
            </w:pPr>
          </w:p>
        </w:tc>
        <w:tc>
          <w:tcPr>
            <w:tcW w:w="1978" w:type="dxa"/>
            <w:noWrap w:val="0"/>
            <w:vAlign w:val="center"/>
          </w:tcPr>
          <w:p>
            <w:pP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pPr>
              <w:rPr>
                <w:rFonts w:ascii="宋体" w:hAnsi="宋体" w:cs="宋体"/>
                <w:color w:val="auto"/>
                <w:sz w:val="24"/>
                <w:szCs w:val="24"/>
                <w:highlight w:val="none"/>
              </w:rPr>
            </w:pPr>
          </w:p>
        </w:tc>
        <w:tc>
          <w:tcPr>
            <w:tcW w:w="2222" w:type="dxa"/>
            <w:noWrap w:val="0"/>
            <w:vAlign w:val="center"/>
          </w:tcPr>
          <w:p>
            <w:pPr>
              <w:rPr>
                <w:rFonts w:ascii="宋体" w:hAnsi="宋体" w:cs="宋体"/>
                <w:color w:val="auto"/>
                <w:sz w:val="24"/>
                <w:szCs w:val="24"/>
                <w:highlight w:val="none"/>
              </w:rPr>
            </w:pPr>
          </w:p>
        </w:tc>
        <w:tc>
          <w:tcPr>
            <w:tcW w:w="1978" w:type="dxa"/>
            <w:noWrap w:val="0"/>
            <w:vAlign w:val="center"/>
          </w:tcPr>
          <w:p>
            <w:pP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服务期响应</w:t>
            </w:r>
          </w:p>
        </w:tc>
        <w:tc>
          <w:tcPr>
            <w:tcW w:w="2196" w:type="dxa"/>
            <w:noWrap w:val="0"/>
            <w:vAlign w:val="center"/>
          </w:tcPr>
          <w:p>
            <w:pPr>
              <w:rPr>
                <w:rFonts w:ascii="宋体" w:hAnsi="宋体" w:cs="宋体"/>
                <w:color w:val="auto"/>
                <w:sz w:val="24"/>
                <w:szCs w:val="24"/>
                <w:highlight w:val="none"/>
              </w:rPr>
            </w:pPr>
          </w:p>
        </w:tc>
        <w:tc>
          <w:tcPr>
            <w:tcW w:w="2222" w:type="dxa"/>
            <w:noWrap w:val="0"/>
            <w:vAlign w:val="center"/>
          </w:tcPr>
          <w:p>
            <w:pPr>
              <w:rPr>
                <w:rFonts w:ascii="宋体" w:hAnsi="宋体" w:cs="宋体"/>
                <w:color w:val="auto"/>
                <w:sz w:val="24"/>
                <w:szCs w:val="24"/>
                <w:highlight w:val="none"/>
              </w:rPr>
            </w:pPr>
          </w:p>
        </w:tc>
        <w:tc>
          <w:tcPr>
            <w:tcW w:w="1978" w:type="dxa"/>
            <w:noWrap w:val="0"/>
            <w:vAlign w:val="center"/>
          </w:tcPr>
          <w:p>
            <w:pP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pPr>
              <w:rPr>
                <w:rFonts w:ascii="宋体" w:hAnsi="宋体" w:cs="宋体"/>
                <w:color w:val="auto"/>
                <w:sz w:val="24"/>
                <w:szCs w:val="24"/>
                <w:highlight w:val="none"/>
              </w:rPr>
            </w:pPr>
          </w:p>
        </w:tc>
        <w:tc>
          <w:tcPr>
            <w:tcW w:w="2222" w:type="dxa"/>
            <w:noWrap w:val="0"/>
            <w:vAlign w:val="center"/>
          </w:tcPr>
          <w:p>
            <w:pPr>
              <w:rPr>
                <w:rFonts w:ascii="宋体" w:hAnsi="宋体" w:cs="宋体"/>
                <w:color w:val="auto"/>
                <w:sz w:val="24"/>
                <w:szCs w:val="24"/>
                <w:highlight w:val="none"/>
              </w:rPr>
            </w:pPr>
          </w:p>
        </w:tc>
        <w:tc>
          <w:tcPr>
            <w:tcW w:w="1978" w:type="dxa"/>
            <w:noWrap w:val="0"/>
            <w:vAlign w:val="center"/>
          </w:tcPr>
          <w:p>
            <w:pPr>
              <w:rPr>
                <w:rFonts w:ascii="宋体" w:hAnsi="宋体" w:cs="宋体"/>
                <w:color w:val="auto"/>
                <w:sz w:val="24"/>
                <w:szCs w:val="24"/>
                <w:highlight w:val="none"/>
              </w:rPr>
            </w:pPr>
          </w:p>
        </w:tc>
      </w:tr>
    </w:tbl>
    <w:p>
      <w:pPr>
        <w:snapToGrid w:val="0"/>
        <w:spacing w:line="360" w:lineRule="auto"/>
        <w:rPr>
          <w:rFonts w:ascii="宋体" w:hAnsi="宋体" w:cs="宋体"/>
          <w:color w:val="auto"/>
          <w:sz w:val="24"/>
          <w:szCs w:val="24"/>
          <w:highlight w:val="none"/>
        </w:rPr>
      </w:pPr>
    </w:p>
    <w:p>
      <w:pPr>
        <w:snapToGrid w:val="0"/>
        <w:spacing w:line="460" w:lineRule="exact"/>
        <w:rPr>
          <w:rFonts w:ascii="宋体" w:hAnsi="宋体" w:cs="宋体"/>
          <w:b/>
          <w:bCs/>
          <w:color w:val="auto"/>
          <w:sz w:val="24"/>
          <w:szCs w:val="24"/>
          <w:highlight w:val="none"/>
        </w:rPr>
      </w:pPr>
    </w:p>
    <w:p>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供应商签章：</w:t>
      </w:r>
    </w:p>
    <w:p>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pPr>
        <w:spacing w:line="460" w:lineRule="exact"/>
        <w:rPr>
          <w:rFonts w:ascii="宋体" w:hAnsi="宋体" w:cs="宋体"/>
          <w:color w:val="auto"/>
          <w:sz w:val="24"/>
          <w:szCs w:val="24"/>
          <w:highlight w:val="none"/>
        </w:rPr>
      </w:pPr>
    </w:p>
    <w:p>
      <w:pPr>
        <w:jc w:val="left"/>
        <w:rPr>
          <w:rFonts w:hint="eastAsia" w:ascii="宋体" w:hAnsi="宋体" w:cs="宋体"/>
          <w:b/>
          <w:bCs/>
          <w:color w:val="auto"/>
          <w:kern w:val="2"/>
          <w:sz w:val="21"/>
          <w:szCs w:val="21"/>
          <w:highlight w:val="none"/>
          <w:lang w:val="en-US" w:eastAsia="zh-CN" w:bidi="ar-SA"/>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69"/>
      <w:bookmarkEnd w:id="70"/>
      <w:r>
        <w:rPr>
          <w:rFonts w:hint="eastAsia" w:ascii="宋体" w:hAnsi="宋体" w:eastAsia="宋体" w:cs="宋体"/>
          <w:b/>
          <w:bCs/>
          <w:color w:val="auto"/>
          <w:kern w:val="2"/>
          <w:sz w:val="21"/>
          <w:szCs w:val="21"/>
          <w:highlight w:val="none"/>
          <w:lang w:val="en-US" w:eastAsia="zh-CN" w:bidi="ar-SA"/>
        </w:rPr>
        <w:t>六</w:t>
      </w:r>
      <w:bookmarkStart w:id="71" w:name="_Toc32017"/>
    </w:p>
    <w:p>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2"/>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pPr>
              <w:spacing w:line="44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ind w:right="-670"/>
              <w:rPr>
                <w:rFonts w:hint="eastAsia"/>
                <w:highlight w:val="none"/>
              </w:rPr>
            </w:pPr>
            <w:r>
              <w:rPr>
                <w:rFonts w:hint="eastAsia"/>
                <w:highlight w:val="none"/>
              </w:rPr>
              <w:t xml:space="preserve">小写：                  元 </w:t>
            </w:r>
          </w:p>
          <w:p>
            <w:pPr>
              <w:spacing w:line="440" w:lineRule="exact"/>
              <w:ind w:right="-670"/>
              <w:rPr>
                <w:rFonts w:hint="eastAsia"/>
                <w:highlight w:val="none"/>
                <w:lang w:val="en-US" w:eastAsia="zh-CN"/>
              </w:rPr>
            </w:pPr>
            <w:r>
              <w:rPr>
                <w:rFonts w:hint="eastAsia"/>
                <w:highlight w:val="none"/>
              </w:rPr>
              <w:t xml:space="preserve">大写：             </w:t>
            </w:r>
            <w:r>
              <w:rPr>
                <w:rFonts w:hint="eastAsia"/>
                <w:highlight w:val="none"/>
                <w:lang w:val="en-US" w:eastAsia="zh-CN"/>
              </w:rPr>
              <w:t xml:space="preserve"> </w:t>
            </w:r>
            <w:r>
              <w:rPr>
                <w:rFonts w:hint="eastAsia"/>
                <w:highlight w:val="none"/>
              </w:rPr>
              <w:t xml:space="preserve">    元</w:t>
            </w:r>
            <w:r>
              <w:rPr>
                <w:rFonts w:hint="eastAsia"/>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bl>
    <w:p>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pPr>
        <w:keepNext w:val="0"/>
        <w:keepLines w:val="0"/>
        <w:pageBreakBefore w:val="0"/>
        <w:kinsoku/>
        <w:wordWrap/>
        <w:overflowPunct/>
        <w:topLinePunct w:val="0"/>
        <w:autoSpaceDE/>
        <w:autoSpaceDN/>
        <w:bidi w:val="0"/>
        <w:spacing w:line="320" w:lineRule="exac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成交人应向</w:t>
      </w:r>
      <w:r>
        <w:rPr>
          <w:rFonts w:hint="eastAsia" w:ascii="宋体" w:hAnsi="宋体" w:eastAsia="宋体" w:cs="宋体"/>
          <w:bCs/>
          <w:color w:val="auto"/>
          <w:szCs w:val="21"/>
          <w:highlight w:val="none"/>
          <w:lang w:eastAsia="zh-CN"/>
        </w:rPr>
        <w:t>采购</w:t>
      </w:r>
      <w:r>
        <w:rPr>
          <w:rFonts w:hint="eastAsia" w:ascii="宋体" w:hAnsi="宋体" w:eastAsia="宋体" w:cs="宋体"/>
          <w:bCs/>
          <w:color w:val="auto"/>
          <w:szCs w:val="21"/>
          <w:highlight w:val="none"/>
        </w:rPr>
        <w:t>单位出具</w:t>
      </w:r>
      <w:r>
        <w:rPr>
          <w:rFonts w:hint="eastAsia" w:ascii="宋体" w:hAnsi="宋体" w:eastAsia="宋体" w:cs="宋体"/>
          <w:bCs/>
          <w:color w:val="auto"/>
          <w:szCs w:val="21"/>
          <w:highlight w:val="none"/>
          <w:lang w:eastAsia="zh-CN"/>
        </w:rPr>
        <w:t>增值税普通发票</w:t>
      </w:r>
      <w:r>
        <w:rPr>
          <w:rFonts w:hint="eastAsia" w:ascii="宋体" w:hAnsi="宋体" w:eastAsia="宋体" w:cs="宋体"/>
          <w:bCs/>
          <w:color w:val="auto"/>
          <w:szCs w:val="21"/>
          <w:highlight w:val="none"/>
        </w:rPr>
        <w:t>。</w:t>
      </w:r>
    </w:p>
    <w:p>
      <w:pPr>
        <w:keepNext w:val="0"/>
        <w:keepLines w:val="0"/>
        <w:pageBreakBefore w:val="0"/>
        <w:widowControl/>
        <w:kinsoku/>
        <w:wordWrap/>
        <w:overflowPunct/>
        <w:topLinePunct w:val="0"/>
        <w:autoSpaceDE/>
        <w:autoSpaceDN/>
        <w:bidi w:val="0"/>
        <w:adjustRightInd w:val="0"/>
        <w:snapToGrid w:val="0"/>
        <w:spacing w:line="320" w:lineRule="exact"/>
        <w:jc w:val="left"/>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pPr>
        <w:adjustRightInd w:val="0"/>
        <w:snapToGrid w:val="0"/>
        <w:spacing w:line="400" w:lineRule="exact"/>
        <w:rPr>
          <w:rFonts w:hint="eastAsia" w:ascii="宋体" w:hAnsi="宋体" w:cs="宋体"/>
          <w:color w:val="auto"/>
          <w:szCs w:val="21"/>
          <w:highlight w:val="none"/>
          <w:lang w:eastAsia="zh-CN"/>
        </w:rPr>
      </w:pPr>
    </w:p>
    <w:p>
      <w:pPr>
        <w:adjustRightInd w:val="0"/>
        <w:snapToGrid w:val="0"/>
        <w:spacing w:line="400" w:lineRule="exact"/>
        <w:rPr>
          <w:rFonts w:hint="eastAsia" w:ascii="宋体" w:hAnsi="宋体" w:cs="宋体"/>
          <w:color w:val="auto"/>
          <w:szCs w:val="21"/>
          <w:highlight w:val="none"/>
          <w:lang w:eastAsia="zh-CN"/>
        </w:rPr>
      </w:pPr>
    </w:p>
    <w:p>
      <w:pPr>
        <w:adjustRightInd w:val="0"/>
        <w:snapToGrid w:val="0"/>
        <w:spacing w:line="400" w:lineRule="exact"/>
        <w:rPr>
          <w:rFonts w:hint="eastAsia" w:ascii="宋体" w:hAnsi="宋体" w:cs="宋体"/>
          <w:color w:val="auto"/>
          <w:szCs w:val="21"/>
          <w:highlight w:val="none"/>
          <w:lang w:eastAsia="zh-CN"/>
        </w:rPr>
      </w:pPr>
    </w:p>
    <w:p>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(签字或盖法人印章)</w:t>
      </w:r>
    </w:p>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1"/>
    <w:p>
      <w:pPr>
        <w:jc w:val="right"/>
        <w:rPr>
          <w:rFonts w:hint="eastAsia" w:ascii="宋体" w:hAnsi="宋体" w:eastAsia="宋体" w:cs="宋体"/>
          <w:color w:val="auto"/>
          <w:sz w:val="21"/>
          <w:szCs w:val="21"/>
          <w:highlight w:val="none"/>
        </w:rPr>
      </w:pPr>
      <w:bookmarkStart w:id="72" w:name="_Toc27705"/>
    </w:p>
    <w:p>
      <w:pPr>
        <w:rPr>
          <w:rFonts w:hint="eastAsia"/>
          <w:highlight w:val="none"/>
        </w:rPr>
      </w:pPr>
    </w:p>
    <w:bookmarkEnd w:id="72"/>
    <w:p>
      <w:pPr>
        <w:jc w:val="both"/>
        <w:rPr>
          <w:rFonts w:hint="eastAsia"/>
          <w:b/>
          <w:bCs/>
          <w:color w:val="auto"/>
          <w:sz w:val="28"/>
          <w:szCs w:val="28"/>
          <w:highlight w:val="none"/>
          <w:lang w:val="zh-CN"/>
        </w:rPr>
      </w:pPr>
      <w:bookmarkStart w:id="73" w:name="_Toc1950_WPSOffice_Level1"/>
    </w:p>
    <w:p>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3"/>
      <w:r>
        <w:rPr>
          <w:rFonts w:hint="eastAsia"/>
          <w:b w:val="0"/>
          <w:bCs w:val="0"/>
          <w:color w:val="auto"/>
          <w:sz w:val="28"/>
          <w:szCs w:val="28"/>
          <w:highlight w:val="none"/>
          <w:lang w:val="zh-CN"/>
        </w:rPr>
        <w:t>。）</w:t>
      </w:r>
    </w:p>
    <w:p/>
    <w:sectPr>
      <w:headerReference r:id="rId6" w:type="default"/>
      <w:footerReference r:id="rId7" w:type="default"/>
      <w:pgSz w:w="11906" w:h="16838"/>
      <w:pgMar w:top="1134" w:right="1449" w:bottom="1134" w:left="1417" w:header="567"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fill on="f" focussize="0,0"/>
              <v:stroke on="f"/>
              <v:imagedata o:title=""/>
              <o:lock v:ext="edit" aspectratio="f"/>
              <v:textbox inset="0mm,0mm,0mm,0mm" style="mso-fit-shape-to-text:t;">
                <w:txbxContent>
                  <w:p>
                    <w:pPr>
                      <w:pStyle w:val="15"/>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pPr>
                          <w:r>
                            <w:fldChar w:fldCharType="begin"/>
                          </w:r>
                          <w:r>
                            <w:instrText xml:space="preserve"> PAGE  \* MERGEFORMAT </w:instrText>
                          </w:r>
                          <w:r>
                            <w:fldChar w:fldCharType="separate"/>
                          </w:r>
                          <w:r>
                            <w:t>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15"/>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126B38"/>
    <w:rsid w:val="00292389"/>
    <w:rsid w:val="006C38AC"/>
    <w:rsid w:val="008437C8"/>
    <w:rsid w:val="00847D88"/>
    <w:rsid w:val="00A35759"/>
    <w:rsid w:val="00A82174"/>
    <w:rsid w:val="00B03C56"/>
    <w:rsid w:val="00B17BC8"/>
    <w:rsid w:val="00B77B32"/>
    <w:rsid w:val="00EF4568"/>
    <w:rsid w:val="00F96E61"/>
    <w:rsid w:val="021B0238"/>
    <w:rsid w:val="02432F6E"/>
    <w:rsid w:val="02792B6C"/>
    <w:rsid w:val="027A38DD"/>
    <w:rsid w:val="029114A1"/>
    <w:rsid w:val="02A91D81"/>
    <w:rsid w:val="02AA1EE6"/>
    <w:rsid w:val="02D6062C"/>
    <w:rsid w:val="02E515F7"/>
    <w:rsid w:val="03150F8F"/>
    <w:rsid w:val="032062EF"/>
    <w:rsid w:val="03F43648"/>
    <w:rsid w:val="046301A2"/>
    <w:rsid w:val="049E2DCE"/>
    <w:rsid w:val="05033D45"/>
    <w:rsid w:val="0514676D"/>
    <w:rsid w:val="05694966"/>
    <w:rsid w:val="059C0CBD"/>
    <w:rsid w:val="0644344B"/>
    <w:rsid w:val="065734CB"/>
    <w:rsid w:val="066160FD"/>
    <w:rsid w:val="06BE48F4"/>
    <w:rsid w:val="071C02A2"/>
    <w:rsid w:val="07500CD8"/>
    <w:rsid w:val="07640C17"/>
    <w:rsid w:val="076B107D"/>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3E3000"/>
    <w:rsid w:val="129A3494"/>
    <w:rsid w:val="12E67A2B"/>
    <w:rsid w:val="1324544C"/>
    <w:rsid w:val="13315BA7"/>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54325B"/>
    <w:rsid w:val="1E8B38FB"/>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E223573"/>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F9233C"/>
    <w:rsid w:val="324C7EAF"/>
    <w:rsid w:val="32661595"/>
    <w:rsid w:val="3305611D"/>
    <w:rsid w:val="332206BD"/>
    <w:rsid w:val="3328252A"/>
    <w:rsid w:val="33650A5F"/>
    <w:rsid w:val="33811DDB"/>
    <w:rsid w:val="33BA231E"/>
    <w:rsid w:val="33CA487F"/>
    <w:rsid w:val="33D44972"/>
    <w:rsid w:val="340E6C58"/>
    <w:rsid w:val="3475759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8D49A1"/>
    <w:rsid w:val="37AB5678"/>
    <w:rsid w:val="37C5249A"/>
    <w:rsid w:val="38312E6C"/>
    <w:rsid w:val="38377AA2"/>
    <w:rsid w:val="383A14EF"/>
    <w:rsid w:val="38A42C8E"/>
    <w:rsid w:val="38B45EFC"/>
    <w:rsid w:val="38CD16AE"/>
    <w:rsid w:val="38CF23B3"/>
    <w:rsid w:val="38D036A4"/>
    <w:rsid w:val="38FC1F15"/>
    <w:rsid w:val="38FF78F0"/>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AD1197"/>
    <w:rsid w:val="47E710FB"/>
    <w:rsid w:val="47ED349E"/>
    <w:rsid w:val="48641D5A"/>
    <w:rsid w:val="48B84099"/>
    <w:rsid w:val="48D30C8F"/>
    <w:rsid w:val="48F93679"/>
    <w:rsid w:val="49151A34"/>
    <w:rsid w:val="493E0515"/>
    <w:rsid w:val="49485B51"/>
    <w:rsid w:val="49665DCB"/>
    <w:rsid w:val="49710222"/>
    <w:rsid w:val="49974E74"/>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0D02B1"/>
    <w:rsid w:val="4E126F73"/>
    <w:rsid w:val="4E3C3076"/>
    <w:rsid w:val="4E5410D2"/>
    <w:rsid w:val="4EF70F4D"/>
    <w:rsid w:val="4F1C43FC"/>
    <w:rsid w:val="4F490783"/>
    <w:rsid w:val="4F6D0B44"/>
    <w:rsid w:val="4F833E54"/>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46A27"/>
    <w:rsid w:val="58F73401"/>
    <w:rsid w:val="595A64AD"/>
    <w:rsid w:val="59952836"/>
    <w:rsid w:val="59CF2FF0"/>
    <w:rsid w:val="59E57AC2"/>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4710D2"/>
    <w:rsid w:val="5FD27396"/>
    <w:rsid w:val="602418BF"/>
    <w:rsid w:val="60CF6C57"/>
    <w:rsid w:val="60DB1B99"/>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3"/>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6"/>
    <w:basedOn w:val="1"/>
    <w:next w:val="1"/>
    <w:autoRedefine/>
    <w:qFormat/>
    <w:uiPriority w:val="0"/>
    <w:pPr>
      <w:ind w:left="2100" w:leftChars="1000"/>
    </w:pPr>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w:basedOn w:val="7"/>
    <w:autoRedefine/>
    <w:qFormat/>
    <w:uiPriority w:val="0"/>
    <w:pPr>
      <w:spacing w:line="400" w:lineRule="atLeast"/>
      <w:ind w:firstLine="426"/>
    </w:pPr>
    <w:rPr>
      <w:sz w:val="24"/>
      <w:szCs w:val="20"/>
    </w:rPr>
  </w:style>
  <w:style w:type="paragraph" w:styleId="21">
    <w:name w:val="Body Text First Indent 2"/>
    <w:basedOn w:val="8"/>
    <w:next w:val="1"/>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8"/>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4"/>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4"/>
    <w:autoRedefine/>
    <w:qFormat/>
    <w:uiPriority w:val="0"/>
    <w:rPr>
      <w:kern w:val="2"/>
      <w:sz w:val="18"/>
      <w:szCs w:val="18"/>
    </w:rPr>
  </w:style>
  <w:style w:type="character" w:customStyle="1" w:styleId="64">
    <w:name w:val="标题 4 Char"/>
    <w:basedOn w:val="24"/>
    <w:link w:val="5"/>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10659</Words>
  <Characters>11709</Characters>
  <Lines>99</Lines>
  <Paragraphs>27</Paragraphs>
  <TotalTime>12</TotalTime>
  <ScaleCrop>false</ScaleCrop>
  <LinksUpToDate>false</LinksUpToDate>
  <CharactersWithSpaces>12694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2023-08-15T13:24:00Z</dcterms:created>
  <dc:creator>Calm.</dc:creator>
  <cp:lastModifiedBy>Administrator</cp:lastModifiedBy>
  <cp:lastPrinted>2024-02-26T23:44:00Z</cp:lastPrinted>
  <dcterms:modified xsi:type="dcterms:W3CDTF">2024-02-27T09:10:49Z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D6835FB711854BF3A730D6109F0331E7_13</vt:lpwstr>
  </property>
</Properties>
</file>