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cs="方正小标宋简体"/>
          <w:b w:val="0"/>
          <w:bCs w:val="0"/>
          <w:color w:val="000000"/>
          <w:kern w:val="0"/>
          <w:sz w:val="52"/>
          <w:szCs w:val="52"/>
          <w:lang w:val="en-US" w:eastAsia="zh-CN" w:bidi="ar"/>
        </w:rPr>
      </w:pPr>
    </w:p>
    <w:p>
      <w:pPr>
        <w:rPr>
          <w:rFonts w:hint="eastAsia"/>
          <w:lang w:val="en-US" w:eastAsia="zh-CN"/>
        </w:rPr>
      </w:pPr>
    </w:p>
    <w:p>
      <w:pPr>
        <w:pStyle w:val="17"/>
        <w:rPr>
          <w:rFonts w:hint="eastAsia"/>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kern w:val="0"/>
          <w:sz w:val="72"/>
          <w:szCs w:val="72"/>
          <w:lang w:val="en-US" w:eastAsia="zh-CN" w:bidi="ar"/>
        </w:rPr>
      </w:pPr>
      <w:r>
        <w:rPr>
          <w:rFonts w:hint="eastAsia" w:ascii="方正小标宋简体" w:hAnsi="方正小标宋简体" w:eastAsia="方正小标宋简体" w:cs="方正小标宋简体"/>
          <w:b w:val="0"/>
          <w:bCs w:val="0"/>
          <w:color w:val="000000"/>
          <w:kern w:val="0"/>
          <w:sz w:val="72"/>
          <w:szCs w:val="72"/>
          <w:lang w:val="en-US" w:eastAsia="zh-CN" w:bidi="ar"/>
        </w:rPr>
        <w:t>征 集 文 件</w:t>
      </w:r>
    </w:p>
    <w:p>
      <w:pPr>
        <w:pStyle w:val="17"/>
        <w:rPr>
          <w:rFonts w:hint="eastAsia"/>
          <w:lang w:val="en-US" w:eastAsia="zh-CN"/>
        </w:rPr>
      </w:pPr>
    </w:p>
    <w:p>
      <w:pPr>
        <w:pStyle w:val="17"/>
        <w:ind w:left="0" w:leftChars="0" w:firstLine="0" w:firstLineChars="0"/>
        <w:rPr>
          <w:rFonts w:hint="eastAsia"/>
          <w:lang w:val="en-US" w:eastAsia="zh-CN"/>
        </w:rPr>
      </w:pPr>
    </w:p>
    <w:p>
      <w:pPr>
        <w:keepNext w:val="0"/>
        <w:keepLines w:val="0"/>
        <w:widowControl/>
        <w:suppressLineNumbers w:val="0"/>
        <w:jc w:val="center"/>
        <w:rPr>
          <w:rFonts w:hint="eastAsia" w:ascii="黑体" w:hAnsi="黑体" w:eastAsia="黑体" w:cs="黑体"/>
          <w:b w:val="0"/>
          <w:bCs w:val="0"/>
          <w:color w:val="000000"/>
          <w:kern w:val="0"/>
          <w:sz w:val="30"/>
          <w:szCs w:val="30"/>
          <w:lang w:val="en-US" w:eastAsia="zh-CN" w:bidi="ar"/>
        </w:rPr>
      </w:pPr>
      <w:r>
        <w:rPr>
          <w:rFonts w:hint="eastAsia" w:ascii="黑体" w:hAnsi="黑体" w:eastAsia="黑体" w:cs="黑体"/>
          <w:b w:val="0"/>
          <w:bCs w:val="0"/>
          <w:color w:val="000000"/>
          <w:kern w:val="0"/>
          <w:sz w:val="30"/>
          <w:szCs w:val="30"/>
          <w:lang w:val="en-US" w:eastAsia="zh-CN" w:bidi="ar"/>
        </w:rPr>
        <w:t>（封闭式框架协议）</w:t>
      </w:r>
    </w:p>
    <w:p>
      <w:pPr>
        <w:keepNext w:val="0"/>
        <w:keepLines w:val="0"/>
        <w:widowControl/>
        <w:suppressLineNumbers w:val="0"/>
        <w:jc w:val="left"/>
        <w:rPr>
          <w:rFonts w:hint="eastAsia" w:ascii="宋体" w:hAnsi="宋体" w:eastAsia="宋体" w:cs="宋体"/>
          <w:b/>
          <w:bCs/>
          <w:color w:val="000000"/>
          <w:kern w:val="0"/>
          <w:sz w:val="31"/>
          <w:szCs w:val="31"/>
          <w:lang w:val="en-US" w:eastAsia="zh-CN" w:bidi="ar"/>
        </w:rPr>
      </w:pPr>
    </w:p>
    <w:p>
      <w:pPr>
        <w:pStyle w:val="17"/>
        <w:rPr>
          <w:rFonts w:hint="eastAsia"/>
          <w:lang w:val="en-US" w:eastAsia="zh-CN"/>
        </w:rPr>
      </w:pPr>
    </w:p>
    <w:p>
      <w:pPr>
        <w:pStyle w:val="17"/>
        <w:rPr>
          <w:rFonts w:hint="eastAsia"/>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800" w:lineRule="exact"/>
        <w:ind w:left="2020" w:leftChars="200" w:hanging="1600" w:hangingChars="500"/>
        <w:jc w:val="left"/>
        <w:textAlignment w:val="auto"/>
        <w:rPr>
          <w:rFonts w:hint="default" w:ascii="黑体" w:hAnsi="黑体" w:eastAsia="黑体" w:cs="黑体"/>
          <w:b/>
          <w:bCs/>
          <w:color w:val="000000"/>
          <w:kern w:val="0"/>
          <w:sz w:val="32"/>
          <w:szCs w:val="32"/>
          <w:lang w:val="en-US" w:eastAsia="zh-CN" w:bidi="ar"/>
        </w:rPr>
      </w:pPr>
      <w:r>
        <w:rPr>
          <w:rFonts w:hint="eastAsia" w:ascii="黑体" w:hAnsi="黑体" w:eastAsia="黑体" w:cs="黑体"/>
          <w:b w:val="0"/>
          <w:bCs w:val="0"/>
          <w:color w:val="000000"/>
          <w:kern w:val="0"/>
          <w:sz w:val="32"/>
          <w:szCs w:val="32"/>
          <w:lang w:val="en-US" w:eastAsia="zh-CN" w:bidi="ar"/>
        </w:rPr>
        <w:t>项目名称：霍山国投集团公车维修服务单位框架协议采购项目</w:t>
      </w:r>
    </w:p>
    <w:p>
      <w:pPr>
        <w:keepNext w:val="0"/>
        <w:keepLines w:val="0"/>
        <w:pageBreakBefore w:val="0"/>
        <w:widowControl/>
        <w:suppressLineNumbers w:val="0"/>
        <w:kinsoku/>
        <w:wordWrap/>
        <w:overflowPunct/>
        <w:topLinePunct w:val="0"/>
        <w:autoSpaceDE/>
        <w:autoSpaceDN/>
        <w:bidi w:val="0"/>
        <w:adjustRightInd/>
        <w:snapToGrid/>
        <w:spacing w:line="800" w:lineRule="exact"/>
        <w:ind w:left="420" w:leftChars="200" w:firstLine="0" w:firstLineChars="0"/>
        <w:jc w:val="left"/>
        <w:textAlignment w:val="auto"/>
        <w:rPr>
          <w:rFonts w:hint="default" w:ascii="黑体" w:hAnsi="黑体" w:eastAsia="黑体" w:cs="黑体"/>
          <w:b/>
          <w:bCs/>
          <w:color w:val="000000"/>
          <w:kern w:val="0"/>
          <w:sz w:val="32"/>
          <w:szCs w:val="32"/>
          <w:lang w:val="en-US" w:eastAsia="zh-CN" w:bidi="ar"/>
        </w:rPr>
      </w:pPr>
      <w:r>
        <w:rPr>
          <w:rFonts w:hint="eastAsia" w:ascii="黑体" w:hAnsi="黑体" w:eastAsia="黑体" w:cs="黑体"/>
          <w:b w:val="0"/>
          <w:bCs w:val="0"/>
          <w:color w:val="000000"/>
          <w:kern w:val="0"/>
          <w:sz w:val="32"/>
          <w:szCs w:val="32"/>
          <w:lang w:val="en-US" w:eastAsia="zh-CN" w:bidi="ar"/>
        </w:rPr>
        <w:t>项目编号：DBSCG-2024-034</w:t>
      </w:r>
    </w:p>
    <w:p>
      <w:pPr>
        <w:keepNext w:val="0"/>
        <w:keepLines w:val="0"/>
        <w:pageBreakBefore w:val="0"/>
        <w:widowControl/>
        <w:suppressLineNumbers w:val="0"/>
        <w:kinsoku/>
        <w:wordWrap/>
        <w:overflowPunct/>
        <w:topLinePunct w:val="0"/>
        <w:autoSpaceDE/>
        <w:autoSpaceDN/>
        <w:bidi w:val="0"/>
        <w:adjustRightInd/>
        <w:snapToGrid/>
        <w:spacing w:line="800" w:lineRule="exact"/>
        <w:ind w:left="420" w:leftChars="200" w:firstLine="0" w:firstLineChars="0"/>
        <w:jc w:val="left"/>
        <w:textAlignment w:val="auto"/>
        <w:rPr>
          <w:rFonts w:hint="eastAsia" w:ascii="黑体" w:hAnsi="黑体" w:eastAsia="黑体" w:cs="黑体"/>
          <w:b/>
          <w:bCs/>
          <w:color w:val="000000"/>
          <w:kern w:val="0"/>
          <w:sz w:val="32"/>
          <w:szCs w:val="32"/>
          <w:lang w:val="en-US" w:eastAsia="zh-CN" w:bidi="ar"/>
        </w:rPr>
      </w:pPr>
      <w:r>
        <w:rPr>
          <w:rFonts w:hint="eastAsia" w:ascii="黑体" w:hAnsi="黑体" w:eastAsia="黑体" w:cs="黑体"/>
          <w:b w:val="0"/>
          <w:bCs w:val="0"/>
          <w:color w:val="000000"/>
          <w:kern w:val="0"/>
          <w:sz w:val="32"/>
          <w:szCs w:val="32"/>
          <w:lang w:val="en-US" w:eastAsia="zh-CN" w:bidi="ar"/>
        </w:rPr>
        <w:t>征 集 人：安徽霍山国有资产投资控股集团有限公司</w:t>
      </w:r>
    </w:p>
    <w:p>
      <w:pPr>
        <w:keepNext w:val="0"/>
        <w:keepLines w:val="0"/>
        <w:pageBreakBefore w:val="0"/>
        <w:widowControl/>
        <w:suppressLineNumbers w:val="0"/>
        <w:kinsoku/>
        <w:wordWrap/>
        <w:overflowPunct/>
        <w:topLinePunct w:val="0"/>
        <w:autoSpaceDE/>
        <w:autoSpaceDN/>
        <w:bidi w:val="0"/>
        <w:adjustRightInd/>
        <w:snapToGrid/>
        <w:spacing w:line="800" w:lineRule="exact"/>
        <w:ind w:left="420" w:leftChars="200" w:firstLine="0" w:firstLineChars="0"/>
        <w:jc w:val="left"/>
        <w:textAlignment w:val="auto"/>
        <w:rPr>
          <w:rFonts w:hint="eastAsia" w:ascii="黑体" w:hAnsi="黑体" w:eastAsia="黑体" w:cs="黑体"/>
          <w:sz w:val="32"/>
          <w:szCs w:val="32"/>
        </w:rPr>
      </w:pPr>
      <w:r>
        <w:rPr>
          <w:rFonts w:hint="eastAsia" w:ascii="黑体" w:hAnsi="黑体" w:eastAsia="黑体" w:cs="黑体"/>
          <w:b w:val="0"/>
          <w:bCs w:val="0"/>
          <w:color w:val="000000"/>
          <w:kern w:val="0"/>
          <w:sz w:val="32"/>
          <w:szCs w:val="32"/>
          <w:lang w:val="en-US" w:eastAsia="zh-CN" w:bidi="ar"/>
        </w:rPr>
        <w:t>采购代理机构：安徽大别山工程咨询有限公司</w:t>
      </w:r>
    </w:p>
    <w:p>
      <w:pPr>
        <w:keepNext w:val="0"/>
        <w:keepLines w:val="0"/>
        <w:widowControl/>
        <w:suppressLineNumbers w:val="0"/>
        <w:jc w:val="left"/>
        <w:rPr>
          <w:rFonts w:hint="eastAsia" w:ascii="宋体" w:hAnsi="宋体" w:eastAsia="宋体" w:cs="宋体"/>
          <w:b/>
          <w:bCs/>
          <w:color w:val="000000"/>
          <w:kern w:val="0"/>
          <w:sz w:val="36"/>
          <w:szCs w:val="36"/>
          <w:lang w:val="en-US" w:eastAsia="zh-CN" w:bidi="ar"/>
        </w:rPr>
      </w:pPr>
    </w:p>
    <w:p>
      <w:pPr>
        <w:keepNext w:val="0"/>
        <w:keepLines w:val="0"/>
        <w:widowControl/>
        <w:suppressLineNumbers w:val="0"/>
        <w:jc w:val="left"/>
        <w:rPr>
          <w:rFonts w:hint="eastAsia" w:ascii="宋体" w:hAnsi="宋体" w:eastAsia="宋体" w:cs="宋体"/>
          <w:b/>
          <w:bCs/>
          <w:color w:val="000000"/>
          <w:kern w:val="0"/>
          <w:sz w:val="36"/>
          <w:szCs w:val="36"/>
          <w:lang w:val="en-US" w:eastAsia="zh-CN" w:bidi="ar"/>
        </w:rPr>
      </w:pPr>
    </w:p>
    <w:p>
      <w:pPr>
        <w:pStyle w:val="17"/>
        <w:ind w:left="0" w:leftChars="0" w:firstLine="0" w:firstLineChars="0"/>
        <w:rPr>
          <w:rFonts w:hint="eastAsia"/>
          <w:lang w:val="en-US" w:eastAsia="zh-CN"/>
        </w:rPr>
      </w:pPr>
    </w:p>
    <w:p>
      <w:pPr>
        <w:keepNext w:val="0"/>
        <w:keepLines w:val="0"/>
        <w:widowControl/>
        <w:suppressLineNumbers w:val="0"/>
        <w:ind w:firstLine="3975" w:firstLineChars="1100"/>
        <w:jc w:val="left"/>
        <w:rPr>
          <w:rFonts w:hint="eastAsia" w:ascii="宋体" w:hAnsi="宋体" w:eastAsia="宋体" w:cs="宋体"/>
          <w:b/>
          <w:bCs/>
          <w:color w:val="000000"/>
          <w:kern w:val="0"/>
          <w:sz w:val="36"/>
          <w:szCs w:val="36"/>
          <w:lang w:val="en-US" w:eastAsia="zh-CN" w:bidi="ar"/>
        </w:rPr>
      </w:pPr>
    </w:p>
    <w:p>
      <w:pPr>
        <w:keepNext w:val="0"/>
        <w:keepLines w:val="0"/>
        <w:widowControl/>
        <w:suppressLineNumbers w:val="0"/>
        <w:jc w:val="center"/>
        <w:rPr>
          <w:rFonts w:hint="eastAsia" w:ascii="宋体" w:hAnsi="宋体" w:eastAsia="宋体" w:cs="宋体"/>
          <w:b/>
          <w:bCs/>
          <w:color w:val="000000"/>
          <w:kern w:val="0"/>
          <w:sz w:val="40"/>
          <w:szCs w:val="40"/>
          <w:lang w:val="en-US" w:eastAsia="zh-CN" w:bidi="ar"/>
        </w:rPr>
      </w:pPr>
      <w:r>
        <w:rPr>
          <w:rFonts w:hint="eastAsia" w:ascii="宋体" w:hAnsi="宋体" w:eastAsia="宋体" w:cs="宋体"/>
          <w:b/>
          <w:bCs/>
          <w:color w:val="000000"/>
          <w:kern w:val="0"/>
          <w:sz w:val="28"/>
          <w:szCs w:val="28"/>
          <w:lang w:val="en-US" w:eastAsia="zh-CN" w:bidi="ar"/>
        </w:rPr>
        <w:t>二〇二四年四月</w:t>
      </w:r>
    </w:p>
    <w:p>
      <w:pPr>
        <w:rPr>
          <w:rFonts w:hint="eastAsia" w:ascii="宋体" w:hAnsi="宋体" w:eastAsia="宋体" w:cs="宋体"/>
          <w:b/>
          <w:bCs/>
          <w:color w:val="000000"/>
          <w:kern w:val="0"/>
          <w:sz w:val="40"/>
          <w:szCs w:val="40"/>
          <w:lang w:val="en-US" w:eastAsia="zh-CN" w:bidi="ar"/>
        </w:rPr>
      </w:pPr>
      <w:r>
        <w:rPr>
          <w:rFonts w:hint="eastAsia" w:ascii="宋体" w:hAnsi="宋体" w:eastAsia="宋体" w:cs="宋体"/>
          <w:b/>
          <w:bCs/>
          <w:color w:val="000000"/>
          <w:kern w:val="0"/>
          <w:sz w:val="40"/>
          <w:szCs w:val="40"/>
          <w:lang w:val="en-US" w:eastAsia="zh-CN" w:bidi="ar"/>
        </w:rPr>
        <w:br w:type="page"/>
      </w:r>
    </w:p>
    <w:p>
      <w:pPr>
        <w:keepNext w:val="0"/>
        <w:keepLines w:val="0"/>
        <w:widowControl/>
        <w:suppressLineNumbers w:val="0"/>
        <w:jc w:val="center"/>
        <w:rPr>
          <w:rFonts w:hint="eastAsia" w:ascii="宋体" w:hAnsi="宋体" w:eastAsia="宋体" w:cs="宋体"/>
          <w:b/>
          <w:bCs/>
          <w:color w:val="000000"/>
          <w:kern w:val="0"/>
          <w:sz w:val="40"/>
          <w:szCs w:val="40"/>
          <w:lang w:val="en-US" w:eastAsia="zh-CN" w:bidi="ar"/>
        </w:rPr>
      </w:pPr>
    </w:p>
    <w:p>
      <w:pPr>
        <w:keepNext w:val="0"/>
        <w:keepLines w:val="0"/>
        <w:widowControl/>
        <w:suppressLineNumbers w:val="0"/>
        <w:jc w:val="center"/>
        <w:rPr>
          <w:rFonts w:hint="eastAsia" w:ascii="宋体" w:hAnsi="宋体" w:eastAsia="宋体" w:cs="宋体"/>
          <w:b/>
          <w:bCs/>
          <w:color w:val="000000"/>
          <w:kern w:val="0"/>
          <w:sz w:val="44"/>
          <w:szCs w:val="44"/>
          <w:lang w:val="en-US" w:eastAsia="zh-CN" w:bidi="ar"/>
        </w:rPr>
      </w:pPr>
      <w:r>
        <w:rPr>
          <w:rFonts w:hint="eastAsia" w:ascii="宋体" w:hAnsi="宋体" w:eastAsia="宋体" w:cs="宋体"/>
          <w:b/>
          <w:bCs/>
          <w:color w:val="000000"/>
          <w:kern w:val="0"/>
          <w:sz w:val="44"/>
          <w:szCs w:val="44"/>
          <w:lang w:val="en-US" w:eastAsia="zh-CN" w:bidi="ar"/>
        </w:rPr>
        <w:t>目  录</w:t>
      </w:r>
      <w:bookmarkStart w:id="43" w:name="_GoBack"/>
      <w:bookmarkEnd w:id="43"/>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b/>
          <w:bCs/>
          <w:sz w:val="24"/>
          <w:szCs w:val="24"/>
        </w:rPr>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TOC \o "1-1" \h \u </w:instrText>
      </w:r>
      <w:r>
        <w:rPr>
          <w:rFonts w:hint="eastAsia" w:ascii="宋体" w:hAnsi="宋体" w:eastAsia="宋体" w:cs="宋体"/>
          <w:b w:val="0"/>
          <w:bCs w:val="0"/>
          <w:sz w:val="24"/>
          <w:szCs w:val="24"/>
        </w:rPr>
        <w:fldChar w:fldCharType="separate"/>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_Toc15049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lang w:val="en-US" w:eastAsia="zh-CN"/>
        </w:rPr>
        <w:t>第一章 征集邀请</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_Toc15049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_Toc1489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lang w:val="en-US" w:eastAsia="zh-CN"/>
        </w:rPr>
        <w:t>第二章 资格审查材料</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_Toc1489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_Toc26869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lang w:val="en-US" w:eastAsia="zh-CN"/>
        </w:rPr>
        <w:t>第三章 资格审查方法和标准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_Toc26869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5</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_Toc25985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lang w:val="en-US" w:eastAsia="zh-CN"/>
        </w:rPr>
        <w:t>第四章 第一阶段入围评审办法</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_Toc25985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7</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_Toc26081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lang w:val="en-US" w:eastAsia="zh-CN"/>
        </w:rPr>
        <w:t>第五章 确定第二阶段成交供应商的方式</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_Toc26081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r>
        <w:rPr>
          <w:rFonts w:hint="eastAsia" w:ascii="宋体" w:hAnsi="宋体" w:eastAsia="宋体" w:cs="宋体"/>
          <w:b/>
          <w:bCs/>
          <w:sz w:val="24"/>
          <w:szCs w:val="24"/>
          <w:lang w:val="en-US" w:eastAsia="zh-CN"/>
        </w:rPr>
        <w:t>1</w:t>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_Toc2789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lang w:val="en-US" w:eastAsia="zh-CN"/>
        </w:rPr>
        <w:t>第六章 采购需求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_Toc2789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_Toc20703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lang w:val="en-US" w:eastAsia="zh-CN"/>
        </w:rPr>
        <w:t>第七章 用户反馈和评价机制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_Toc20703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_Toc10638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lang w:val="en-US" w:eastAsia="zh-CN"/>
        </w:rPr>
        <w:t>第八章 框架协议和采购合同</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_Toc10638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_Toc669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lang w:val="en-US" w:eastAsia="zh-CN"/>
        </w:rPr>
        <w:t>第九章 供应商信用信息</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_Toc669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_Toc25933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lang w:val="en-US" w:eastAsia="zh-CN"/>
        </w:rPr>
        <w:t>第十章 响应文件的编制和提交</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_Toc25933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0" w:leftChars="0"/>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_Toc28185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lang w:val="en-US" w:eastAsia="zh-CN"/>
        </w:rPr>
        <w:t>第十一章 响应文件（格式）</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_Toc28185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17</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420" w:leftChars="200"/>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_Toc4557 </w:instrText>
      </w:r>
      <w:r>
        <w:rPr>
          <w:rFonts w:hint="eastAsia" w:ascii="宋体" w:hAnsi="宋体" w:eastAsia="宋体" w:cs="宋体"/>
          <w:bCs w:val="0"/>
          <w:sz w:val="24"/>
          <w:szCs w:val="24"/>
        </w:rPr>
        <w:fldChar w:fldCharType="separate"/>
      </w:r>
      <w:r>
        <w:rPr>
          <w:rFonts w:hint="eastAsia" w:ascii="宋体" w:hAnsi="宋体" w:eastAsia="宋体" w:cs="宋体"/>
          <w:sz w:val="24"/>
          <w:szCs w:val="24"/>
        </w:rPr>
        <w:t>一、</w:t>
      </w:r>
      <w:r>
        <w:rPr>
          <w:rFonts w:hint="eastAsia" w:ascii="宋体" w:hAnsi="宋体" w:eastAsia="宋体" w:cs="宋体"/>
          <w:sz w:val="24"/>
          <w:szCs w:val="24"/>
          <w:lang w:val="en-US" w:eastAsia="zh-CN"/>
        </w:rPr>
        <w:t>营业执照</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_Toc4557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420" w:leftChars="200"/>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_Toc14929 </w:instrText>
      </w:r>
      <w:r>
        <w:rPr>
          <w:rFonts w:hint="eastAsia" w:ascii="宋体" w:hAnsi="宋体" w:eastAsia="宋体" w:cs="宋体"/>
          <w:bCs w:val="0"/>
          <w:sz w:val="24"/>
          <w:szCs w:val="24"/>
        </w:rPr>
        <w:fldChar w:fldCharType="separate"/>
      </w:r>
      <w:r>
        <w:rPr>
          <w:rFonts w:hint="eastAsia" w:ascii="宋体" w:hAnsi="宋体" w:eastAsia="宋体" w:cs="宋体"/>
          <w:bCs/>
          <w:sz w:val="24"/>
          <w:szCs w:val="24"/>
          <w:lang w:val="en-US" w:eastAsia="zh-CN"/>
        </w:rPr>
        <w:t>二、响应授权书</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_Toc14929 \h </w:instrText>
      </w:r>
      <w:r>
        <w:rPr>
          <w:rFonts w:hint="eastAsia" w:ascii="宋体" w:hAnsi="宋体" w:eastAsia="宋体" w:cs="宋体"/>
          <w:sz w:val="24"/>
          <w:szCs w:val="24"/>
        </w:rPr>
        <w:fldChar w:fldCharType="separate"/>
      </w:r>
      <w:r>
        <w:rPr>
          <w:rFonts w:hint="eastAsia" w:ascii="宋体" w:hAnsi="宋体" w:eastAsia="宋体" w:cs="宋体"/>
          <w:sz w:val="24"/>
          <w:szCs w:val="24"/>
        </w:rPr>
        <w:t>19</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420" w:leftChars="200"/>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_Toc23574 </w:instrText>
      </w:r>
      <w:r>
        <w:rPr>
          <w:rFonts w:hint="eastAsia" w:ascii="宋体" w:hAnsi="宋体" w:eastAsia="宋体" w:cs="宋体"/>
          <w:bCs w:val="0"/>
          <w:sz w:val="24"/>
          <w:szCs w:val="24"/>
        </w:rPr>
        <w:fldChar w:fldCharType="separate"/>
      </w:r>
      <w:r>
        <w:rPr>
          <w:rFonts w:hint="eastAsia" w:ascii="宋体" w:hAnsi="宋体" w:eastAsia="宋体" w:cs="宋体"/>
          <w:sz w:val="24"/>
          <w:szCs w:val="24"/>
          <w:lang w:val="en-US" w:eastAsia="zh-CN"/>
        </w:rPr>
        <w:t>三、无重大违法记录声明函、无不良信用记录声明函</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_Toc23574 \h </w:instrText>
      </w:r>
      <w:r>
        <w:rPr>
          <w:rFonts w:hint="eastAsia" w:ascii="宋体" w:hAnsi="宋体" w:eastAsia="宋体" w:cs="宋体"/>
          <w:sz w:val="24"/>
          <w:szCs w:val="24"/>
        </w:rPr>
        <w:fldChar w:fldCharType="separate"/>
      </w:r>
      <w:r>
        <w:rPr>
          <w:rFonts w:hint="eastAsia" w:ascii="宋体" w:hAnsi="宋体" w:eastAsia="宋体" w:cs="宋体"/>
          <w:sz w:val="24"/>
          <w:szCs w:val="24"/>
        </w:rPr>
        <w:t>20</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420" w:leftChars="200"/>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_Toc25158 </w:instrText>
      </w:r>
      <w:r>
        <w:rPr>
          <w:rFonts w:hint="eastAsia" w:ascii="宋体" w:hAnsi="宋体" w:eastAsia="宋体" w:cs="宋体"/>
          <w:bCs w:val="0"/>
          <w:sz w:val="24"/>
          <w:szCs w:val="24"/>
        </w:rPr>
        <w:fldChar w:fldCharType="separate"/>
      </w:r>
      <w:r>
        <w:rPr>
          <w:rFonts w:hint="eastAsia" w:ascii="宋体" w:hAnsi="宋体" w:eastAsia="宋体" w:cs="宋体"/>
          <w:sz w:val="24"/>
          <w:szCs w:val="24"/>
          <w:lang w:val="en-US" w:eastAsia="zh-CN"/>
        </w:rPr>
        <w:t>四</w:t>
      </w:r>
      <w:r>
        <w:rPr>
          <w:rFonts w:hint="eastAsia" w:ascii="宋体" w:hAnsi="宋体" w:eastAsia="宋体" w:cs="宋体"/>
          <w:sz w:val="24"/>
          <w:szCs w:val="24"/>
        </w:rPr>
        <w:t>、</w:t>
      </w:r>
      <w:r>
        <w:rPr>
          <w:rFonts w:hint="eastAsia" w:ascii="宋体" w:hAnsi="宋体" w:eastAsia="宋体" w:cs="宋体"/>
          <w:sz w:val="24"/>
          <w:szCs w:val="24"/>
          <w:lang w:eastAsia="zh-CN"/>
        </w:rPr>
        <w:t>响应函</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_Toc25158 \h </w:instrText>
      </w:r>
      <w:r>
        <w:rPr>
          <w:rFonts w:hint="eastAsia" w:ascii="宋体" w:hAnsi="宋体" w:eastAsia="宋体" w:cs="宋体"/>
          <w:sz w:val="24"/>
          <w:szCs w:val="24"/>
        </w:rPr>
        <w:fldChar w:fldCharType="separate"/>
      </w:r>
      <w:r>
        <w:rPr>
          <w:rFonts w:hint="eastAsia" w:ascii="宋体" w:hAnsi="宋体" w:eastAsia="宋体" w:cs="宋体"/>
          <w:sz w:val="24"/>
          <w:szCs w:val="24"/>
        </w:rPr>
        <w:t>21</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420" w:leftChars="200"/>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_Toc5355 </w:instrText>
      </w:r>
      <w:r>
        <w:rPr>
          <w:rFonts w:hint="eastAsia" w:ascii="宋体" w:hAnsi="宋体" w:eastAsia="宋体" w:cs="宋体"/>
          <w:bCs w:val="0"/>
          <w:sz w:val="24"/>
          <w:szCs w:val="24"/>
        </w:rPr>
        <w:fldChar w:fldCharType="separate"/>
      </w:r>
      <w:r>
        <w:rPr>
          <w:rFonts w:hint="eastAsia" w:ascii="宋体" w:hAnsi="宋体" w:eastAsia="宋体" w:cs="宋体"/>
          <w:sz w:val="24"/>
          <w:szCs w:val="24"/>
          <w:lang w:val="en-US" w:eastAsia="zh-CN"/>
        </w:rPr>
        <w:t>五</w:t>
      </w:r>
      <w:r>
        <w:rPr>
          <w:rFonts w:hint="eastAsia" w:ascii="宋体" w:hAnsi="宋体" w:eastAsia="宋体" w:cs="宋体"/>
          <w:sz w:val="24"/>
          <w:szCs w:val="24"/>
        </w:rPr>
        <w:t>、</w:t>
      </w:r>
      <w:r>
        <w:rPr>
          <w:rFonts w:hint="eastAsia" w:ascii="宋体" w:hAnsi="宋体" w:eastAsia="宋体" w:cs="宋体"/>
          <w:sz w:val="24"/>
          <w:szCs w:val="24"/>
          <w:lang w:val="en-US" w:eastAsia="zh-CN"/>
        </w:rPr>
        <w:t>供应商资格证明材料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_Toc5355 \h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420" w:leftChars="200"/>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_Toc22094 </w:instrText>
      </w:r>
      <w:r>
        <w:rPr>
          <w:rFonts w:hint="eastAsia" w:ascii="宋体" w:hAnsi="宋体" w:eastAsia="宋体" w:cs="宋体"/>
          <w:bCs w:val="0"/>
          <w:sz w:val="24"/>
          <w:szCs w:val="24"/>
        </w:rPr>
        <w:fldChar w:fldCharType="separate"/>
      </w:r>
      <w:r>
        <w:rPr>
          <w:rFonts w:hint="eastAsia" w:ascii="宋体" w:hAnsi="宋体" w:eastAsia="宋体" w:cs="宋体"/>
          <w:sz w:val="24"/>
          <w:szCs w:val="24"/>
          <w:lang w:val="en-US" w:eastAsia="zh-CN"/>
        </w:rPr>
        <w:t>六</w:t>
      </w:r>
      <w:r>
        <w:rPr>
          <w:rFonts w:hint="eastAsia" w:ascii="宋体" w:hAnsi="宋体" w:eastAsia="宋体" w:cs="宋体"/>
          <w:sz w:val="24"/>
          <w:szCs w:val="24"/>
        </w:rPr>
        <w:t>、</w:t>
      </w:r>
      <w:r>
        <w:rPr>
          <w:rFonts w:hint="eastAsia" w:ascii="宋体" w:hAnsi="宋体" w:eastAsia="宋体" w:cs="宋体"/>
          <w:sz w:val="24"/>
          <w:szCs w:val="24"/>
          <w:lang w:val="en-US" w:eastAsia="zh-CN"/>
        </w:rPr>
        <w:t>入围评审证明材料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_Toc22094 \h </w:instrText>
      </w:r>
      <w:r>
        <w:rPr>
          <w:rFonts w:hint="eastAsia" w:ascii="宋体" w:hAnsi="宋体" w:eastAsia="宋体" w:cs="宋体"/>
          <w:sz w:val="24"/>
          <w:szCs w:val="24"/>
        </w:rPr>
        <w:fldChar w:fldCharType="separate"/>
      </w:r>
      <w:r>
        <w:rPr>
          <w:rFonts w:hint="eastAsia" w:ascii="宋体" w:hAnsi="宋体" w:eastAsia="宋体" w:cs="宋体"/>
          <w:sz w:val="24"/>
          <w:szCs w:val="24"/>
        </w:rPr>
        <w:t>24</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3"/>
        <w:keepNext w:val="0"/>
        <w:keepLines w:val="0"/>
        <w:pageBreakBefore w:val="0"/>
        <w:widowControl w:val="0"/>
        <w:tabs>
          <w:tab w:val="right" w:leader="dot" w:pos="8980"/>
        </w:tabs>
        <w:kinsoku/>
        <w:wordWrap/>
        <w:overflowPunct/>
        <w:topLinePunct w:val="0"/>
        <w:autoSpaceDE/>
        <w:autoSpaceDN/>
        <w:bidi w:val="0"/>
        <w:adjustRightInd/>
        <w:snapToGrid/>
        <w:spacing w:line="560" w:lineRule="exact"/>
        <w:ind w:left="420" w:leftChars="200"/>
        <w:textAlignment w:val="auto"/>
        <w:rPr>
          <w:rFonts w:hint="eastAsia" w:ascii="宋体" w:hAnsi="宋体" w:eastAsia="宋体" w:cs="宋体"/>
          <w:sz w:val="24"/>
          <w:szCs w:val="24"/>
        </w:rPr>
      </w:pPr>
      <w:r>
        <w:rPr>
          <w:rFonts w:hint="eastAsia" w:ascii="宋体" w:hAnsi="宋体" w:eastAsia="宋体" w:cs="宋体"/>
          <w:bCs w:val="0"/>
          <w:sz w:val="24"/>
          <w:szCs w:val="24"/>
        </w:rPr>
        <w:fldChar w:fldCharType="begin"/>
      </w:r>
      <w:r>
        <w:rPr>
          <w:rFonts w:hint="eastAsia" w:ascii="宋体" w:hAnsi="宋体" w:eastAsia="宋体" w:cs="宋体"/>
          <w:bCs w:val="0"/>
          <w:sz w:val="24"/>
          <w:szCs w:val="24"/>
        </w:rPr>
        <w:instrText xml:space="preserve"> HYPERLINK \l _Toc19301 </w:instrText>
      </w:r>
      <w:r>
        <w:rPr>
          <w:rFonts w:hint="eastAsia" w:ascii="宋体" w:hAnsi="宋体" w:eastAsia="宋体" w:cs="宋体"/>
          <w:bCs w:val="0"/>
          <w:sz w:val="24"/>
          <w:szCs w:val="24"/>
        </w:rPr>
        <w:fldChar w:fldCharType="separate"/>
      </w:r>
      <w:r>
        <w:rPr>
          <w:rFonts w:hint="eastAsia" w:ascii="宋体" w:hAnsi="宋体" w:eastAsia="宋体" w:cs="宋体"/>
          <w:sz w:val="24"/>
          <w:szCs w:val="24"/>
          <w:lang w:val="en-US" w:eastAsia="zh-CN"/>
        </w:rPr>
        <w:t>七</w:t>
      </w:r>
      <w:r>
        <w:rPr>
          <w:rFonts w:hint="eastAsia" w:ascii="宋体" w:hAnsi="宋体" w:eastAsia="宋体" w:cs="宋体"/>
          <w:sz w:val="24"/>
          <w:szCs w:val="24"/>
        </w:rPr>
        <w:t>、其他相关材料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_Toc19301 \h </w:instrText>
      </w:r>
      <w:r>
        <w:rPr>
          <w:rFonts w:hint="eastAsia" w:ascii="宋体" w:hAnsi="宋体" w:eastAsia="宋体" w:cs="宋体"/>
          <w:sz w:val="24"/>
          <w:szCs w:val="24"/>
        </w:rPr>
        <w:fldChar w:fldCharType="separate"/>
      </w:r>
      <w:r>
        <w:rPr>
          <w:rFonts w:hint="eastAsia" w:ascii="宋体" w:hAnsi="宋体" w:eastAsia="宋体" w:cs="宋体"/>
          <w:sz w:val="24"/>
          <w:szCs w:val="24"/>
        </w:rPr>
        <w:t>25</w:t>
      </w:r>
      <w:r>
        <w:rPr>
          <w:rFonts w:hint="eastAsia" w:ascii="宋体" w:hAnsi="宋体" w:eastAsia="宋体" w:cs="宋体"/>
          <w:sz w:val="24"/>
          <w:szCs w:val="24"/>
        </w:rPr>
        <w:fldChar w:fldCharType="end"/>
      </w:r>
      <w:r>
        <w:rPr>
          <w:rFonts w:hint="eastAsia" w:ascii="宋体" w:hAnsi="宋体" w:eastAsia="宋体" w:cs="宋体"/>
          <w:bCs w:val="0"/>
          <w:sz w:val="24"/>
          <w:szCs w:val="24"/>
        </w:rPr>
        <w:fldChar w:fldCharType="end"/>
      </w:r>
    </w:p>
    <w:p>
      <w:pPr>
        <w:pStyle w:val="17"/>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b/>
          <w:bCs/>
          <w:color w:val="000000"/>
          <w:kern w:val="0"/>
          <w:sz w:val="28"/>
          <w:szCs w:val="28"/>
          <w:lang w:val="en-US" w:eastAsia="zh-CN" w:bidi="ar"/>
        </w:rPr>
      </w:pPr>
      <w:r>
        <w:rPr>
          <w:rFonts w:hint="eastAsia" w:ascii="宋体" w:hAnsi="宋体" w:eastAsia="宋体" w:cs="宋体"/>
          <w:bCs w:val="0"/>
          <w:sz w:val="24"/>
          <w:szCs w:val="24"/>
        </w:rPr>
        <w:fldChar w:fldCharType="end"/>
      </w:r>
      <w:r>
        <w:rPr>
          <w:rFonts w:hint="eastAsia" w:ascii="宋体" w:hAnsi="宋体" w:eastAsia="宋体" w:cs="宋体"/>
          <w:b/>
          <w:bCs/>
          <w:color w:val="000000"/>
          <w:kern w:val="0"/>
          <w:sz w:val="28"/>
          <w:szCs w:val="28"/>
          <w:lang w:val="en-US" w:eastAsia="zh-CN" w:bidi="ar"/>
        </w:rPr>
        <w:br w:type="page"/>
      </w:r>
    </w:p>
    <w:p>
      <w:pPr>
        <w:pStyle w:val="2"/>
        <w:bidi w:val="0"/>
        <w:jc w:val="center"/>
        <w:rPr>
          <w:rFonts w:hint="default"/>
          <w:lang w:val="en-US"/>
        </w:rPr>
      </w:pPr>
      <w:bookmarkStart w:id="0" w:name="_Toc15049"/>
      <w:r>
        <w:rPr>
          <w:rFonts w:hint="eastAsia"/>
          <w:lang w:val="en-US" w:eastAsia="zh-CN"/>
        </w:rPr>
        <w:t>第一章 征集邀请</w:t>
      </w:r>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Autospacing="0" w:afterAutospacing="0" w:line="600" w:lineRule="exact"/>
        <w:ind w:right="0" w:rightChars="0"/>
        <w:jc w:val="center"/>
        <w:textAlignment w:val="auto"/>
        <w:rPr>
          <w:rFonts w:hint="eastAsia" w:ascii="黑体" w:hAnsi="黑体" w:eastAsia="黑体" w:cs="黑体"/>
          <w:i w:val="0"/>
          <w:iCs w:val="0"/>
          <w:caps w:val="0"/>
          <w:color w:val="auto"/>
          <w:spacing w:val="0"/>
          <w:kern w:val="0"/>
          <w:sz w:val="24"/>
          <w:szCs w:val="24"/>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Autospacing="0" w:afterAutospacing="0" w:line="600" w:lineRule="exact"/>
        <w:ind w:right="0" w:rightChars="0"/>
        <w:jc w:val="both"/>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各潜在供应商：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700" w:lineRule="exact"/>
        <w:ind w:left="0" w:leftChars="0" w:right="0" w:rightChars="0" w:firstLine="480" w:firstLineChars="200"/>
        <w:jc w:val="both"/>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u w:val="none"/>
          <w:shd w:val="clear" w:fill="FFFFFF"/>
          <w:lang w:val="en-US" w:eastAsia="zh-CN" w:bidi="ar"/>
        </w:rPr>
        <w:t>经安徽霍山国有资产投资控股集团有限公司审批，根据《国有企业采购操作规范》及《安徽霍山国有资产投资控股集团有限公司招标采购管理制度》，</w:t>
      </w:r>
      <w:r>
        <w:rPr>
          <w:rFonts w:hint="eastAsia" w:ascii="宋体" w:hAnsi="宋体" w:eastAsia="宋体" w:cs="宋体"/>
          <w:i w:val="0"/>
          <w:iCs w:val="0"/>
          <w:caps w:val="0"/>
          <w:color w:val="auto"/>
          <w:spacing w:val="0"/>
          <w:kern w:val="0"/>
          <w:sz w:val="24"/>
          <w:szCs w:val="24"/>
          <w:u w:val="single"/>
          <w:shd w:val="clear" w:fill="FFFFFF"/>
          <w:lang w:val="en-US" w:eastAsia="zh-CN" w:bidi="ar"/>
        </w:rPr>
        <w:t>霍山国投集团公车维修服务单位框架协议采购项目（订立封闭式框架协议）</w:t>
      </w:r>
      <w:r>
        <w:rPr>
          <w:rFonts w:hint="eastAsia" w:ascii="宋体" w:hAnsi="宋体" w:eastAsia="宋体" w:cs="宋体"/>
          <w:i w:val="0"/>
          <w:iCs w:val="0"/>
          <w:caps w:val="0"/>
          <w:color w:val="auto"/>
          <w:spacing w:val="0"/>
          <w:kern w:val="0"/>
          <w:sz w:val="24"/>
          <w:szCs w:val="24"/>
          <w:shd w:val="clear" w:fill="FFFFFF"/>
          <w:lang w:val="en-US" w:eastAsia="zh-CN" w:bidi="ar"/>
        </w:rPr>
        <w:t>征集公告已发布，现邀请符合条件的潜在供应商，于本项目征集公告发布之日起至响应文件提交截止时间前，按照征集公告要求，提交加入框架协议的申请。</w:t>
      </w:r>
    </w:p>
    <w:p>
      <w:pPr>
        <w:pStyle w:val="17"/>
        <w:rPr>
          <w:rFonts w:hint="eastAsia" w:ascii="宋体" w:hAnsi="宋体" w:eastAsia="宋体" w:cs="宋体"/>
          <w:i w:val="0"/>
          <w:iCs w:val="0"/>
          <w:caps w:val="0"/>
          <w:color w:val="auto"/>
          <w:spacing w:val="0"/>
          <w:kern w:val="0"/>
          <w:sz w:val="24"/>
          <w:szCs w:val="24"/>
          <w:shd w:val="clear" w:fill="FFFFFF"/>
          <w:lang w:val="en-US" w:eastAsia="zh-CN" w:bidi="ar"/>
        </w:rPr>
      </w:pPr>
    </w:p>
    <w:p>
      <w:pPr>
        <w:rPr>
          <w:rFonts w:hint="eastAsia"/>
          <w:lang w:val="en-US" w:eastAsia="zh-CN"/>
        </w:rPr>
      </w:pPr>
    </w:p>
    <w:p>
      <w:pPr>
        <w:pStyle w:val="1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宋体" w:hAnsi="宋体" w:eastAsia="宋体" w:cs="宋体"/>
          <w:i w:val="0"/>
          <w:iCs w:val="0"/>
          <w:caps w:val="0"/>
          <w:color w:val="auto"/>
          <w:spacing w:val="0"/>
          <w:kern w:val="0"/>
          <w:sz w:val="24"/>
          <w:szCs w:val="24"/>
          <w:shd w:val="clear" w:fill="FFFFFF"/>
          <w:lang w:val="en" w:eastAsia="zh-CN" w:bidi="ar"/>
        </w:rPr>
      </w:pPr>
      <w:r>
        <w:rPr>
          <w:rFonts w:hint="eastAsia" w:ascii="宋体" w:hAnsi="宋体" w:eastAsia="宋体" w:cs="宋体"/>
          <w:i w:val="0"/>
          <w:iCs w:val="0"/>
          <w:caps w:val="0"/>
          <w:color w:val="auto"/>
          <w:spacing w:val="0"/>
          <w:kern w:val="0"/>
          <w:sz w:val="24"/>
          <w:szCs w:val="24"/>
          <w:shd w:val="clear" w:fill="FFFFFF"/>
          <w:lang w:val="en" w:eastAsia="zh-CN" w:bidi="ar"/>
        </w:rPr>
        <w:t>安徽霍山国有资产投资控股集团有限公司</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right"/>
        <w:textAlignment w:val="auto"/>
        <w:rPr>
          <w:rFonts w:hint="default"/>
          <w:lang w:val="en-US"/>
        </w:rPr>
      </w:pPr>
      <w:r>
        <w:rPr>
          <w:rFonts w:hint="eastAsia" w:ascii="宋体" w:hAnsi="宋体" w:eastAsia="宋体" w:cs="宋体"/>
          <w:i w:val="0"/>
          <w:iCs w:val="0"/>
          <w:caps w:val="0"/>
          <w:color w:val="auto"/>
          <w:spacing w:val="0"/>
          <w:kern w:val="0"/>
          <w:sz w:val="24"/>
          <w:szCs w:val="24"/>
          <w:shd w:val="clear" w:fill="FFFFFF"/>
          <w:lang w:val="en-US" w:eastAsia="zh-CN" w:bidi="ar"/>
        </w:rPr>
        <w:t>2024年4月3日</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2" w:firstLineChars="200"/>
        <w:jc w:val="both"/>
        <w:textAlignment w:val="auto"/>
        <w:rPr>
          <w:rFonts w:hint="eastAsia" w:ascii="宋体" w:hAnsi="宋体" w:eastAsia="宋体" w:cs="宋体"/>
          <w:b/>
          <w:bCs/>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2" w:firstLineChars="200"/>
        <w:jc w:val="center"/>
        <w:textAlignment w:val="auto"/>
        <w:rPr>
          <w:rFonts w:hint="eastAsia" w:ascii="宋体" w:hAnsi="宋体" w:eastAsia="宋体" w:cs="宋体"/>
          <w:b/>
          <w:bCs/>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2" w:firstLineChars="200"/>
        <w:jc w:val="center"/>
        <w:textAlignment w:val="auto"/>
        <w:rPr>
          <w:rFonts w:hint="eastAsia" w:ascii="宋体" w:hAnsi="宋体" w:eastAsia="宋体" w:cs="宋体"/>
          <w:b/>
          <w:bCs/>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2" w:firstLineChars="200"/>
        <w:jc w:val="center"/>
        <w:textAlignment w:val="auto"/>
        <w:rPr>
          <w:rFonts w:hint="eastAsia" w:ascii="宋体" w:hAnsi="宋体" w:eastAsia="宋体" w:cs="宋体"/>
          <w:b/>
          <w:bCs/>
          <w:color w:val="000000"/>
          <w:kern w:val="0"/>
          <w:sz w:val="24"/>
          <w:szCs w:val="24"/>
          <w:lang w:val="en-US" w:eastAsia="zh-CN" w:bidi="ar"/>
        </w:rPr>
      </w:pPr>
    </w:p>
    <w:p>
      <w:pPr>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br w:type="page"/>
      </w:r>
    </w:p>
    <w:p>
      <w:pPr>
        <w:pStyle w:val="2"/>
        <w:bidi w:val="0"/>
        <w:jc w:val="center"/>
        <w:rPr>
          <w:rFonts w:hint="default"/>
          <w:lang w:val="en-US"/>
        </w:rPr>
      </w:pPr>
      <w:bookmarkStart w:id="1" w:name="_Toc1489"/>
      <w:r>
        <w:rPr>
          <w:rFonts w:hint="eastAsia"/>
          <w:lang w:val="en-US" w:eastAsia="zh-CN"/>
        </w:rPr>
        <w:t>第二章 资格审查材料</w:t>
      </w:r>
      <w:bookmarkEnd w:id="1"/>
    </w:p>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sz w:val="24"/>
          <w:szCs w:val="24"/>
        </w:rPr>
      </w:pPr>
      <w:r>
        <w:rPr>
          <w:rFonts w:hint="eastAsia" w:ascii="宋体" w:hAnsi="宋体" w:eastAsia="宋体" w:cs="宋体"/>
          <w:b/>
          <w:bCs/>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488" w:firstLineChars="200"/>
        <w:jc w:val="both"/>
        <w:textAlignment w:val="auto"/>
        <w:rPr>
          <w:rFonts w:hint="eastAsia" w:ascii="宋体" w:hAnsi="宋体" w:eastAsia="宋体" w:cs="宋体"/>
          <w:b/>
          <w:bCs/>
          <w:spacing w:val="2"/>
          <w:position w:val="27"/>
          <w:sz w:val="24"/>
          <w:szCs w:val="24"/>
        </w:rPr>
      </w:pPr>
      <w:r>
        <w:rPr>
          <w:rFonts w:hint="eastAsia" w:ascii="宋体" w:hAnsi="宋体" w:eastAsia="宋体" w:cs="宋体"/>
          <w:spacing w:val="2"/>
          <w:position w:val="27"/>
          <w:sz w:val="24"/>
          <w:szCs w:val="24"/>
        </w:rPr>
        <w:t>1.</w:t>
      </w:r>
      <w:r>
        <w:rPr>
          <w:rFonts w:hint="eastAsia" w:ascii="宋体" w:hAnsi="宋体" w:eastAsia="宋体" w:cs="宋体"/>
          <w:spacing w:val="2"/>
          <w:position w:val="27"/>
          <w:sz w:val="24"/>
          <w:szCs w:val="24"/>
          <w:lang w:val="en-US" w:eastAsia="zh-CN"/>
        </w:rPr>
        <w:t>供应商须具有有效的营业执照(或事业单位法人登记证书)</w:t>
      </w:r>
      <w:r>
        <w:rPr>
          <w:rFonts w:hint="eastAsia" w:ascii="宋体" w:hAnsi="宋体" w:eastAsia="宋体" w:cs="宋体"/>
          <w:b/>
          <w:bCs/>
          <w:spacing w:val="2"/>
          <w:position w:val="27"/>
          <w:sz w:val="24"/>
          <w:szCs w:val="24"/>
        </w:rPr>
        <w:t>(响应文件中须提供有效期内的营业执照 (或事业单位法人登记证书) 的清晰影印件或扫描件，否则申请无效)；</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488" w:firstLineChars="200"/>
        <w:jc w:val="both"/>
        <w:textAlignment w:val="auto"/>
        <w:rPr>
          <w:rFonts w:hint="eastAsia" w:eastAsia="宋体"/>
          <w:b/>
          <w:bCs/>
          <w:color w:val="auto"/>
          <w:sz w:val="24"/>
          <w:szCs w:val="24"/>
          <w:lang w:eastAsia="zh-CN"/>
        </w:rPr>
      </w:pPr>
      <w:r>
        <w:rPr>
          <w:rFonts w:hint="eastAsia" w:ascii="宋体" w:hAnsi="宋体" w:eastAsia="宋体" w:cs="宋体"/>
          <w:spacing w:val="2"/>
          <w:position w:val="27"/>
          <w:sz w:val="24"/>
          <w:szCs w:val="24"/>
        </w:rPr>
        <w:t>2.具有综合二类及以上维修资质</w:t>
      </w:r>
      <w:r>
        <w:rPr>
          <w:rFonts w:hint="eastAsia" w:ascii="宋体" w:hAnsi="宋体" w:eastAsia="宋体" w:cs="宋体"/>
          <w:b/>
          <w:bCs/>
          <w:spacing w:val="2"/>
          <w:position w:val="27"/>
          <w:sz w:val="24"/>
          <w:szCs w:val="24"/>
        </w:rPr>
        <w:t>(响应文件中须提供维修资质证书的清晰影印件或扫描件，否则申请无效)</w:t>
      </w:r>
      <w:r>
        <w:rPr>
          <w:rFonts w:hint="eastAsia" w:ascii="宋体" w:hAnsi="宋体" w:eastAsia="宋体" w:cs="宋体"/>
          <w:b/>
          <w:bCs/>
          <w:spacing w:val="2"/>
          <w:position w:val="27"/>
          <w:sz w:val="24"/>
          <w:szCs w:val="24"/>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宋体" w:hAnsi="宋体" w:eastAsia="宋体" w:cs="宋体"/>
          <w:color w:val="000000"/>
          <w:kern w:val="0"/>
          <w:sz w:val="24"/>
          <w:szCs w:val="24"/>
          <w:lang w:val="en-US" w:eastAsia="zh-CN" w:bidi="ar"/>
        </w:rPr>
      </w:pPr>
    </w:p>
    <w:p>
      <w:pPr>
        <w:rPr>
          <w:rFonts w:hint="eastAsia"/>
          <w:lang w:val="en-US" w:eastAsia="zh-CN"/>
        </w:rPr>
      </w:pPr>
    </w:p>
    <w:p>
      <w:pPr>
        <w:pStyle w:val="17"/>
        <w:rPr>
          <w:rFonts w:hint="eastAsia"/>
          <w:lang w:val="en-US" w:eastAsia="zh-CN"/>
        </w:rPr>
      </w:pPr>
    </w:p>
    <w:p>
      <w:pPr>
        <w:rPr>
          <w:rFonts w:hint="eastAsia"/>
          <w:lang w:val="en-US" w:eastAsia="zh-CN"/>
        </w:rPr>
      </w:pPr>
      <w:r>
        <w:rPr>
          <w:rFonts w:hint="eastAsia"/>
          <w:lang w:val="en-US" w:eastAsia="zh-CN"/>
        </w:rPr>
        <w:br w:type="page"/>
      </w:r>
    </w:p>
    <w:p>
      <w:pPr>
        <w:pStyle w:val="2"/>
        <w:bidi w:val="0"/>
        <w:jc w:val="center"/>
      </w:pPr>
      <w:bookmarkStart w:id="2" w:name="_Toc26869"/>
      <w:r>
        <w:rPr>
          <w:rFonts w:hint="eastAsia"/>
          <w:lang w:val="en-US" w:eastAsia="zh-CN"/>
        </w:rPr>
        <w:t>第三章 资格审查方法和标准</w:t>
      </w:r>
      <w:bookmarkEnd w:id="2"/>
    </w:p>
    <w:p>
      <w:pPr>
        <w:keepNext w:val="0"/>
        <w:keepLines w:val="0"/>
        <w:pageBreakBefore w:val="0"/>
        <w:widowControl/>
        <w:suppressLineNumbers w:val="0"/>
        <w:kinsoku/>
        <w:wordWrap/>
        <w:overflowPunct/>
        <w:topLinePunct w:val="0"/>
        <w:autoSpaceDE/>
        <w:autoSpaceDN/>
        <w:bidi w:val="0"/>
        <w:adjustRightInd/>
        <w:snapToGrid/>
        <w:spacing w:line="520" w:lineRule="exact"/>
        <w:ind w:firstLine="482" w:firstLineChars="200"/>
        <w:jc w:val="both"/>
        <w:textAlignment w:val="auto"/>
        <w:rPr>
          <w:sz w:val="24"/>
          <w:szCs w:val="24"/>
        </w:rPr>
      </w:pPr>
      <w:r>
        <w:rPr>
          <w:rFonts w:hint="eastAsia" w:ascii="宋体" w:hAnsi="宋体" w:eastAsia="宋体" w:cs="宋体"/>
          <w:b/>
          <w:bCs/>
          <w:color w:val="000000"/>
          <w:kern w:val="0"/>
          <w:sz w:val="24"/>
          <w:szCs w:val="24"/>
          <w:lang w:val="en-US" w:eastAsia="zh-CN" w:bidi="ar"/>
        </w:rPr>
        <w:t>一、总则</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sz w:val="24"/>
          <w:szCs w:val="24"/>
        </w:rPr>
      </w:pPr>
      <w:r>
        <w:rPr>
          <w:rFonts w:hint="eastAsia" w:ascii="宋体" w:hAnsi="宋体" w:eastAsia="宋体" w:cs="宋体"/>
          <w:color w:val="000000"/>
          <w:kern w:val="0"/>
          <w:sz w:val="24"/>
          <w:szCs w:val="24"/>
          <w:lang w:val="en-US" w:eastAsia="zh-CN" w:bidi="ar"/>
        </w:rPr>
        <w:t>本项目将按照征集文件的相关要求及本章的规定评审。</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482" w:firstLineChars="200"/>
        <w:jc w:val="both"/>
        <w:textAlignment w:val="auto"/>
        <w:rPr>
          <w:sz w:val="24"/>
          <w:szCs w:val="24"/>
        </w:rPr>
      </w:pPr>
      <w:r>
        <w:rPr>
          <w:rFonts w:hint="eastAsia" w:ascii="宋体" w:hAnsi="宋体" w:eastAsia="宋体" w:cs="宋体"/>
          <w:b/>
          <w:bCs/>
          <w:color w:val="000000"/>
          <w:kern w:val="0"/>
          <w:sz w:val="24"/>
          <w:szCs w:val="24"/>
          <w:lang w:val="en-US" w:eastAsia="zh-CN" w:bidi="ar"/>
        </w:rPr>
        <w:t>二、评审方法</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pPr>
      <w:r>
        <w:rPr>
          <w:rFonts w:hint="eastAsia" w:ascii="宋体" w:hAnsi="宋体" w:eastAsia="宋体" w:cs="宋体"/>
          <w:color w:val="000000"/>
          <w:kern w:val="0"/>
          <w:sz w:val="24"/>
          <w:szCs w:val="24"/>
          <w:lang w:val="en-US" w:eastAsia="zh-CN" w:bidi="ar"/>
        </w:rPr>
        <w:t>依据政府采购相关法律法规规定，对供应商进行资格审查。资格审查表如下：</w:t>
      </w:r>
    </w:p>
    <w:tbl>
      <w:tblPr>
        <w:tblStyle w:val="26"/>
        <w:tblpPr w:leftFromText="180" w:rightFromText="180" w:vertAnchor="text" w:horzAnchor="page" w:tblpX="1512" w:tblpY="8"/>
        <w:tblOverlap w:val="never"/>
        <w:tblW w:w="887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2138"/>
        <w:gridCol w:w="1949"/>
        <w:gridCol w:w="40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8873" w:type="dxa"/>
            <w:gridSpan w:val="4"/>
            <w:vAlign w:val="top"/>
          </w:tcPr>
          <w:p>
            <w:pPr>
              <w:pStyle w:val="25"/>
              <w:spacing w:before="219" w:line="220" w:lineRule="auto"/>
              <w:ind w:left="3851"/>
            </w:pPr>
            <w:r>
              <w:rPr>
                <w:spacing w:val="-3"/>
                <w14:textOutline w14:w="4358" w14:cap="sq" w14:cmpd="sng">
                  <w14:solidFill>
                    <w14:srgbClr w14:val="000000"/>
                  </w14:solidFill>
                  <w14:prstDash w14:val="solid"/>
                  <w14:bevel/>
                </w14:textOutline>
              </w:rPr>
              <w:t>资格审查表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710" w:type="dxa"/>
            <w:vAlign w:val="top"/>
          </w:tcPr>
          <w:p>
            <w:pPr>
              <w:pStyle w:val="25"/>
              <w:spacing w:before="155" w:line="222" w:lineRule="auto"/>
              <w:ind w:left="119"/>
            </w:pPr>
            <w:r>
              <w:rPr>
                <w:spacing w:val="-5"/>
                <w14:textOutline w14:w="4358" w14:cap="sq" w14:cmpd="sng">
                  <w14:solidFill>
                    <w14:srgbClr w14:val="000000"/>
                  </w14:solidFill>
                  <w14:prstDash w14:val="solid"/>
                  <w14:bevel/>
                </w14:textOutline>
              </w:rPr>
              <w:t>序号</w:t>
            </w:r>
          </w:p>
        </w:tc>
        <w:tc>
          <w:tcPr>
            <w:tcW w:w="2138" w:type="dxa"/>
            <w:vAlign w:val="top"/>
          </w:tcPr>
          <w:p>
            <w:pPr>
              <w:pStyle w:val="25"/>
              <w:spacing w:before="155" w:line="221" w:lineRule="auto"/>
              <w:ind w:left="590"/>
            </w:pPr>
            <w:r>
              <w:rPr>
                <w:spacing w:val="-2"/>
                <w14:textOutline w14:w="4358" w14:cap="sq" w14:cmpd="sng">
                  <w14:solidFill>
                    <w14:srgbClr w14:val="000000"/>
                  </w14:solidFill>
                  <w14:prstDash w14:val="solid"/>
                  <w14:bevel/>
                </w14:textOutline>
              </w:rPr>
              <w:t>评审指标</w:t>
            </w:r>
          </w:p>
        </w:tc>
        <w:tc>
          <w:tcPr>
            <w:tcW w:w="1949" w:type="dxa"/>
            <w:vAlign w:val="top"/>
          </w:tcPr>
          <w:p>
            <w:pPr>
              <w:pStyle w:val="25"/>
              <w:spacing w:before="155" w:line="221" w:lineRule="auto"/>
              <w:ind w:left="497"/>
            </w:pPr>
            <w:r>
              <w:rPr>
                <w:spacing w:val="-2"/>
                <w14:textOutline w14:w="4358" w14:cap="sq" w14:cmpd="sng">
                  <w14:solidFill>
                    <w14:srgbClr w14:val="000000"/>
                  </w14:solidFill>
                  <w14:prstDash w14:val="solid"/>
                  <w14:bevel/>
                </w14:textOutline>
              </w:rPr>
              <w:t>评审标准</w:t>
            </w:r>
          </w:p>
        </w:tc>
        <w:tc>
          <w:tcPr>
            <w:tcW w:w="4076" w:type="dxa"/>
            <w:vAlign w:val="top"/>
          </w:tcPr>
          <w:p>
            <w:pPr>
              <w:pStyle w:val="25"/>
              <w:spacing w:before="156" w:line="219" w:lineRule="auto"/>
              <w:ind w:left="1198"/>
            </w:pPr>
            <w:r>
              <w:rPr>
                <w:spacing w:val="-1"/>
                <w14:textOutline w14:w="4358" w14:cap="sq" w14:cmpd="sng">
                  <w14:solidFill>
                    <w14:srgbClr w14:val="000000"/>
                  </w14:solidFill>
                  <w14:prstDash w14:val="solid"/>
                  <w14:bevel/>
                </w14:textOutline>
              </w:rPr>
              <w:t>格式及材料要求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710" w:type="dxa"/>
            <w:vAlign w:val="center"/>
          </w:tcPr>
          <w:p>
            <w:pPr>
              <w:pStyle w:val="25"/>
              <w:spacing w:before="300" w:line="184" w:lineRule="auto"/>
              <w:ind w:left="318"/>
              <w:jc w:val="both"/>
            </w:pPr>
            <w:r>
              <w:rPr>
                <w14:textOutline w14:w="4358" w14:cap="sq" w14:cmpd="sng">
                  <w14:solidFill>
                    <w14:srgbClr w14:val="000000"/>
                  </w14:solidFill>
                  <w14:prstDash w14:val="solid"/>
                  <w14:bevel/>
                </w14:textOutline>
              </w:rPr>
              <w:t>1</w:t>
            </w:r>
          </w:p>
        </w:tc>
        <w:tc>
          <w:tcPr>
            <w:tcW w:w="2138" w:type="dxa"/>
            <w:vAlign w:val="top"/>
          </w:tcPr>
          <w:p>
            <w:pPr>
              <w:pStyle w:val="25"/>
              <w:spacing w:before="264" w:line="220" w:lineRule="auto"/>
              <w:ind w:left="601"/>
            </w:pPr>
            <w:r>
              <w:rPr>
                <w:spacing w:val="-5"/>
              </w:rPr>
              <w:t>营业执照</w:t>
            </w:r>
          </w:p>
        </w:tc>
        <w:tc>
          <w:tcPr>
            <w:tcW w:w="1949" w:type="dxa"/>
            <w:vAlign w:val="top"/>
          </w:tcPr>
          <w:p>
            <w:pPr>
              <w:pStyle w:val="25"/>
              <w:spacing w:before="263" w:line="221" w:lineRule="auto"/>
              <w:ind w:left="501"/>
            </w:pPr>
            <w:r>
              <w:rPr>
                <w:spacing w:val="-3"/>
              </w:rPr>
              <w:t>合法有效</w:t>
            </w:r>
          </w:p>
        </w:tc>
        <w:tc>
          <w:tcPr>
            <w:tcW w:w="4076" w:type="dxa"/>
            <w:vMerge w:val="restart"/>
            <w:tcBorders>
              <w:bottom w:val="nil"/>
            </w:tcBorders>
            <w:vAlign w:val="top"/>
          </w:tcPr>
          <w:p>
            <w:pPr>
              <w:pStyle w:val="25"/>
              <w:spacing w:before="118" w:line="294" w:lineRule="auto"/>
              <w:ind w:left="58" w:firstLine="1"/>
              <w:jc w:val="both"/>
            </w:pPr>
            <w:r>
              <w:rPr>
                <w:spacing w:val="-8"/>
              </w:rPr>
              <w:t>提供有效的供应商营业执照（或事业单</w:t>
            </w:r>
            <w:r>
              <w:rPr>
                <w:spacing w:val="14"/>
              </w:rPr>
              <w:t xml:space="preserve"> </w:t>
            </w:r>
            <w:r>
              <w:rPr>
                <w:spacing w:val="-7"/>
              </w:rPr>
              <w:t>位法人登记证书）和税务登记证的复印</w:t>
            </w:r>
            <w:r>
              <w:t xml:space="preserve"> </w:t>
            </w:r>
            <w:r>
              <w:rPr>
                <w:spacing w:val="-7"/>
              </w:rPr>
              <w:t>件，应完整的体现出营业执照（或事业单位法人登记证书）和税务登记证的全</w:t>
            </w:r>
            <w:r>
              <w:rPr>
                <w:spacing w:val="-6"/>
              </w:rPr>
              <w:t>部内容。已办理“三证合一</w:t>
            </w:r>
            <w:r>
              <w:rPr>
                <w:spacing w:val="-87"/>
              </w:rPr>
              <w:t xml:space="preserve"> </w:t>
            </w:r>
            <w:r>
              <w:rPr>
                <w:spacing w:val="-6"/>
              </w:rPr>
              <w:t>”登记的，</w:t>
            </w:r>
            <w:r>
              <w:rPr>
                <w:spacing w:val="-7"/>
              </w:rPr>
              <w:t>响应文件中提供营业执照（或事业单位</w:t>
            </w:r>
            <w:r>
              <w:rPr>
                <w:spacing w:val="-1"/>
              </w:rPr>
              <w:t>法人登记证书）复印件即可。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3" w:hRule="atLeast"/>
        </w:trPr>
        <w:tc>
          <w:tcPr>
            <w:tcW w:w="710" w:type="dxa"/>
            <w:vAlign w:val="center"/>
          </w:tcPr>
          <w:p>
            <w:pPr>
              <w:pStyle w:val="25"/>
              <w:spacing w:before="78" w:line="183" w:lineRule="auto"/>
              <w:ind w:left="303"/>
              <w:jc w:val="both"/>
            </w:pPr>
            <w:r>
              <w:rPr>
                <w14:textOutline w14:w="4358" w14:cap="sq" w14:cmpd="sng">
                  <w14:solidFill>
                    <w14:srgbClr w14:val="000000"/>
                  </w14:solidFill>
                  <w14:prstDash w14:val="solid"/>
                  <w14:bevel/>
                </w14:textOutline>
              </w:rPr>
              <w:t>2</w:t>
            </w:r>
          </w:p>
        </w:tc>
        <w:tc>
          <w:tcPr>
            <w:tcW w:w="2138" w:type="dxa"/>
            <w:vAlign w:val="center"/>
          </w:tcPr>
          <w:p>
            <w:pPr>
              <w:pStyle w:val="25"/>
              <w:spacing w:before="78" w:line="220" w:lineRule="auto"/>
              <w:ind w:left="473"/>
              <w:jc w:val="both"/>
            </w:pPr>
            <w:r>
              <w:rPr>
                <w:spacing w:val="-2"/>
              </w:rPr>
              <w:t>税务登记证</w:t>
            </w:r>
          </w:p>
        </w:tc>
        <w:tc>
          <w:tcPr>
            <w:tcW w:w="1949" w:type="dxa"/>
            <w:vAlign w:val="top"/>
          </w:tcPr>
          <w:p>
            <w:pPr>
              <w:spacing w:line="292" w:lineRule="auto"/>
              <w:rPr>
                <w:rFonts w:ascii="Arial"/>
                <w:sz w:val="21"/>
              </w:rPr>
            </w:pPr>
          </w:p>
          <w:p>
            <w:pPr>
              <w:spacing w:line="292" w:lineRule="auto"/>
              <w:rPr>
                <w:rFonts w:ascii="Arial"/>
                <w:sz w:val="21"/>
              </w:rPr>
            </w:pPr>
          </w:p>
          <w:p>
            <w:pPr>
              <w:spacing w:line="293" w:lineRule="auto"/>
              <w:rPr>
                <w:rFonts w:ascii="Arial"/>
                <w:sz w:val="21"/>
              </w:rPr>
            </w:pPr>
          </w:p>
          <w:p>
            <w:pPr>
              <w:pStyle w:val="25"/>
              <w:spacing w:before="78" w:line="221" w:lineRule="auto"/>
              <w:ind w:left="501"/>
            </w:pPr>
            <w:r>
              <w:rPr>
                <w:spacing w:val="-3"/>
              </w:rPr>
              <w:t>合法有效</w:t>
            </w:r>
          </w:p>
        </w:tc>
        <w:tc>
          <w:tcPr>
            <w:tcW w:w="4076"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710" w:type="dxa"/>
            <w:vAlign w:val="center"/>
          </w:tcPr>
          <w:p>
            <w:pPr>
              <w:pStyle w:val="25"/>
              <w:spacing w:before="78" w:line="183" w:lineRule="auto"/>
              <w:ind w:left="305"/>
              <w:jc w:val="both"/>
            </w:pPr>
            <w:r>
              <w:rPr>
                <w14:textOutline w14:w="4358" w14:cap="sq" w14:cmpd="sng">
                  <w14:solidFill>
                    <w14:srgbClr w14:val="000000"/>
                  </w14:solidFill>
                  <w14:prstDash w14:val="solid"/>
                  <w14:bevel/>
                </w14:textOutline>
              </w:rPr>
              <w:t>3</w:t>
            </w:r>
          </w:p>
        </w:tc>
        <w:tc>
          <w:tcPr>
            <w:tcW w:w="2138" w:type="dxa"/>
            <w:vAlign w:val="center"/>
          </w:tcPr>
          <w:p>
            <w:pPr>
              <w:pStyle w:val="25"/>
              <w:spacing w:before="315" w:line="220" w:lineRule="auto"/>
              <w:ind w:left="597"/>
              <w:jc w:val="both"/>
            </w:pPr>
            <w:r>
              <w:rPr>
                <w:spacing w:val="-4"/>
              </w:rPr>
              <w:t>维修资质</w:t>
            </w:r>
          </w:p>
        </w:tc>
        <w:tc>
          <w:tcPr>
            <w:tcW w:w="1949" w:type="dxa"/>
            <w:vAlign w:val="top"/>
          </w:tcPr>
          <w:p>
            <w:pPr>
              <w:pStyle w:val="25"/>
              <w:spacing w:before="116" w:line="401" w:lineRule="exact"/>
              <w:ind w:left="145"/>
            </w:pPr>
            <w:r>
              <w:rPr>
                <w:spacing w:val="-3"/>
                <w:position w:val="11"/>
              </w:rPr>
              <w:t>具有综合二类及</w:t>
            </w:r>
          </w:p>
          <w:p>
            <w:pPr>
              <w:pStyle w:val="25"/>
              <w:spacing w:line="212" w:lineRule="auto"/>
              <w:ind w:left="287"/>
            </w:pPr>
            <w:r>
              <w:rPr>
                <w:spacing w:val="-7"/>
              </w:rPr>
              <w:t>以上维修资质</w:t>
            </w:r>
          </w:p>
        </w:tc>
        <w:tc>
          <w:tcPr>
            <w:tcW w:w="4076" w:type="dxa"/>
            <w:vAlign w:val="top"/>
          </w:tcPr>
          <w:p>
            <w:pPr>
              <w:pStyle w:val="25"/>
              <w:spacing w:before="316" w:line="219" w:lineRule="auto"/>
              <w:ind w:left="364"/>
            </w:pPr>
            <w:r>
              <w:rPr>
                <w:spacing w:val="-1"/>
              </w:rPr>
              <w:t>提供相关证明材料的清晰复印件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710" w:type="dxa"/>
            <w:vAlign w:val="center"/>
          </w:tcPr>
          <w:p>
            <w:pPr>
              <w:pStyle w:val="25"/>
              <w:spacing w:before="78" w:line="182" w:lineRule="auto"/>
              <w:ind w:left="305"/>
              <w:jc w:val="both"/>
              <w:rPr>
                <w:rFonts w:hint="eastAsia" w:eastAsia="宋体"/>
                <w:lang w:eastAsia="zh-CN"/>
              </w:rPr>
            </w:pPr>
            <w:r>
              <w:rPr>
                <w:rFonts w:hint="eastAsia"/>
                <w:lang w:val="en-US" w:eastAsia="zh-CN"/>
                <w14:textOutline w14:w="4358" w14:cap="sq" w14:cmpd="sng">
                  <w14:solidFill>
                    <w14:srgbClr w14:val="000000"/>
                  </w14:solidFill>
                  <w14:prstDash w14:val="solid"/>
                  <w14:bevel/>
                </w14:textOutline>
              </w:rPr>
              <w:t>4</w:t>
            </w:r>
          </w:p>
        </w:tc>
        <w:tc>
          <w:tcPr>
            <w:tcW w:w="2138" w:type="dxa"/>
            <w:vAlign w:val="center"/>
          </w:tcPr>
          <w:p>
            <w:pPr>
              <w:pStyle w:val="25"/>
              <w:spacing w:before="318" w:line="219" w:lineRule="auto"/>
              <w:ind w:left="832"/>
              <w:jc w:val="both"/>
            </w:pPr>
            <w:r>
              <w:rPr>
                <w:spacing w:val="-4"/>
              </w:rPr>
              <w:t>报价</w:t>
            </w:r>
          </w:p>
        </w:tc>
        <w:tc>
          <w:tcPr>
            <w:tcW w:w="1949" w:type="dxa"/>
            <w:vAlign w:val="top"/>
          </w:tcPr>
          <w:p>
            <w:pPr>
              <w:pStyle w:val="25"/>
              <w:spacing w:before="120" w:line="400" w:lineRule="exact"/>
              <w:ind w:left="144"/>
            </w:pPr>
            <w:r>
              <w:rPr>
                <w:spacing w:val="-2"/>
                <w:position w:val="11"/>
              </w:rPr>
              <w:t>不得超过最高限</w:t>
            </w:r>
          </w:p>
          <w:p>
            <w:pPr>
              <w:pStyle w:val="25"/>
              <w:spacing w:before="1" w:line="210" w:lineRule="auto"/>
              <w:ind w:left="621"/>
            </w:pPr>
            <w:r>
              <w:rPr>
                <w:spacing w:val="-4"/>
              </w:rPr>
              <w:t>制单价</w:t>
            </w:r>
          </w:p>
        </w:tc>
        <w:tc>
          <w:tcPr>
            <w:tcW w:w="4076" w:type="dxa"/>
            <w:vAlign w:val="top"/>
          </w:tcPr>
          <w:p>
            <w:pPr>
              <w:pStyle w:val="25"/>
              <w:spacing w:before="318" w:line="219" w:lineRule="auto"/>
              <w:ind w:left="426"/>
            </w:pPr>
            <w:r>
              <w:rPr>
                <w:spacing w:val="-1"/>
              </w:rPr>
              <w:t>详见第</w:t>
            </w:r>
            <w:r>
              <w:rPr>
                <w:rFonts w:hint="eastAsia"/>
                <w:spacing w:val="-1"/>
                <w:lang w:val="en-US" w:eastAsia="zh-CN"/>
              </w:rPr>
              <w:t>六</w:t>
            </w:r>
            <w:r>
              <w:rPr>
                <w:spacing w:val="-1"/>
              </w:rPr>
              <w:t>章 二、最高限制单价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710" w:type="dxa"/>
            <w:vAlign w:val="center"/>
          </w:tcPr>
          <w:p>
            <w:pPr>
              <w:pStyle w:val="25"/>
              <w:spacing w:before="78" w:line="183" w:lineRule="auto"/>
              <w:ind w:left="302"/>
              <w:jc w:val="both"/>
              <w:rPr>
                <w:rFonts w:hint="eastAsia" w:eastAsia="宋体"/>
                <w:lang w:eastAsia="zh-CN"/>
              </w:rPr>
            </w:pPr>
            <w:r>
              <w:rPr>
                <w:rFonts w:hint="eastAsia"/>
                <w:lang w:val="en-US" w:eastAsia="zh-CN"/>
                <w14:textOutline w14:w="4358" w14:cap="sq" w14:cmpd="sng">
                  <w14:solidFill>
                    <w14:srgbClr w14:val="000000"/>
                  </w14:solidFill>
                  <w14:prstDash w14:val="solid"/>
                  <w14:bevel/>
                </w14:textOutline>
              </w:rPr>
              <w:t>5</w:t>
            </w:r>
          </w:p>
        </w:tc>
        <w:tc>
          <w:tcPr>
            <w:tcW w:w="2138" w:type="dxa"/>
            <w:vAlign w:val="center"/>
          </w:tcPr>
          <w:p>
            <w:pPr>
              <w:pStyle w:val="25"/>
              <w:spacing w:before="78" w:line="221" w:lineRule="auto"/>
              <w:ind w:left="594"/>
              <w:jc w:val="both"/>
            </w:pPr>
            <w:r>
              <w:rPr>
                <w:spacing w:val="-3"/>
              </w:rPr>
              <w:t>其他要求</w:t>
            </w:r>
          </w:p>
        </w:tc>
        <w:tc>
          <w:tcPr>
            <w:tcW w:w="6025" w:type="dxa"/>
            <w:gridSpan w:val="2"/>
            <w:vAlign w:val="top"/>
          </w:tcPr>
          <w:p>
            <w:pPr>
              <w:pStyle w:val="25"/>
              <w:spacing w:before="118" w:line="401" w:lineRule="exact"/>
              <w:ind w:left="58"/>
            </w:pPr>
            <w:r>
              <w:rPr>
                <w:spacing w:val="-4"/>
                <w:position w:val="11"/>
              </w:rPr>
              <w:t>符合法律、行政法规规定的其他条件或征集文件列明的其</w:t>
            </w:r>
          </w:p>
          <w:p>
            <w:pPr>
              <w:pStyle w:val="25"/>
              <w:spacing w:before="1" w:line="214" w:lineRule="auto"/>
              <w:ind w:left="56"/>
            </w:pPr>
            <w:r>
              <w:rPr>
                <w:spacing w:val="-3"/>
              </w:rPr>
              <w:t>他要求。</w:t>
            </w:r>
          </w:p>
        </w:tc>
      </w:tr>
    </w:tbl>
    <w:p>
      <w:pPr>
        <w:keepNext w:val="0"/>
        <w:keepLines w:val="0"/>
        <w:pageBreakBefore w:val="0"/>
        <w:widowControl/>
        <w:suppressLineNumbers w:val="0"/>
        <w:kinsoku/>
        <w:wordWrap/>
        <w:overflowPunct/>
        <w:topLinePunct w:val="0"/>
        <w:autoSpaceDE/>
        <w:autoSpaceDN/>
        <w:bidi w:val="0"/>
        <w:adjustRightInd/>
        <w:snapToGrid/>
        <w:spacing w:line="520" w:lineRule="exact"/>
        <w:ind w:firstLine="482" w:firstLineChars="200"/>
        <w:jc w:val="both"/>
        <w:textAlignment w:val="auto"/>
      </w:pPr>
      <w:r>
        <w:rPr>
          <w:rFonts w:hint="eastAsia" w:ascii="宋体" w:hAnsi="宋体" w:eastAsia="宋体" w:cs="宋体"/>
          <w:b/>
          <w:bCs/>
          <w:color w:val="000000"/>
          <w:kern w:val="0"/>
          <w:sz w:val="24"/>
          <w:szCs w:val="24"/>
          <w:lang w:val="en-US" w:eastAsia="zh-CN" w:bidi="ar"/>
        </w:rPr>
        <w:t>资格审查指标通过标准：</w:t>
      </w:r>
      <w:r>
        <w:rPr>
          <w:rFonts w:hint="eastAsia" w:ascii="宋体" w:hAnsi="宋体" w:eastAsia="宋体" w:cs="宋体"/>
          <w:color w:val="000000"/>
          <w:kern w:val="0"/>
          <w:sz w:val="24"/>
          <w:szCs w:val="24"/>
          <w:lang w:val="en-US" w:eastAsia="zh-CN" w:bidi="ar"/>
        </w:rPr>
        <w:t>供应商须通过资格审查表中的全部评审指标。</w:t>
      </w:r>
    </w:p>
    <w:tbl>
      <w:tblPr>
        <w:tblStyle w:val="26"/>
        <w:tblW w:w="8877" w:type="dxa"/>
        <w:tblInd w:w="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3"/>
        <w:gridCol w:w="2132"/>
        <w:gridCol w:w="1943"/>
        <w:gridCol w:w="4065"/>
        <w:gridCol w:w="2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8877" w:type="dxa"/>
            <w:gridSpan w:val="5"/>
            <w:vAlign w:val="center"/>
          </w:tcPr>
          <w:p>
            <w:pPr>
              <w:pStyle w:val="25"/>
              <w:spacing w:before="240" w:line="219" w:lineRule="auto"/>
              <w:ind w:left="3867"/>
              <w:jc w:val="both"/>
            </w:pPr>
            <w:r>
              <w:rPr>
                <w:spacing w:val="-7"/>
              </w:rPr>
              <w:t>符合性审查表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713" w:type="dxa"/>
            <w:vAlign w:val="center"/>
          </w:tcPr>
          <w:p>
            <w:pPr>
              <w:pStyle w:val="25"/>
              <w:spacing w:before="174" w:line="221" w:lineRule="auto"/>
              <w:ind w:left="132"/>
              <w:jc w:val="both"/>
            </w:pPr>
            <w:r>
              <w:rPr>
                <w:spacing w:val="-5"/>
              </w:rPr>
              <w:t>序号</w:t>
            </w:r>
          </w:p>
        </w:tc>
        <w:tc>
          <w:tcPr>
            <w:tcW w:w="2132" w:type="dxa"/>
            <w:vAlign w:val="center"/>
          </w:tcPr>
          <w:p>
            <w:pPr>
              <w:pStyle w:val="25"/>
              <w:spacing w:before="172" w:line="220" w:lineRule="auto"/>
              <w:ind w:left="600"/>
              <w:jc w:val="both"/>
            </w:pPr>
            <w:r>
              <w:rPr>
                <w:spacing w:val="-4"/>
              </w:rPr>
              <w:t>评审指标</w:t>
            </w:r>
          </w:p>
        </w:tc>
        <w:tc>
          <w:tcPr>
            <w:tcW w:w="1943" w:type="dxa"/>
            <w:vAlign w:val="center"/>
          </w:tcPr>
          <w:p>
            <w:pPr>
              <w:pStyle w:val="25"/>
              <w:spacing w:before="172" w:line="220" w:lineRule="auto"/>
              <w:ind w:left="512"/>
              <w:jc w:val="both"/>
            </w:pPr>
            <w:r>
              <w:rPr>
                <w:spacing w:val="-4"/>
              </w:rPr>
              <w:t>评审标准</w:t>
            </w:r>
          </w:p>
        </w:tc>
        <w:tc>
          <w:tcPr>
            <w:tcW w:w="4089" w:type="dxa"/>
            <w:gridSpan w:val="2"/>
            <w:vAlign w:val="center"/>
          </w:tcPr>
          <w:p>
            <w:pPr>
              <w:pStyle w:val="25"/>
              <w:spacing w:before="171" w:line="219" w:lineRule="auto"/>
              <w:jc w:val="center"/>
            </w:pPr>
            <w:r>
              <w:rPr>
                <w:spacing w:val="-3"/>
              </w:rPr>
              <w:t>格式及材料要求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713" w:type="dxa"/>
            <w:vAlign w:val="center"/>
          </w:tcPr>
          <w:p>
            <w:pPr>
              <w:pStyle w:val="25"/>
              <w:spacing w:before="92" w:line="184" w:lineRule="auto"/>
              <w:jc w:val="center"/>
            </w:pPr>
            <w:r>
              <w:t>1</w:t>
            </w:r>
          </w:p>
        </w:tc>
        <w:tc>
          <w:tcPr>
            <w:tcW w:w="2132" w:type="dxa"/>
            <w:vAlign w:val="center"/>
          </w:tcPr>
          <w:p>
            <w:pPr>
              <w:pStyle w:val="25"/>
              <w:spacing w:before="96" w:line="219" w:lineRule="auto"/>
              <w:ind w:left="843"/>
              <w:jc w:val="both"/>
            </w:pPr>
            <w:r>
              <w:rPr>
                <w:spacing w:val="-8"/>
              </w:rPr>
              <w:t>商务</w:t>
            </w:r>
          </w:p>
        </w:tc>
        <w:tc>
          <w:tcPr>
            <w:tcW w:w="1943" w:type="dxa"/>
            <w:vAlign w:val="center"/>
          </w:tcPr>
          <w:p>
            <w:pPr>
              <w:pStyle w:val="25"/>
              <w:spacing w:before="96" w:line="220" w:lineRule="auto"/>
              <w:ind w:left="519"/>
              <w:jc w:val="both"/>
            </w:pPr>
            <w:r>
              <w:rPr>
                <w:spacing w:val="-6"/>
              </w:rPr>
              <w:t>合法有效</w:t>
            </w:r>
          </w:p>
        </w:tc>
        <w:tc>
          <w:tcPr>
            <w:tcW w:w="4089" w:type="dxa"/>
            <w:gridSpan w:val="2"/>
            <w:vAlign w:val="center"/>
          </w:tcPr>
          <w:p>
            <w:pPr>
              <w:pStyle w:val="25"/>
              <w:spacing w:before="39" w:line="219" w:lineRule="auto"/>
              <w:jc w:val="center"/>
            </w:pPr>
            <w:r>
              <w:rPr>
                <w:spacing w:val="-2"/>
              </w:rPr>
              <w:t>参照格式要求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713" w:type="dxa"/>
            <w:vAlign w:val="center"/>
          </w:tcPr>
          <w:p>
            <w:pPr>
              <w:pStyle w:val="25"/>
              <w:spacing w:before="78" w:line="183" w:lineRule="auto"/>
              <w:jc w:val="center"/>
            </w:pPr>
            <w:r>
              <w:t>2</w:t>
            </w:r>
          </w:p>
        </w:tc>
        <w:tc>
          <w:tcPr>
            <w:tcW w:w="2132" w:type="dxa"/>
            <w:vAlign w:val="center"/>
          </w:tcPr>
          <w:p>
            <w:pPr>
              <w:pStyle w:val="25"/>
              <w:spacing w:before="78" w:line="218" w:lineRule="auto"/>
              <w:ind w:left="841"/>
              <w:jc w:val="both"/>
            </w:pPr>
            <w:r>
              <w:rPr>
                <w:spacing w:val="-4"/>
              </w:rPr>
              <w:t>报价</w:t>
            </w:r>
          </w:p>
        </w:tc>
        <w:tc>
          <w:tcPr>
            <w:tcW w:w="1943" w:type="dxa"/>
            <w:vAlign w:val="center"/>
          </w:tcPr>
          <w:p>
            <w:pPr>
              <w:pStyle w:val="25"/>
              <w:spacing w:before="12" w:line="212" w:lineRule="auto"/>
              <w:jc w:val="both"/>
            </w:pPr>
            <w:r>
              <w:rPr>
                <w:spacing w:val="-2"/>
              </w:rPr>
              <w:t>不得超过最高限制</w:t>
            </w:r>
          </w:p>
          <w:p>
            <w:pPr>
              <w:pStyle w:val="25"/>
              <w:spacing w:line="210" w:lineRule="auto"/>
              <w:jc w:val="both"/>
            </w:pPr>
            <w:r>
              <w:rPr>
                <w:spacing w:val="-2"/>
              </w:rPr>
              <w:t>单价，不能报价为</w:t>
            </w:r>
          </w:p>
          <w:p>
            <w:pPr>
              <w:pStyle w:val="25"/>
              <w:spacing w:line="197" w:lineRule="auto"/>
              <w:ind w:left="867"/>
              <w:jc w:val="both"/>
            </w:pPr>
            <w:r>
              <w:t>零</w:t>
            </w:r>
          </w:p>
        </w:tc>
        <w:tc>
          <w:tcPr>
            <w:tcW w:w="4089" w:type="dxa"/>
            <w:gridSpan w:val="2"/>
            <w:vAlign w:val="center"/>
          </w:tcPr>
          <w:p>
            <w:pPr>
              <w:pStyle w:val="25"/>
              <w:spacing w:before="78" w:line="219" w:lineRule="auto"/>
              <w:jc w:val="center"/>
            </w:pPr>
            <w:r>
              <w:rPr>
                <w:spacing w:val="-4"/>
              </w:rPr>
              <w:t>参照格式要求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713" w:type="dxa"/>
            <w:vAlign w:val="center"/>
          </w:tcPr>
          <w:p>
            <w:pPr>
              <w:pStyle w:val="25"/>
              <w:spacing w:before="97" w:line="183" w:lineRule="auto"/>
              <w:jc w:val="center"/>
            </w:pPr>
            <w:r>
              <w:t>3</w:t>
            </w:r>
          </w:p>
        </w:tc>
        <w:tc>
          <w:tcPr>
            <w:tcW w:w="2132" w:type="dxa"/>
            <w:vAlign w:val="center"/>
          </w:tcPr>
          <w:p>
            <w:pPr>
              <w:pStyle w:val="25"/>
              <w:spacing w:before="78" w:line="219" w:lineRule="auto"/>
              <w:ind w:left="844"/>
              <w:jc w:val="both"/>
            </w:pPr>
            <w:r>
              <w:rPr>
                <w:spacing w:val="-6"/>
              </w:rPr>
              <w:t>技术</w:t>
            </w:r>
          </w:p>
        </w:tc>
        <w:tc>
          <w:tcPr>
            <w:tcW w:w="1943" w:type="dxa"/>
            <w:vAlign w:val="center"/>
          </w:tcPr>
          <w:p>
            <w:pPr>
              <w:pStyle w:val="25"/>
              <w:spacing w:before="13" w:line="216" w:lineRule="auto"/>
              <w:ind w:right="96"/>
              <w:jc w:val="center"/>
            </w:pPr>
            <w:r>
              <w:rPr>
                <w:spacing w:val="-2"/>
              </w:rPr>
              <w:t>技术指标完全</w:t>
            </w:r>
            <w:r>
              <w:rPr>
                <w:spacing w:val="-11"/>
              </w:rPr>
              <w:t>响应</w:t>
            </w:r>
          </w:p>
        </w:tc>
        <w:tc>
          <w:tcPr>
            <w:tcW w:w="4065" w:type="dxa"/>
            <w:vAlign w:val="center"/>
          </w:tcPr>
          <w:p>
            <w:pPr>
              <w:pStyle w:val="25"/>
              <w:spacing w:before="78" w:line="219" w:lineRule="auto"/>
              <w:jc w:val="center"/>
            </w:pPr>
            <w:r>
              <w:rPr>
                <w:spacing w:val="-2"/>
              </w:rPr>
              <w:t>参照格式要求</w:t>
            </w:r>
          </w:p>
        </w:tc>
        <w:tc>
          <w:tcPr>
            <w:tcW w:w="24" w:type="dxa"/>
            <w:tcBorders>
              <w:top w:val="nil"/>
              <w:left w:val="nil"/>
              <w:bottom w:val="nil"/>
              <w:right w:val="nil"/>
            </w:tcBorders>
            <w:vAlign w:val="center"/>
          </w:tcPr>
          <w:p>
            <w:pPr>
              <w:jc w:val="cente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713" w:type="dxa"/>
            <w:vAlign w:val="center"/>
          </w:tcPr>
          <w:p>
            <w:pPr>
              <w:pStyle w:val="25"/>
              <w:spacing w:before="78" w:line="183" w:lineRule="auto"/>
              <w:jc w:val="center"/>
            </w:pPr>
            <w:r>
              <w:t>4</w:t>
            </w:r>
          </w:p>
        </w:tc>
        <w:tc>
          <w:tcPr>
            <w:tcW w:w="2132" w:type="dxa"/>
            <w:vAlign w:val="center"/>
          </w:tcPr>
          <w:p>
            <w:pPr>
              <w:pStyle w:val="25"/>
              <w:spacing w:before="78" w:line="220" w:lineRule="auto"/>
              <w:jc w:val="center"/>
            </w:pPr>
            <w:r>
              <w:rPr>
                <w:spacing w:val="-6"/>
              </w:rPr>
              <w:t>其他要求</w:t>
            </w:r>
          </w:p>
        </w:tc>
        <w:tc>
          <w:tcPr>
            <w:tcW w:w="6008" w:type="dxa"/>
            <w:gridSpan w:val="2"/>
            <w:vAlign w:val="center"/>
          </w:tcPr>
          <w:p>
            <w:pPr>
              <w:pStyle w:val="25"/>
              <w:spacing w:before="124" w:line="406" w:lineRule="exact"/>
              <w:ind w:left="155"/>
              <w:jc w:val="both"/>
            </w:pPr>
            <w:r>
              <w:rPr>
                <w:spacing w:val="-8"/>
                <w:position w:val="12"/>
              </w:rPr>
              <w:t>符合法律、行政法规规定的其他条件或征集文件列明的其</w:t>
            </w:r>
          </w:p>
          <w:p>
            <w:pPr>
              <w:pStyle w:val="25"/>
              <w:spacing w:line="207" w:lineRule="auto"/>
              <w:ind w:left="2585"/>
              <w:jc w:val="both"/>
            </w:pPr>
            <w:r>
              <w:rPr>
                <w:spacing w:val="-6"/>
              </w:rPr>
              <w:t>他要求。</w:t>
            </w:r>
          </w:p>
        </w:tc>
        <w:tc>
          <w:tcPr>
            <w:tcW w:w="24" w:type="dxa"/>
            <w:tcBorders>
              <w:top w:val="nil"/>
              <w:bottom w:val="nil"/>
              <w:right w:val="nil"/>
            </w:tcBorders>
            <w:vAlign w:val="center"/>
          </w:tcPr>
          <w:p>
            <w:pPr>
              <w:jc w:val="both"/>
              <w:rPr>
                <w:rFonts w:ascii="Arial"/>
                <w:sz w:val="21"/>
              </w:rPr>
            </w:pPr>
          </w:p>
        </w:tc>
      </w:tr>
    </w:tbl>
    <w:p>
      <w:pPr>
        <w:spacing w:before="224" w:line="219" w:lineRule="auto"/>
        <w:ind w:left="510"/>
        <w:rPr>
          <w:rFonts w:ascii="宋体" w:hAnsi="宋体" w:eastAsia="宋体" w:cs="宋体"/>
          <w:sz w:val="24"/>
          <w:szCs w:val="24"/>
        </w:rPr>
      </w:pPr>
      <w:r>
        <w:rPr>
          <w:rFonts w:ascii="宋体" w:hAnsi="宋体" w:eastAsia="宋体" w:cs="宋体"/>
          <w:spacing w:val="-1"/>
          <w:sz w:val="24"/>
          <w:szCs w:val="24"/>
        </w:rPr>
        <w:t>符合性审查指标通过标准：供应商须通过符合性审查表中的全部评审指标。</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420" w:firstLineChars="200"/>
        <w:jc w:val="both"/>
        <w:textAlignment w:val="auto"/>
        <w:rPr>
          <w:rFonts w:hint="eastAsia"/>
          <w:lang w:val="en-US" w:eastAsia="zh-CN"/>
        </w:rPr>
      </w:pPr>
      <w:r>
        <w:rPr>
          <w:rFonts w:hint="eastAsia"/>
          <w:lang w:val="en-US" w:eastAsia="zh-CN"/>
        </w:rPr>
        <w:br w:type="page"/>
      </w:r>
    </w:p>
    <w:p>
      <w:pPr>
        <w:pStyle w:val="2"/>
        <w:numPr>
          <w:ilvl w:val="0"/>
          <w:numId w:val="0"/>
        </w:numPr>
        <w:bidi w:val="0"/>
        <w:jc w:val="center"/>
        <w:rPr>
          <w:rFonts w:hint="eastAsia"/>
          <w:lang w:val="en-US" w:eastAsia="zh-CN"/>
        </w:rPr>
      </w:pPr>
      <w:bookmarkStart w:id="3" w:name="_Toc25985"/>
      <w:r>
        <w:rPr>
          <w:rFonts w:hint="eastAsia"/>
          <w:lang w:val="en-US" w:eastAsia="zh-CN"/>
        </w:rPr>
        <w:t>第四章 第一阶段入围评审办法</w:t>
      </w:r>
      <w:bookmarkEnd w:id="3"/>
    </w:p>
    <w:p>
      <w:pPr>
        <w:spacing w:before="78" w:line="220" w:lineRule="auto"/>
        <w:ind w:left="851"/>
        <w:rPr>
          <w:rFonts w:ascii="宋体" w:hAnsi="宋体" w:eastAsia="宋体" w:cs="宋体"/>
          <w:sz w:val="24"/>
          <w:szCs w:val="24"/>
        </w:rPr>
      </w:pPr>
      <w:r>
        <w:rPr>
          <w:rFonts w:ascii="宋体" w:hAnsi="宋体" w:eastAsia="宋体" w:cs="宋体"/>
          <w:spacing w:val="-4"/>
          <w:sz w:val="24"/>
          <w:szCs w:val="24"/>
        </w:rPr>
        <w:t>一、评审方法及标准</w:t>
      </w:r>
    </w:p>
    <w:p>
      <w:pPr>
        <w:spacing w:before="290" w:line="425" w:lineRule="auto"/>
        <w:ind w:left="364" w:right="344" w:firstLine="480"/>
        <w:rPr>
          <w:rFonts w:ascii="宋体" w:hAnsi="宋体" w:eastAsia="宋体" w:cs="宋体"/>
          <w:sz w:val="24"/>
          <w:szCs w:val="24"/>
        </w:rPr>
      </w:pPr>
      <w:r>
        <w:rPr>
          <w:rFonts w:ascii="宋体" w:hAnsi="宋体" w:eastAsia="宋体" w:cs="宋体"/>
          <w:spacing w:val="2"/>
          <w:sz w:val="24"/>
          <w:szCs w:val="24"/>
        </w:rPr>
        <w:t>本次采用质量优先法确定第一阶段入围供应商。质量优先法是指对满足采购需求</w:t>
      </w:r>
      <w:r>
        <w:rPr>
          <w:rFonts w:ascii="宋体" w:hAnsi="宋体" w:eastAsia="宋体" w:cs="宋体"/>
          <w:spacing w:val="7"/>
          <w:sz w:val="24"/>
          <w:szCs w:val="24"/>
        </w:rPr>
        <w:t xml:space="preserve"> </w:t>
      </w:r>
      <w:r>
        <w:rPr>
          <w:rFonts w:ascii="宋体" w:hAnsi="宋体" w:eastAsia="宋体" w:cs="宋体"/>
          <w:spacing w:val="2"/>
          <w:sz w:val="24"/>
          <w:szCs w:val="24"/>
        </w:rPr>
        <w:t>且响应报价不超过最高限制单价的货物、服务进行质量综合评分，按照质量评分从高到低排序，根据征集文件规定的淘汰率或者入围供应商数量上限，确定入围供应商的</w:t>
      </w:r>
      <w:r>
        <w:rPr>
          <w:rFonts w:ascii="宋体" w:hAnsi="宋体" w:eastAsia="宋体" w:cs="宋体"/>
          <w:spacing w:val="-5"/>
          <w:sz w:val="24"/>
          <w:szCs w:val="24"/>
        </w:rPr>
        <w:t>评审方法。</w:t>
      </w:r>
    </w:p>
    <w:p>
      <w:pPr>
        <w:spacing w:before="272" w:line="219" w:lineRule="auto"/>
        <w:ind w:left="851"/>
        <w:rPr>
          <w:rFonts w:hint="default" w:ascii="宋体" w:hAnsi="宋体" w:eastAsia="宋体" w:cs="宋体"/>
          <w:sz w:val="24"/>
          <w:szCs w:val="24"/>
          <w:lang w:val="en-US" w:eastAsia="zh-CN"/>
        </w:rPr>
      </w:pPr>
      <w:r>
        <w:rPr>
          <w:rFonts w:ascii="宋体" w:hAnsi="宋体" w:eastAsia="宋体" w:cs="宋体"/>
          <w:spacing w:val="-4"/>
          <w:sz w:val="24"/>
          <w:szCs w:val="24"/>
        </w:rPr>
        <w:t>二、入围供应商</w:t>
      </w:r>
      <w:r>
        <w:rPr>
          <w:rFonts w:hint="eastAsia" w:ascii="宋体" w:hAnsi="宋体" w:eastAsia="宋体" w:cs="宋体"/>
          <w:spacing w:val="-4"/>
          <w:sz w:val="24"/>
          <w:szCs w:val="24"/>
          <w:lang w:val="en-US" w:eastAsia="zh-CN"/>
        </w:rPr>
        <w:t>数量上限</w:t>
      </w:r>
    </w:p>
    <w:p>
      <w:pPr>
        <w:spacing w:before="290" w:line="430" w:lineRule="auto"/>
        <w:ind w:left="364" w:right="341" w:firstLine="480"/>
        <w:rPr>
          <w:rFonts w:hint="default" w:ascii="宋体" w:hAnsi="宋体" w:eastAsia="宋体" w:cs="宋体"/>
          <w:spacing w:val="4"/>
          <w:sz w:val="24"/>
          <w:szCs w:val="24"/>
          <w:lang w:val="en-US" w:eastAsia="zh-CN"/>
        </w:rPr>
      </w:pPr>
      <w:r>
        <w:rPr>
          <w:rFonts w:ascii="宋体" w:hAnsi="宋体" w:eastAsia="宋体" w:cs="宋体"/>
          <w:spacing w:val="2"/>
          <w:sz w:val="24"/>
          <w:szCs w:val="24"/>
        </w:rPr>
        <w:t>根据符合资格条件、实质性要求的供应商最终质量评分由高到低进行排序，本次</w:t>
      </w:r>
      <w:r>
        <w:rPr>
          <w:rFonts w:ascii="宋体" w:hAnsi="宋体" w:eastAsia="宋体" w:cs="宋体"/>
          <w:spacing w:val="5"/>
          <w:sz w:val="24"/>
          <w:szCs w:val="24"/>
        </w:rPr>
        <w:t>拟选取</w:t>
      </w:r>
      <w:r>
        <w:rPr>
          <w:rFonts w:hint="eastAsia" w:ascii="宋体" w:hAnsi="宋体" w:eastAsia="宋体" w:cs="宋体"/>
          <w:spacing w:val="5"/>
          <w:sz w:val="24"/>
          <w:szCs w:val="24"/>
          <w:lang w:val="en-US" w:eastAsia="zh-CN"/>
        </w:rPr>
        <w:t>3</w:t>
      </w:r>
      <w:r>
        <w:rPr>
          <w:rFonts w:ascii="宋体" w:hAnsi="宋体" w:eastAsia="宋体" w:cs="宋体"/>
          <w:spacing w:val="5"/>
          <w:sz w:val="24"/>
          <w:szCs w:val="24"/>
        </w:rPr>
        <w:t>家，淘汰率不低于20%，且至少淘汰一家供应商（向上取整，例如：8家供应</w:t>
      </w:r>
      <w:r>
        <w:rPr>
          <w:rFonts w:ascii="宋体" w:hAnsi="宋体" w:eastAsia="宋体" w:cs="宋体"/>
          <w:spacing w:val="-1"/>
          <w:sz w:val="24"/>
          <w:szCs w:val="24"/>
        </w:rPr>
        <w:t>商通过资格审查、符合性审查，按20%淘汰比例应该淘汰1.6家，向上取整后淘汰2</w:t>
      </w:r>
      <w:r>
        <w:rPr>
          <w:rFonts w:ascii="宋体" w:hAnsi="宋体" w:eastAsia="宋体" w:cs="宋体"/>
          <w:spacing w:val="5"/>
          <w:sz w:val="24"/>
          <w:szCs w:val="24"/>
        </w:rPr>
        <w:t>家）</w:t>
      </w:r>
      <w:r>
        <w:rPr>
          <w:rFonts w:ascii="宋体" w:hAnsi="宋体" w:eastAsia="宋体" w:cs="宋体"/>
          <w:spacing w:val="4"/>
          <w:sz w:val="24"/>
          <w:szCs w:val="24"/>
        </w:rPr>
        <w:t>。</w:t>
      </w:r>
      <w:r>
        <w:rPr>
          <w:rFonts w:ascii="宋体" w:hAnsi="宋体" w:eastAsia="宋体" w:cs="宋体"/>
          <w:spacing w:val="5"/>
          <w:sz w:val="24"/>
          <w:szCs w:val="24"/>
        </w:rPr>
        <w:t>除剩余入围供应商不足入围供应商总数70%且影响框架协议执行的情形外，框</w:t>
      </w:r>
      <w:r>
        <w:rPr>
          <w:rFonts w:ascii="宋体" w:hAnsi="宋体" w:eastAsia="宋体" w:cs="宋体"/>
          <w:spacing w:val="9"/>
          <w:sz w:val="24"/>
          <w:szCs w:val="24"/>
        </w:rPr>
        <w:t>架协议有效期内，征集人不得补充征集供应</w:t>
      </w:r>
      <w:r>
        <w:rPr>
          <w:rFonts w:ascii="宋体" w:hAnsi="宋体" w:eastAsia="宋体" w:cs="宋体"/>
          <w:spacing w:val="8"/>
          <w:sz w:val="24"/>
          <w:szCs w:val="24"/>
        </w:rPr>
        <w:t>商；如报名4家或5家的，至少淘汰一家</w:t>
      </w:r>
      <w:r>
        <w:rPr>
          <w:rFonts w:ascii="宋体" w:hAnsi="宋体" w:eastAsia="宋体" w:cs="宋体"/>
          <w:spacing w:val="4"/>
          <w:sz w:val="24"/>
          <w:szCs w:val="24"/>
        </w:rPr>
        <w:t>供应商；如报名3家及以下的，终止本次征集</w:t>
      </w:r>
      <w:r>
        <w:rPr>
          <w:rFonts w:hint="eastAsia" w:ascii="宋体" w:hAnsi="宋体" w:eastAsia="宋体" w:cs="宋体"/>
          <w:spacing w:val="4"/>
          <w:sz w:val="24"/>
          <w:szCs w:val="24"/>
        </w:rPr>
        <w:t>。</w:t>
      </w:r>
    </w:p>
    <w:p>
      <w:pPr>
        <w:rPr>
          <w:rFonts w:hint="eastAsia"/>
          <w:b/>
          <w:bCs/>
          <w:sz w:val="24"/>
          <w:szCs w:val="36"/>
          <w:lang w:val="en-US" w:eastAsia="zh-CN"/>
        </w:rPr>
      </w:pPr>
      <w:r>
        <w:rPr>
          <w:rFonts w:hint="eastAsia"/>
          <w:b/>
          <w:bCs/>
          <w:sz w:val="24"/>
          <w:szCs w:val="36"/>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2" w:firstLineChars="200"/>
        <w:textAlignment w:val="auto"/>
        <w:rPr>
          <w:rFonts w:hint="default"/>
          <w:b/>
          <w:bCs/>
          <w:sz w:val="24"/>
          <w:szCs w:val="36"/>
          <w:lang w:val="en-US" w:eastAsia="zh-CN"/>
        </w:rPr>
      </w:pPr>
      <w:r>
        <w:rPr>
          <w:rFonts w:hint="eastAsia"/>
          <w:b/>
          <w:bCs/>
          <w:sz w:val="24"/>
          <w:szCs w:val="36"/>
          <w:lang w:val="en-US" w:eastAsia="zh-CN"/>
        </w:rPr>
        <w:t>三、评审细则</w:t>
      </w:r>
    </w:p>
    <w:tbl>
      <w:tblPr>
        <w:tblStyle w:val="18"/>
        <w:tblW w:w="9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1" w:type="dxa"/>
          <w:bottom w:w="0" w:type="dxa"/>
          <w:right w:w="51" w:type="dxa"/>
        </w:tblCellMar>
      </w:tblPr>
      <w:tblGrid>
        <w:gridCol w:w="719"/>
        <w:gridCol w:w="1126"/>
        <w:gridCol w:w="6682"/>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55" w:hRule="atLeast"/>
          <w:tblHeader/>
          <w:jc w:val="center"/>
        </w:trPr>
        <w:tc>
          <w:tcPr>
            <w:tcW w:w="719" w:type="dxa"/>
            <w:noWrap/>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right="0" w:firstLine="0"/>
              <w:jc w:val="center"/>
              <w:textAlignment w:val="auto"/>
              <w:rPr>
                <w:rFonts w:hint="eastAsia" w:ascii="宋体" w:hAnsi="宋体" w:eastAsia="宋体" w:cs="宋体"/>
                <w:b/>
                <w:bCs w:val="0"/>
                <w:snapToGrid w:val="0"/>
                <w:spacing w:val="0"/>
                <w:w w:val="100"/>
                <w:kern w:val="0"/>
                <w:sz w:val="24"/>
                <w:szCs w:val="24"/>
              </w:rPr>
            </w:pPr>
            <w:r>
              <w:rPr>
                <w:rFonts w:hint="eastAsia" w:ascii="宋体" w:hAnsi="宋体" w:eastAsia="宋体" w:cs="宋体"/>
                <w:b/>
                <w:bCs w:val="0"/>
                <w:snapToGrid w:val="0"/>
                <w:spacing w:val="0"/>
                <w:w w:val="100"/>
                <w:kern w:val="0"/>
                <w:sz w:val="24"/>
                <w:szCs w:val="24"/>
              </w:rPr>
              <w:t>序号</w:t>
            </w:r>
          </w:p>
        </w:tc>
        <w:tc>
          <w:tcPr>
            <w:tcW w:w="1126" w:type="dxa"/>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right="0" w:firstLine="0"/>
              <w:jc w:val="center"/>
              <w:textAlignment w:val="auto"/>
              <w:rPr>
                <w:rFonts w:hint="eastAsia" w:ascii="宋体" w:hAnsi="宋体" w:eastAsia="宋体" w:cs="宋体"/>
                <w:b/>
                <w:bCs w:val="0"/>
                <w:snapToGrid w:val="0"/>
                <w:spacing w:val="0"/>
                <w:w w:val="100"/>
                <w:kern w:val="0"/>
                <w:sz w:val="24"/>
                <w:szCs w:val="24"/>
              </w:rPr>
            </w:pPr>
            <w:r>
              <w:rPr>
                <w:rFonts w:hint="eastAsia" w:ascii="宋体" w:hAnsi="宋体" w:eastAsia="宋体" w:cs="宋体"/>
                <w:b/>
                <w:bCs w:val="0"/>
                <w:snapToGrid w:val="0"/>
                <w:spacing w:val="0"/>
                <w:w w:val="100"/>
                <w:kern w:val="0"/>
                <w:sz w:val="24"/>
                <w:szCs w:val="24"/>
              </w:rPr>
              <w:t>评分项目</w:t>
            </w:r>
          </w:p>
        </w:tc>
        <w:tc>
          <w:tcPr>
            <w:tcW w:w="6682" w:type="dxa"/>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rPr>
                <w:rFonts w:hint="eastAsia" w:ascii="宋体" w:hAnsi="宋体" w:eastAsia="宋体" w:cs="宋体"/>
                <w:b/>
                <w:bCs w:val="0"/>
                <w:snapToGrid w:val="0"/>
                <w:spacing w:val="0"/>
                <w:w w:val="100"/>
                <w:kern w:val="0"/>
                <w:sz w:val="24"/>
                <w:szCs w:val="24"/>
              </w:rPr>
            </w:pPr>
            <w:r>
              <w:rPr>
                <w:rFonts w:hint="eastAsia" w:ascii="宋体" w:hAnsi="宋体" w:eastAsia="宋体" w:cs="宋体"/>
                <w:b/>
                <w:bCs w:val="0"/>
                <w:snapToGrid w:val="0"/>
                <w:spacing w:val="0"/>
                <w:w w:val="100"/>
                <w:kern w:val="0"/>
                <w:sz w:val="24"/>
                <w:szCs w:val="24"/>
              </w:rPr>
              <w:t>评分标准</w:t>
            </w:r>
          </w:p>
        </w:tc>
        <w:tc>
          <w:tcPr>
            <w:tcW w:w="879" w:type="dxa"/>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rPr>
                <w:rFonts w:hint="eastAsia" w:ascii="宋体" w:hAnsi="宋体" w:eastAsia="宋体" w:cs="宋体"/>
                <w:b/>
                <w:bCs w:val="0"/>
                <w:snapToGrid w:val="0"/>
                <w:spacing w:val="0"/>
                <w:w w:val="100"/>
                <w:kern w:val="0"/>
                <w:sz w:val="24"/>
                <w:szCs w:val="24"/>
              </w:rPr>
            </w:pPr>
            <w:r>
              <w:rPr>
                <w:rFonts w:hint="eastAsia" w:ascii="宋体" w:hAnsi="宋体" w:eastAsia="宋体" w:cs="宋体"/>
                <w:b/>
                <w:bCs w:val="0"/>
                <w:snapToGrid w:val="0"/>
                <w:spacing w:val="0"/>
                <w:w w:val="100"/>
                <w:kern w:val="0"/>
                <w:sz w:val="24"/>
                <w:szCs w:val="24"/>
              </w:rPr>
              <w:t>分值</w:t>
            </w:r>
          </w:p>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rPr>
                <w:rFonts w:hint="eastAsia" w:ascii="宋体" w:hAnsi="宋体" w:eastAsia="宋体" w:cs="宋体"/>
                <w:b/>
                <w:bCs w:val="0"/>
                <w:snapToGrid w:val="0"/>
                <w:spacing w:val="0"/>
                <w:w w:val="100"/>
                <w:kern w:val="0"/>
                <w:sz w:val="24"/>
                <w:szCs w:val="24"/>
              </w:rPr>
            </w:pPr>
            <w:r>
              <w:rPr>
                <w:rFonts w:hint="eastAsia" w:ascii="宋体" w:hAnsi="宋体" w:eastAsia="宋体" w:cs="宋体"/>
                <w:b/>
                <w:bCs w:val="0"/>
                <w:snapToGrid w:val="0"/>
                <w:spacing w:val="0"/>
                <w:w w:val="100"/>
                <w:kern w:val="0"/>
                <w:sz w:val="24"/>
                <w:szCs w:val="24"/>
              </w:rPr>
              <w:t>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90" w:hRule="atLeast"/>
          <w:jc w:val="center"/>
        </w:trPr>
        <w:tc>
          <w:tcPr>
            <w:tcW w:w="719" w:type="dxa"/>
            <w:noWrap/>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right="0" w:firstLine="0"/>
              <w:jc w:val="center"/>
              <w:textAlignment w:val="auto"/>
              <w:rPr>
                <w:rFonts w:hint="eastAsia" w:ascii="宋体" w:hAnsi="宋体" w:eastAsia="宋体" w:cs="宋体"/>
                <w:b w:val="0"/>
                <w:bCs/>
                <w:snapToGrid w:val="0"/>
                <w:spacing w:val="0"/>
                <w:w w:val="100"/>
                <w:kern w:val="0"/>
                <w:sz w:val="24"/>
                <w:szCs w:val="24"/>
              </w:rPr>
            </w:pPr>
            <w:r>
              <w:rPr>
                <w:rFonts w:hint="eastAsia" w:ascii="宋体" w:hAnsi="宋体" w:eastAsia="宋体" w:cs="宋体"/>
                <w:b w:val="0"/>
                <w:bCs/>
                <w:snapToGrid w:val="0"/>
                <w:spacing w:val="0"/>
                <w:w w:val="100"/>
                <w:kern w:val="0"/>
                <w:sz w:val="24"/>
                <w:szCs w:val="24"/>
              </w:rPr>
              <w:t>1</w:t>
            </w:r>
          </w:p>
        </w:tc>
        <w:tc>
          <w:tcPr>
            <w:tcW w:w="1126" w:type="dxa"/>
            <w:noWrap w:val="0"/>
            <w:vAlign w:val="center"/>
          </w:tcPr>
          <w:p>
            <w:pPr>
              <w:pStyle w:val="25"/>
              <w:spacing w:before="78" w:line="220" w:lineRule="auto"/>
              <w:jc w:val="both"/>
              <w:rPr>
                <w:rFonts w:hint="default" w:ascii="宋体" w:hAnsi="宋体" w:eastAsia="宋体" w:cs="宋体"/>
                <w:b w:val="0"/>
                <w:bCs/>
                <w:snapToGrid w:val="0"/>
                <w:color w:val="auto"/>
                <w:spacing w:val="0"/>
                <w:w w:val="100"/>
                <w:sz w:val="24"/>
                <w:szCs w:val="24"/>
                <w:lang w:val="en" w:eastAsia="zh-CN"/>
              </w:rPr>
            </w:pPr>
            <w:r>
              <w:rPr>
                <w:spacing w:val="6"/>
              </w:rPr>
              <w:t>维修设备</w:t>
            </w:r>
          </w:p>
        </w:tc>
        <w:tc>
          <w:tcPr>
            <w:tcW w:w="6682" w:type="dxa"/>
            <w:noWrap w:val="0"/>
            <w:vAlign w:val="top"/>
          </w:tcPr>
          <w:p>
            <w:pPr>
              <w:pStyle w:val="24"/>
              <w:keepNext w:val="0"/>
              <w:keepLines w:val="0"/>
              <w:pageBreakBefore w:val="0"/>
              <w:numPr>
                <w:ilvl w:val="0"/>
                <w:numId w:val="1"/>
              </w:numPr>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供应商提供施救车的，每提供一辆得2分，最高得4分；</w:t>
            </w:r>
          </w:p>
          <w:p>
            <w:pPr>
              <w:pStyle w:val="24"/>
              <w:keepNext w:val="0"/>
              <w:keepLines w:val="0"/>
              <w:pageBreakBefore w:val="0"/>
              <w:numPr>
                <w:ilvl w:val="0"/>
                <w:numId w:val="0"/>
              </w:numPr>
              <w:kinsoku/>
              <w:wordWrap/>
              <w:overflowPunct/>
              <w:topLinePunct w:val="0"/>
              <w:autoSpaceDE/>
              <w:autoSpaceDN/>
              <w:bidi w:val="0"/>
              <w:spacing w:line="400" w:lineRule="exact"/>
              <w:ind w:leftChars="0" w:right="0" w:rightChars="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注：响应文件中提供</w:t>
            </w:r>
            <w:r>
              <w:rPr>
                <w:rFonts w:hint="eastAsia" w:cs="宋体"/>
                <w:spacing w:val="0"/>
                <w:w w:val="100"/>
                <w:sz w:val="24"/>
                <w:szCs w:val="24"/>
                <w:lang w:val="en-US" w:eastAsia="zh-CN"/>
              </w:rPr>
              <w:t>施救车的自有或租赁的证明材料</w:t>
            </w:r>
            <w:r>
              <w:rPr>
                <w:rFonts w:hint="eastAsia" w:ascii="宋体" w:hAnsi="宋体" w:eastAsia="宋体" w:cs="宋体"/>
                <w:spacing w:val="0"/>
                <w:w w:val="100"/>
                <w:sz w:val="24"/>
                <w:szCs w:val="24"/>
              </w:rPr>
              <w:t>并加盖供应商公章，</w:t>
            </w:r>
            <w:r>
              <w:rPr>
                <w:rFonts w:hint="eastAsia" w:cs="宋体"/>
                <w:spacing w:val="0"/>
                <w:w w:val="100"/>
                <w:sz w:val="24"/>
                <w:szCs w:val="24"/>
                <w:lang w:val="en-US" w:eastAsia="zh-CN"/>
              </w:rPr>
              <w:t>不提供不得分。</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2、供应商提供举升设备</w:t>
            </w:r>
            <w:r>
              <w:rPr>
                <w:rFonts w:hint="eastAsia" w:ascii="宋体" w:hAnsi="宋体" w:eastAsia="宋体" w:cs="宋体"/>
                <w:spacing w:val="0"/>
                <w:w w:val="100"/>
                <w:sz w:val="24"/>
                <w:szCs w:val="24"/>
                <w:lang w:val="en-US" w:eastAsia="zh-CN"/>
              </w:rPr>
              <w:t>5</w:t>
            </w:r>
            <w:r>
              <w:rPr>
                <w:rFonts w:hint="eastAsia" w:ascii="宋体" w:hAnsi="宋体" w:eastAsia="宋体" w:cs="宋体"/>
                <w:spacing w:val="0"/>
                <w:w w:val="100"/>
                <w:sz w:val="24"/>
                <w:szCs w:val="24"/>
              </w:rPr>
              <w:t>台及以上的得6分</w:t>
            </w:r>
            <w:r>
              <w:rPr>
                <w:rFonts w:hint="eastAsia" w:cs="宋体"/>
                <w:spacing w:val="0"/>
                <w:w w:val="100"/>
                <w:sz w:val="24"/>
                <w:szCs w:val="24"/>
                <w:lang w:eastAsia="zh-CN"/>
              </w:rPr>
              <w:t>，</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(含) -</w:t>
            </w:r>
            <w:r>
              <w:rPr>
                <w:rFonts w:hint="eastAsia" w:ascii="宋体" w:hAnsi="宋体" w:eastAsia="宋体" w:cs="宋体"/>
                <w:spacing w:val="0"/>
                <w:w w:val="100"/>
                <w:sz w:val="24"/>
                <w:szCs w:val="24"/>
                <w:lang w:val="en-US" w:eastAsia="zh-CN"/>
              </w:rPr>
              <w:t>5</w:t>
            </w:r>
            <w:r>
              <w:rPr>
                <w:rFonts w:hint="eastAsia" w:ascii="宋体" w:hAnsi="宋体" w:eastAsia="宋体" w:cs="宋体"/>
                <w:spacing w:val="0"/>
                <w:w w:val="100"/>
                <w:sz w:val="24"/>
                <w:szCs w:val="24"/>
              </w:rPr>
              <w:t>台的得3分，</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台以下不得分；</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注：响应文件中提供相应设备清单并加盖供应商公章，</w:t>
            </w:r>
            <w:r>
              <w:rPr>
                <w:rFonts w:hint="eastAsia" w:cs="宋体"/>
                <w:spacing w:val="0"/>
                <w:w w:val="100"/>
                <w:sz w:val="24"/>
                <w:szCs w:val="24"/>
                <w:lang w:val="en-US" w:eastAsia="zh-CN"/>
              </w:rPr>
              <w:t>不提供不得分。</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3、供应商每提供下列一种设备的得3分，满分15分。①四轮定位仪②烤漆房③车架(身)校正台④尾气分析仪⑤洗车设备</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eastAsia="宋体"/>
                <w:color w:val="auto"/>
                <w:sz w:val="24"/>
                <w:lang w:val="en" w:eastAsia="zh-CN"/>
              </w:rPr>
            </w:pPr>
            <w:r>
              <w:rPr>
                <w:rFonts w:hint="eastAsia" w:ascii="宋体" w:hAnsi="宋体" w:eastAsia="宋体" w:cs="宋体"/>
                <w:spacing w:val="0"/>
                <w:w w:val="100"/>
                <w:sz w:val="24"/>
                <w:szCs w:val="24"/>
              </w:rPr>
              <w:t>注：响应文件中提供相应设备清单并加盖供应商公章，</w:t>
            </w:r>
            <w:r>
              <w:rPr>
                <w:rFonts w:hint="eastAsia" w:cs="宋体"/>
                <w:spacing w:val="0"/>
                <w:w w:val="100"/>
                <w:sz w:val="24"/>
                <w:szCs w:val="24"/>
                <w:lang w:val="en-US" w:eastAsia="zh-CN"/>
              </w:rPr>
              <w:t>不提供不得分。</w:t>
            </w:r>
          </w:p>
        </w:tc>
        <w:tc>
          <w:tcPr>
            <w:tcW w:w="879" w:type="dxa"/>
            <w:noWrap w:val="0"/>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pStyle w:val="25"/>
              <w:spacing w:before="78" w:line="181" w:lineRule="auto"/>
              <w:ind w:left="119" w:leftChars="0"/>
              <w:rPr>
                <w:rFonts w:hint="default" w:ascii="宋体" w:hAnsi="宋体" w:eastAsia="宋体" w:cs="宋体"/>
                <w:b w:val="0"/>
                <w:bCs/>
                <w:snapToGrid w:val="0"/>
                <w:color w:val="auto"/>
                <w:spacing w:val="0"/>
                <w:w w:val="100"/>
                <w:sz w:val="24"/>
                <w:szCs w:val="24"/>
                <w:lang w:val="en-US"/>
              </w:rPr>
            </w:pPr>
            <w:r>
              <w:rPr>
                <w:spacing w:val="-3"/>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1813" w:hRule="atLeast"/>
          <w:jc w:val="center"/>
        </w:trPr>
        <w:tc>
          <w:tcPr>
            <w:tcW w:w="719" w:type="dxa"/>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right="0" w:firstLine="0"/>
              <w:jc w:val="center"/>
              <w:textAlignment w:val="auto"/>
              <w:rPr>
                <w:rFonts w:hint="eastAsia" w:ascii="宋体" w:hAnsi="宋体" w:eastAsia="宋体" w:cs="宋体"/>
                <w:b w:val="0"/>
                <w:bCs/>
                <w:snapToGrid w:val="0"/>
                <w:spacing w:val="0"/>
                <w:w w:val="100"/>
                <w:kern w:val="0"/>
                <w:sz w:val="24"/>
                <w:szCs w:val="24"/>
              </w:rPr>
            </w:pPr>
            <w:r>
              <w:rPr>
                <w:rFonts w:hint="eastAsia" w:ascii="宋体" w:hAnsi="宋体" w:eastAsia="宋体" w:cs="宋体"/>
                <w:b w:val="0"/>
                <w:bCs/>
                <w:snapToGrid w:val="0"/>
                <w:spacing w:val="0"/>
                <w:w w:val="100"/>
                <w:kern w:val="0"/>
                <w:sz w:val="24"/>
                <w:szCs w:val="24"/>
              </w:rPr>
              <w:t>2</w:t>
            </w:r>
          </w:p>
        </w:tc>
        <w:tc>
          <w:tcPr>
            <w:tcW w:w="1126" w:type="dxa"/>
            <w:noWrap w:val="0"/>
            <w:vAlign w:val="top"/>
          </w:tcPr>
          <w:p>
            <w:pPr>
              <w:pStyle w:val="25"/>
              <w:spacing w:before="78" w:line="220" w:lineRule="auto"/>
              <w:jc w:val="both"/>
              <w:rPr>
                <w:spacing w:val="6"/>
              </w:rPr>
            </w:pPr>
          </w:p>
          <w:p>
            <w:pPr>
              <w:pStyle w:val="25"/>
              <w:spacing w:before="78" w:line="220" w:lineRule="auto"/>
              <w:jc w:val="both"/>
              <w:rPr>
                <w:spacing w:val="6"/>
              </w:rPr>
            </w:pPr>
          </w:p>
          <w:p>
            <w:pPr>
              <w:pStyle w:val="25"/>
              <w:spacing w:before="78" w:line="220" w:lineRule="auto"/>
              <w:ind w:firstLine="252" w:firstLineChars="100"/>
              <w:jc w:val="both"/>
              <w:rPr>
                <w:rFonts w:hint="eastAsia"/>
                <w:spacing w:val="6"/>
                <w:lang w:eastAsia="zh-CN"/>
              </w:rPr>
            </w:pPr>
            <w:r>
              <w:rPr>
                <w:rFonts w:hint="eastAsia"/>
                <w:spacing w:val="6"/>
                <w:lang w:val="en-US" w:eastAsia="zh-CN"/>
              </w:rPr>
              <w:t>业绩</w:t>
            </w:r>
          </w:p>
        </w:tc>
        <w:tc>
          <w:tcPr>
            <w:tcW w:w="6682" w:type="dxa"/>
            <w:noWrap w:val="0"/>
            <w:vAlign w:val="top"/>
          </w:tcPr>
          <w:p>
            <w:pPr>
              <w:pStyle w:val="25"/>
              <w:spacing w:before="78" w:line="220" w:lineRule="auto"/>
              <w:jc w:val="both"/>
              <w:rPr>
                <w:rFonts w:hint="eastAsia"/>
                <w:spacing w:val="6"/>
              </w:rPr>
            </w:pPr>
          </w:p>
          <w:p>
            <w:pPr>
              <w:pStyle w:val="25"/>
              <w:spacing w:before="78" w:line="220" w:lineRule="auto"/>
              <w:jc w:val="both"/>
              <w:rPr>
                <w:rFonts w:hint="eastAsia"/>
                <w:spacing w:val="6"/>
              </w:rPr>
            </w:pPr>
            <w:r>
              <w:rPr>
                <w:rFonts w:hint="eastAsia"/>
                <w:spacing w:val="6"/>
              </w:rPr>
              <w:t>供应商提供类似业绩，提供</w:t>
            </w:r>
            <w:r>
              <w:rPr>
                <w:rFonts w:hint="eastAsia"/>
                <w:spacing w:val="6"/>
                <w:lang w:val="en-US" w:eastAsia="zh-CN"/>
              </w:rPr>
              <w:t>1个类似业绩</w:t>
            </w:r>
            <w:r>
              <w:rPr>
                <w:rFonts w:hint="eastAsia"/>
                <w:spacing w:val="6"/>
              </w:rPr>
              <w:t>得</w:t>
            </w:r>
            <w:r>
              <w:rPr>
                <w:rFonts w:hint="eastAsia"/>
                <w:spacing w:val="6"/>
                <w:lang w:val="en-US" w:eastAsia="zh-CN"/>
              </w:rPr>
              <w:t>7</w:t>
            </w:r>
            <w:r>
              <w:rPr>
                <w:rFonts w:hint="eastAsia"/>
                <w:spacing w:val="6"/>
              </w:rPr>
              <w:t>分，满分</w:t>
            </w:r>
            <w:r>
              <w:rPr>
                <w:rFonts w:hint="eastAsia"/>
                <w:spacing w:val="6"/>
                <w:lang w:val="en-US" w:eastAsia="zh-CN"/>
              </w:rPr>
              <w:t>21</w:t>
            </w:r>
            <w:r>
              <w:rPr>
                <w:rFonts w:hint="eastAsia"/>
                <w:spacing w:val="6"/>
              </w:rPr>
              <w:t xml:space="preserve"> 分；</w:t>
            </w:r>
          </w:p>
          <w:p>
            <w:pPr>
              <w:pStyle w:val="25"/>
              <w:spacing w:before="78" w:line="220" w:lineRule="auto"/>
              <w:jc w:val="both"/>
              <w:rPr>
                <w:rFonts w:hint="eastAsia"/>
                <w:spacing w:val="6"/>
              </w:rPr>
            </w:pPr>
            <w:r>
              <w:rPr>
                <w:rFonts w:hint="eastAsia"/>
                <w:spacing w:val="6"/>
              </w:rPr>
              <w:t>注：响应文件中须提供合同、</w:t>
            </w:r>
            <w:r>
              <w:rPr>
                <w:rFonts w:hint="eastAsia"/>
                <w:spacing w:val="6"/>
                <w:lang w:val="en-US" w:eastAsia="zh-CN"/>
              </w:rPr>
              <w:t>成交通知书</w:t>
            </w:r>
            <w:r>
              <w:rPr>
                <w:rFonts w:hint="eastAsia"/>
                <w:spacing w:val="6"/>
              </w:rPr>
              <w:t>扫描件</w:t>
            </w:r>
            <w:r>
              <w:rPr>
                <w:rFonts w:hint="eastAsia" w:ascii="宋体" w:hAnsi="宋体" w:eastAsia="宋体" w:cs="宋体"/>
                <w:spacing w:val="0"/>
                <w:w w:val="100"/>
                <w:sz w:val="24"/>
                <w:szCs w:val="24"/>
              </w:rPr>
              <w:t>并加盖供应商公章</w:t>
            </w:r>
            <w:r>
              <w:rPr>
                <w:rFonts w:hint="eastAsia"/>
                <w:spacing w:val="6"/>
                <w:lang w:eastAsia="zh-CN"/>
              </w:rPr>
              <w:t>，</w:t>
            </w:r>
            <w:r>
              <w:rPr>
                <w:rFonts w:hint="eastAsia"/>
                <w:spacing w:val="6"/>
                <w:lang w:val="en-US" w:eastAsia="zh-CN"/>
              </w:rPr>
              <w:t>未提供不得分</w:t>
            </w:r>
            <w:r>
              <w:rPr>
                <w:rFonts w:hint="eastAsia"/>
                <w:spacing w:val="6"/>
              </w:rPr>
              <w:t>。</w:t>
            </w:r>
          </w:p>
        </w:tc>
        <w:tc>
          <w:tcPr>
            <w:tcW w:w="879" w:type="dxa"/>
            <w:noWrap w:val="0"/>
            <w:vAlign w:val="top"/>
          </w:tcPr>
          <w:p>
            <w:pPr>
              <w:pStyle w:val="25"/>
              <w:spacing w:before="78" w:line="220" w:lineRule="auto"/>
              <w:jc w:val="both"/>
              <w:rPr>
                <w:spacing w:val="6"/>
              </w:rPr>
            </w:pPr>
          </w:p>
          <w:p>
            <w:pPr>
              <w:pStyle w:val="25"/>
              <w:spacing w:before="78" w:line="220" w:lineRule="auto"/>
              <w:jc w:val="both"/>
              <w:rPr>
                <w:spacing w:val="6"/>
              </w:rPr>
            </w:pPr>
          </w:p>
          <w:p>
            <w:pPr>
              <w:pStyle w:val="25"/>
              <w:spacing w:before="78" w:line="220" w:lineRule="auto"/>
              <w:jc w:val="center"/>
              <w:rPr>
                <w:rFonts w:hint="default" w:eastAsia="宋体"/>
                <w:spacing w:val="6"/>
                <w:lang w:val="en-US" w:eastAsia="zh-CN"/>
              </w:rPr>
            </w:pPr>
            <w:r>
              <w:rPr>
                <w:spacing w:val="6"/>
              </w:rPr>
              <w:t>0-</w:t>
            </w:r>
            <w:r>
              <w:rPr>
                <w:rFonts w:hint="eastAsia"/>
                <w:spacing w:val="6"/>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1813" w:hRule="atLeast"/>
          <w:jc w:val="center"/>
        </w:trPr>
        <w:tc>
          <w:tcPr>
            <w:tcW w:w="719" w:type="dxa"/>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right="0" w:firstLine="0"/>
              <w:jc w:val="center"/>
              <w:textAlignment w:val="auto"/>
              <w:rPr>
                <w:rFonts w:hint="eastAsia" w:ascii="宋体" w:hAnsi="宋体" w:eastAsia="宋体" w:cs="宋体"/>
                <w:b w:val="0"/>
                <w:bCs/>
                <w:snapToGrid w:val="0"/>
                <w:spacing w:val="0"/>
                <w:w w:val="100"/>
                <w:kern w:val="0"/>
                <w:sz w:val="24"/>
                <w:szCs w:val="24"/>
                <w:lang w:val="en-US" w:eastAsia="zh-CN"/>
              </w:rPr>
            </w:pPr>
            <w:r>
              <w:rPr>
                <w:rFonts w:hint="eastAsia" w:ascii="宋体" w:hAnsi="宋体" w:eastAsia="宋体" w:cs="宋体"/>
                <w:b w:val="0"/>
                <w:bCs/>
                <w:snapToGrid w:val="0"/>
                <w:spacing w:val="0"/>
                <w:w w:val="100"/>
                <w:kern w:val="0"/>
                <w:sz w:val="24"/>
                <w:szCs w:val="24"/>
                <w:lang w:val="en-US" w:eastAsia="zh-CN"/>
              </w:rPr>
              <w:t>3</w:t>
            </w:r>
          </w:p>
        </w:tc>
        <w:tc>
          <w:tcPr>
            <w:tcW w:w="1126" w:type="dxa"/>
            <w:noWrap w:val="0"/>
            <w:vAlign w:val="top"/>
          </w:tcPr>
          <w:p>
            <w:pPr>
              <w:pStyle w:val="25"/>
              <w:spacing w:before="78" w:line="220" w:lineRule="auto"/>
              <w:ind w:firstLine="252" w:firstLineChars="100"/>
              <w:jc w:val="both"/>
              <w:rPr>
                <w:rFonts w:hint="eastAsia"/>
                <w:spacing w:val="6"/>
                <w:lang w:val="en-US" w:eastAsia="zh-CN"/>
              </w:rPr>
            </w:pPr>
          </w:p>
          <w:p>
            <w:pPr>
              <w:pStyle w:val="25"/>
              <w:spacing w:before="78" w:line="220" w:lineRule="auto"/>
              <w:jc w:val="both"/>
              <w:rPr>
                <w:rFonts w:hint="eastAsia"/>
                <w:spacing w:val="6"/>
                <w:lang w:val="en-US" w:eastAsia="zh-CN"/>
              </w:rPr>
            </w:pPr>
          </w:p>
          <w:p>
            <w:pPr>
              <w:pStyle w:val="25"/>
              <w:spacing w:before="78" w:line="220" w:lineRule="auto"/>
              <w:jc w:val="both"/>
              <w:rPr>
                <w:rFonts w:hint="default"/>
                <w:spacing w:val="6"/>
                <w:lang w:val="en-US" w:eastAsia="zh-CN"/>
              </w:rPr>
            </w:pPr>
            <w:r>
              <w:rPr>
                <w:rFonts w:hint="eastAsia"/>
                <w:spacing w:val="6"/>
                <w:lang w:val="en-US" w:eastAsia="zh-CN"/>
              </w:rPr>
              <w:t>人员配备</w:t>
            </w:r>
          </w:p>
        </w:tc>
        <w:tc>
          <w:tcPr>
            <w:tcW w:w="6682" w:type="dxa"/>
            <w:noWrap w:val="0"/>
            <w:vAlign w:val="top"/>
          </w:tcPr>
          <w:p>
            <w:pPr>
              <w:pStyle w:val="25"/>
              <w:spacing w:before="78" w:line="220" w:lineRule="auto"/>
              <w:jc w:val="both"/>
              <w:rPr>
                <w:rFonts w:hint="eastAsia"/>
                <w:spacing w:val="6"/>
              </w:rPr>
            </w:pPr>
            <w:r>
              <w:rPr>
                <w:rFonts w:hint="eastAsia"/>
                <w:spacing w:val="6"/>
              </w:rPr>
              <w:t>拟派本项目人员中，具有初级汽车维修类职业技能等级证书，每提供1名得1分；具有中级及以上汽车维修类职业技能等级证书，每提供1名得2分；满分10分；</w:t>
            </w:r>
          </w:p>
          <w:p>
            <w:pPr>
              <w:pStyle w:val="25"/>
              <w:spacing w:before="78" w:line="220" w:lineRule="auto"/>
              <w:jc w:val="both"/>
              <w:rPr>
                <w:rFonts w:hint="eastAsia" w:eastAsia="宋体"/>
                <w:spacing w:val="6"/>
                <w:lang w:val="en-US" w:eastAsia="zh-CN"/>
              </w:rPr>
            </w:pPr>
            <w:r>
              <w:rPr>
                <w:rFonts w:hint="eastAsia"/>
                <w:spacing w:val="6"/>
                <w:lang w:val="en-US" w:eastAsia="zh-CN"/>
              </w:rPr>
              <w:t>注：响应文件中提供人员证书扫描件</w:t>
            </w:r>
            <w:r>
              <w:rPr>
                <w:rFonts w:hint="eastAsia" w:ascii="宋体" w:hAnsi="宋体" w:eastAsia="宋体" w:cs="宋体"/>
                <w:spacing w:val="0"/>
                <w:w w:val="100"/>
                <w:sz w:val="24"/>
                <w:szCs w:val="24"/>
              </w:rPr>
              <w:t>并加盖供应商公章</w:t>
            </w:r>
            <w:r>
              <w:rPr>
                <w:rFonts w:hint="eastAsia" w:cs="宋体"/>
                <w:spacing w:val="0"/>
                <w:w w:val="100"/>
                <w:sz w:val="24"/>
                <w:szCs w:val="24"/>
                <w:lang w:eastAsia="zh-CN"/>
              </w:rPr>
              <w:t>，未提供不得分。</w:t>
            </w:r>
          </w:p>
        </w:tc>
        <w:tc>
          <w:tcPr>
            <w:tcW w:w="879" w:type="dxa"/>
            <w:noWrap w:val="0"/>
            <w:vAlign w:val="top"/>
          </w:tcPr>
          <w:p>
            <w:pPr>
              <w:pStyle w:val="25"/>
              <w:spacing w:before="78" w:line="220" w:lineRule="auto"/>
              <w:jc w:val="center"/>
              <w:rPr>
                <w:spacing w:val="6"/>
              </w:rPr>
            </w:pPr>
          </w:p>
          <w:p>
            <w:pPr>
              <w:pStyle w:val="25"/>
              <w:spacing w:before="78" w:line="220" w:lineRule="auto"/>
              <w:jc w:val="center"/>
              <w:rPr>
                <w:spacing w:val="6"/>
              </w:rPr>
            </w:pPr>
          </w:p>
          <w:p>
            <w:pPr>
              <w:pStyle w:val="25"/>
              <w:spacing w:before="78" w:line="220" w:lineRule="auto"/>
              <w:jc w:val="center"/>
              <w:rPr>
                <w:rFonts w:hint="default" w:eastAsia="宋体"/>
                <w:spacing w:val="6"/>
                <w:lang w:val="en-US" w:eastAsia="zh-CN"/>
              </w:rPr>
            </w:pPr>
            <w:r>
              <w:rPr>
                <w:rFonts w:hint="eastAsia"/>
                <w:spacing w:val="6"/>
                <w:lang w:val="en-US"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1727" w:hRule="atLeast"/>
          <w:jc w:val="center"/>
        </w:trPr>
        <w:tc>
          <w:tcPr>
            <w:tcW w:w="719" w:type="dxa"/>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right="0" w:firstLine="0"/>
              <w:jc w:val="center"/>
              <w:textAlignment w:val="auto"/>
              <w:rPr>
                <w:rFonts w:hint="eastAsia" w:ascii="宋体" w:hAnsi="宋体" w:eastAsia="宋体" w:cs="宋体"/>
                <w:b w:val="0"/>
                <w:bCs/>
                <w:snapToGrid w:val="0"/>
                <w:spacing w:val="0"/>
                <w:w w:val="100"/>
                <w:kern w:val="0"/>
                <w:sz w:val="24"/>
                <w:szCs w:val="24"/>
                <w:lang w:eastAsia="zh-CN"/>
              </w:rPr>
            </w:pPr>
            <w:r>
              <w:rPr>
                <w:rFonts w:hint="eastAsia" w:ascii="宋体" w:hAnsi="宋体" w:eastAsia="宋体" w:cs="宋体"/>
                <w:b w:val="0"/>
                <w:bCs/>
                <w:snapToGrid w:val="0"/>
                <w:spacing w:val="0"/>
                <w:w w:val="100"/>
                <w:kern w:val="0"/>
                <w:sz w:val="24"/>
                <w:szCs w:val="24"/>
                <w:lang w:val="en-US" w:eastAsia="zh-CN"/>
              </w:rPr>
              <w:t>4</w:t>
            </w:r>
          </w:p>
        </w:tc>
        <w:tc>
          <w:tcPr>
            <w:tcW w:w="1126" w:type="dxa"/>
            <w:noWrap w:val="0"/>
            <w:vAlign w:val="top"/>
          </w:tcPr>
          <w:p>
            <w:pPr>
              <w:spacing w:line="312" w:lineRule="auto"/>
              <w:rPr>
                <w:rFonts w:ascii="Arial"/>
                <w:sz w:val="21"/>
              </w:rPr>
            </w:pPr>
          </w:p>
          <w:p>
            <w:pPr>
              <w:spacing w:line="312" w:lineRule="auto"/>
              <w:rPr>
                <w:rFonts w:ascii="Arial"/>
                <w:sz w:val="21"/>
              </w:rPr>
            </w:pPr>
          </w:p>
          <w:p>
            <w:pPr>
              <w:spacing w:line="312" w:lineRule="auto"/>
              <w:rPr>
                <w:rFonts w:ascii="Arial"/>
                <w:sz w:val="21"/>
              </w:rPr>
            </w:pPr>
          </w:p>
          <w:p>
            <w:pPr>
              <w:pStyle w:val="25"/>
              <w:spacing w:before="78" w:line="220" w:lineRule="auto"/>
              <w:ind w:left="304"/>
              <w:rPr>
                <w:spacing w:val="-2"/>
              </w:rPr>
            </w:pPr>
          </w:p>
          <w:p>
            <w:pPr>
              <w:pStyle w:val="25"/>
              <w:spacing w:before="78" w:line="220" w:lineRule="auto"/>
              <w:ind w:left="304"/>
              <w:rPr>
                <w:spacing w:val="-2"/>
              </w:rPr>
            </w:pPr>
          </w:p>
          <w:p>
            <w:pPr>
              <w:pStyle w:val="25"/>
              <w:spacing w:before="78" w:line="220" w:lineRule="auto"/>
              <w:ind w:left="304"/>
              <w:rPr>
                <w:spacing w:val="-2"/>
              </w:rPr>
            </w:pPr>
          </w:p>
          <w:p>
            <w:pPr>
              <w:pStyle w:val="25"/>
              <w:spacing w:before="78" w:line="220" w:lineRule="auto"/>
              <w:rPr>
                <w:rFonts w:hint="eastAsia" w:ascii="宋体" w:hAnsi="宋体" w:eastAsia="宋体" w:cs="宋体"/>
                <w:spacing w:val="0"/>
                <w:w w:val="100"/>
                <w:sz w:val="24"/>
                <w:szCs w:val="24"/>
              </w:rPr>
            </w:pPr>
            <w:r>
              <w:rPr>
                <w:spacing w:val="-2"/>
              </w:rPr>
              <w:t>服务方案</w:t>
            </w:r>
          </w:p>
        </w:tc>
        <w:tc>
          <w:tcPr>
            <w:tcW w:w="6682" w:type="dxa"/>
            <w:noWrap w:val="0"/>
            <w:vAlign w:val="top"/>
          </w:tcPr>
          <w:p>
            <w:pPr>
              <w:pStyle w:val="25"/>
              <w:spacing w:before="78" w:line="219" w:lineRule="auto"/>
              <w:ind w:left="114"/>
              <w:rPr>
                <w:spacing w:val="-1"/>
              </w:rPr>
            </w:pPr>
            <w:r>
              <w:rPr>
                <w:spacing w:val="-1"/>
              </w:rPr>
              <w:t>供应商应根据项目实际需求制订针对性的服务方案，至少包含下列内容：</w:t>
            </w:r>
          </w:p>
          <w:p>
            <w:pPr>
              <w:pStyle w:val="25"/>
              <w:numPr>
                <w:ilvl w:val="0"/>
                <w:numId w:val="2"/>
              </w:numPr>
              <w:spacing w:before="78" w:line="219" w:lineRule="auto"/>
              <w:ind w:left="114"/>
              <w:rPr>
                <w:spacing w:val="-1"/>
              </w:rPr>
            </w:pPr>
            <w:r>
              <w:rPr>
                <w:spacing w:val="4"/>
              </w:rPr>
              <w:t>实施方法</w:t>
            </w:r>
            <w:r>
              <w:rPr>
                <w:spacing w:val="-1"/>
              </w:rPr>
              <w:t>；</w:t>
            </w:r>
          </w:p>
          <w:p>
            <w:pPr>
              <w:pStyle w:val="25"/>
              <w:numPr>
                <w:ilvl w:val="0"/>
                <w:numId w:val="2"/>
              </w:numPr>
              <w:spacing w:before="78" w:line="219" w:lineRule="auto"/>
              <w:ind w:left="114"/>
            </w:pPr>
            <w:r>
              <w:rPr>
                <w:spacing w:val="4"/>
              </w:rPr>
              <w:t>工作流程</w:t>
            </w:r>
            <w:r>
              <w:rPr>
                <w:spacing w:val="-2"/>
              </w:rPr>
              <w:t>；</w:t>
            </w:r>
          </w:p>
          <w:p>
            <w:pPr>
              <w:pStyle w:val="25"/>
              <w:numPr>
                <w:ilvl w:val="0"/>
                <w:numId w:val="2"/>
              </w:numPr>
              <w:spacing w:before="78" w:line="219" w:lineRule="auto"/>
              <w:ind w:left="114"/>
            </w:pPr>
            <w:r>
              <w:rPr>
                <w:spacing w:val="4"/>
              </w:rPr>
              <w:t>时间及人员安排</w:t>
            </w:r>
            <w:r>
              <w:rPr>
                <w:spacing w:val="-2"/>
              </w:rPr>
              <w:t>；</w:t>
            </w:r>
          </w:p>
          <w:p>
            <w:pPr>
              <w:pStyle w:val="25"/>
              <w:numPr>
                <w:ilvl w:val="0"/>
                <w:numId w:val="2"/>
              </w:numPr>
              <w:spacing w:before="78" w:line="219" w:lineRule="auto"/>
              <w:ind w:left="114"/>
            </w:pPr>
            <w:r>
              <w:rPr>
                <w:spacing w:val="-2"/>
              </w:rPr>
              <w:t>人员安排合理性。</w:t>
            </w:r>
          </w:p>
          <w:p>
            <w:pPr>
              <w:pStyle w:val="25"/>
              <w:spacing w:before="78" w:line="219" w:lineRule="auto"/>
              <w:ind w:left="114"/>
              <w:rPr>
                <w:spacing w:val="-1"/>
              </w:rPr>
            </w:pPr>
            <w:r>
              <w:rPr>
                <w:spacing w:val="-1"/>
              </w:rPr>
              <w:t>由评审小组按顺序分别进行评审：</w:t>
            </w:r>
          </w:p>
          <w:p>
            <w:pPr>
              <w:pStyle w:val="25"/>
              <w:spacing w:before="78" w:line="219" w:lineRule="auto"/>
              <w:rPr>
                <w:rFonts w:hint="eastAsia"/>
                <w:spacing w:val="-1"/>
                <w:lang w:val="en-US" w:eastAsia="zh-CN"/>
              </w:rPr>
            </w:pPr>
            <w:r>
              <w:rPr>
                <w:rFonts w:hint="eastAsia"/>
                <w:spacing w:val="-1"/>
                <w:lang w:val="en-US" w:eastAsia="zh-CN"/>
              </w:rPr>
              <w:t>（1）方案中该小项内容贴合项目实际需求，逻辑清晰,措施规范全面的，该小项得4 分；</w:t>
            </w:r>
          </w:p>
          <w:p>
            <w:pPr>
              <w:pStyle w:val="25"/>
              <w:spacing w:before="78" w:line="219" w:lineRule="auto"/>
              <w:rPr>
                <w:rFonts w:hint="eastAsia"/>
                <w:spacing w:val="-1"/>
                <w:lang w:val="en-US" w:eastAsia="zh-CN"/>
              </w:rPr>
            </w:pPr>
            <w:r>
              <w:rPr>
                <w:rFonts w:hint="eastAsia"/>
                <w:spacing w:val="-1"/>
                <w:lang w:val="en-US" w:eastAsia="zh-CN"/>
              </w:rPr>
              <w:t>（2）方案中该小项内容与项目实际需求有出入，逻辑不清晰，措施缺失的，该小项得2分；</w:t>
            </w:r>
          </w:p>
          <w:p>
            <w:pPr>
              <w:pStyle w:val="25"/>
              <w:spacing w:before="78" w:line="219" w:lineRule="auto"/>
              <w:rPr>
                <w:rFonts w:hint="eastAsia"/>
                <w:spacing w:val="-1"/>
                <w:lang w:val="en-US" w:eastAsia="zh-CN"/>
              </w:rPr>
            </w:pPr>
            <w:r>
              <w:rPr>
                <w:rFonts w:hint="eastAsia"/>
                <w:spacing w:val="-1"/>
                <w:lang w:val="en-US" w:eastAsia="zh-CN"/>
              </w:rPr>
              <w:t>（3）未提供方案或未体现该小项内容的，该小项不得分。</w:t>
            </w:r>
          </w:p>
          <w:p>
            <w:pPr>
              <w:pStyle w:val="25"/>
              <w:spacing w:before="78" w:line="219" w:lineRule="auto"/>
              <w:ind w:left="114"/>
              <w:rPr>
                <w:rFonts w:hint="eastAsia"/>
                <w:spacing w:val="-1"/>
                <w:lang w:val="en-US" w:eastAsia="zh-CN"/>
              </w:rPr>
            </w:pPr>
            <w:r>
              <w:rPr>
                <w:rFonts w:hint="eastAsia"/>
                <w:spacing w:val="-1"/>
                <w:lang w:val="en-US" w:eastAsia="zh-CN"/>
              </w:rPr>
              <w:t>本项最高得16分。</w:t>
            </w:r>
          </w:p>
          <w:p>
            <w:pPr>
              <w:pStyle w:val="25"/>
              <w:spacing w:before="1" w:line="218" w:lineRule="auto"/>
              <w:ind w:left="170" w:leftChars="0"/>
              <w:rPr>
                <w:rFonts w:hint="eastAsia" w:ascii="宋体" w:hAnsi="宋体" w:eastAsia="宋体" w:cs="宋体"/>
                <w:spacing w:val="0"/>
                <w:w w:val="100"/>
                <w:sz w:val="24"/>
                <w:szCs w:val="24"/>
                <w:lang w:eastAsia="zh-CN"/>
              </w:rPr>
            </w:pPr>
          </w:p>
        </w:tc>
        <w:tc>
          <w:tcPr>
            <w:tcW w:w="879" w:type="dxa"/>
            <w:noWrap w:val="0"/>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25"/>
              <w:spacing w:before="78" w:line="181" w:lineRule="auto"/>
              <w:ind w:left="147" w:leftChars="0"/>
              <w:rPr>
                <w:spacing w:val="-3"/>
              </w:rPr>
            </w:pPr>
          </w:p>
          <w:p>
            <w:pPr>
              <w:pStyle w:val="25"/>
              <w:spacing w:before="78" w:line="181" w:lineRule="auto"/>
              <w:ind w:left="147" w:leftChars="0"/>
              <w:rPr>
                <w:spacing w:val="-3"/>
              </w:rPr>
            </w:pPr>
          </w:p>
          <w:p>
            <w:pPr>
              <w:pStyle w:val="25"/>
              <w:spacing w:before="78" w:line="181" w:lineRule="auto"/>
              <w:ind w:left="147" w:leftChars="0"/>
              <w:rPr>
                <w:spacing w:val="-3"/>
              </w:rPr>
            </w:pPr>
          </w:p>
          <w:p>
            <w:pPr>
              <w:pStyle w:val="25"/>
              <w:spacing w:before="78" w:line="181" w:lineRule="auto"/>
              <w:ind w:left="147" w:leftChars="0"/>
              <w:rPr>
                <w:spacing w:val="-3"/>
              </w:rPr>
            </w:pPr>
          </w:p>
          <w:p>
            <w:pPr>
              <w:pStyle w:val="25"/>
              <w:spacing w:before="78" w:line="181" w:lineRule="auto"/>
              <w:ind w:left="147" w:leftChars="0"/>
              <w:rPr>
                <w:rFonts w:hint="default" w:ascii="宋体" w:hAnsi="宋体" w:eastAsia="宋体" w:cs="宋体"/>
                <w:spacing w:val="0"/>
                <w:w w:val="100"/>
                <w:sz w:val="24"/>
                <w:szCs w:val="24"/>
                <w:lang w:val="en-US" w:eastAsia="zh-CN"/>
              </w:rPr>
            </w:pPr>
            <w:r>
              <w:rPr>
                <w:spacing w:val="-3"/>
              </w:rPr>
              <w:t>0-</w:t>
            </w:r>
            <w:r>
              <w:rPr>
                <w:rFonts w:hint="eastAsia"/>
                <w:spacing w:val="-3"/>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1393" w:hRule="atLeast"/>
          <w:jc w:val="center"/>
        </w:trPr>
        <w:tc>
          <w:tcPr>
            <w:tcW w:w="719" w:type="dxa"/>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right="0" w:firstLine="0"/>
              <w:jc w:val="center"/>
              <w:textAlignment w:val="auto"/>
              <w:rPr>
                <w:rFonts w:hint="eastAsia" w:ascii="宋体" w:hAnsi="宋体" w:eastAsia="宋体" w:cs="宋体"/>
                <w:b w:val="0"/>
                <w:bCs/>
                <w:snapToGrid w:val="0"/>
                <w:spacing w:val="0"/>
                <w:w w:val="100"/>
                <w:kern w:val="0"/>
                <w:sz w:val="24"/>
                <w:szCs w:val="24"/>
                <w:lang w:val="en-US" w:eastAsia="zh-CN"/>
              </w:rPr>
            </w:pPr>
            <w:r>
              <w:rPr>
                <w:rFonts w:hint="eastAsia" w:ascii="宋体" w:hAnsi="宋体" w:eastAsia="宋体" w:cs="宋体"/>
                <w:b w:val="0"/>
                <w:bCs/>
                <w:snapToGrid w:val="0"/>
                <w:spacing w:val="0"/>
                <w:w w:val="100"/>
                <w:kern w:val="0"/>
                <w:sz w:val="24"/>
                <w:szCs w:val="24"/>
                <w:lang w:val="en-US" w:eastAsia="zh-CN"/>
              </w:rPr>
              <w:t>5</w:t>
            </w:r>
          </w:p>
        </w:tc>
        <w:tc>
          <w:tcPr>
            <w:tcW w:w="1126" w:type="dxa"/>
            <w:noWrap w:val="0"/>
            <w:vAlign w:val="top"/>
          </w:tcPr>
          <w:p>
            <w:pPr>
              <w:spacing w:line="311" w:lineRule="auto"/>
              <w:rPr>
                <w:rFonts w:ascii="Arial"/>
                <w:sz w:val="21"/>
              </w:rPr>
            </w:pPr>
          </w:p>
          <w:p>
            <w:pPr>
              <w:spacing w:line="311" w:lineRule="auto"/>
              <w:rPr>
                <w:rFonts w:ascii="Arial"/>
                <w:sz w:val="21"/>
              </w:rPr>
            </w:pPr>
          </w:p>
          <w:p>
            <w:pPr>
              <w:spacing w:line="312" w:lineRule="auto"/>
              <w:rPr>
                <w:rFonts w:ascii="Arial"/>
                <w:sz w:val="21"/>
              </w:rPr>
            </w:pPr>
          </w:p>
          <w:p>
            <w:pPr>
              <w:pStyle w:val="25"/>
              <w:spacing w:before="78" w:line="467" w:lineRule="exact"/>
              <w:rPr>
                <w:spacing w:val="-3"/>
                <w:position w:val="17"/>
              </w:rPr>
            </w:pPr>
          </w:p>
          <w:p>
            <w:pPr>
              <w:pStyle w:val="25"/>
              <w:spacing w:before="78" w:line="467" w:lineRule="exact"/>
              <w:rPr>
                <w:spacing w:val="-3"/>
                <w:position w:val="17"/>
              </w:rPr>
            </w:pPr>
          </w:p>
          <w:p>
            <w:pPr>
              <w:pStyle w:val="25"/>
              <w:spacing w:before="78" w:line="467" w:lineRule="exact"/>
            </w:pPr>
            <w:r>
              <w:rPr>
                <w:spacing w:val="-3"/>
                <w:position w:val="17"/>
              </w:rPr>
              <w:t>人员配置</w:t>
            </w:r>
          </w:p>
          <w:p>
            <w:pPr>
              <w:pStyle w:val="25"/>
              <w:spacing w:line="220" w:lineRule="auto"/>
              <w:ind w:firstLine="234" w:firstLineChars="100"/>
              <w:rPr>
                <w:rFonts w:hint="eastAsia" w:ascii="宋体" w:hAnsi="宋体" w:eastAsia="宋体" w:cs="宋体"/>
                <w:spacing w:val="0"/>
                <w:w w:val="100"/>
                <w:sz w:val="24"/>
                <w:szCs w:val="24"/>
              </w:rPr>
            </w:pPr>
            <w:r>
              <w:rPr>
                <w:spacing w:val="-3"/>
              </w:rPr>
              <w:t>方案</w:t>
            </w:r>
          </w:p>
        </w:tc>
        <w:tc>
          <w:tcPr>
            <w:tcW w:w="6682" w:type="dxa"/>
            <w:noWrap w:val="0"/>
            <w:vAlign w:val="top"/>
          </w:tcPr>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供应商应根据项目实际需求制订</w:t>
            </w:r>
            <w:r>
              <w:rPr>
                <w:rFonts w:hint="eastAsia" w:ascii="宋体" w:hAnsi="宋体" w:eastAsia="宋体" w:cs="宋体"/>
                <w:spacing w:val="0"/>
                <w:w w:val="100"/>
                <w:sz w:val="24"/>
                <w:szCs w:val="24"/>
                <w:lang w:val="en-US" w:eastAsia="zh-CN"/>
              </w:rPr>
              <w:t>人员配置方案</w:t>
            </w:r>
            <w:r>
              <w:rPr>
                <w:rFonts w:hint="eastAsia" w:ascii="宋体" w:hAnsi="宋体" w:eastAsia="宋体" w:cs="宋体"/>
                <w:spacing w:val="0"/>
                <w:w w:val="100"/>
                <w:sz w:val="24"/>
                <w:szCs w:val="24"/>
              </w:rPr>
              <w:t>，至少包含下列内容：</w:t>
            </w:r>
          </w:p>
          <w:p>
            <w:pPr>
              <w:pStyle w:val="24"/>
              <w:keepNext w:val="0"/>
              <w:keepLines w:val="0"/>
              <w:pageBreakBefore w:val="0"/>
              <w:numPr>
                <w:ilvl w:val="0"/>
                <w:numId w:val="0"/>
              </w:numPr>
              <w:kinsoku/>
              <w:wordWrap/>
              <w:overflowPunct/>
              <w:topLinePunct w:val="0"/>
              <w:autoSpaceDE/>
              <w:autoSpaceDN/>
              <w:bidi w:val="0"/>
              <w:spacing w:line="400" w:lineRule="exact"/>
              <w:ind w:right="0" w:rightChars="0"/>
              <w:jc w:val="both"/>
              <w:textAlignment w:val="auto"/>
              <w:rPr>
                <w:rFonts w:hint="eastAsia" w:ascii="宋体" w:hAnsi="宋体" w:eastAsia="宋体" w:cs="宋体"/>
                <w:spacing w:val="4"/>
                <w:kern w:val="2"/>
                <w:sz w:val="24"/>
                <w:szCs w:val="24"/>
                <w:lang w:val="en-US" w:eastAsia="en-US" w:bidi="ar-SA"/>
              </w:rPr>
            </w:pPr>
            <w:r>
              <w:rPr>
                <w:rFonts w:hint="eastAsia" w:ascii="宋体" w:hAnsi="宋体" w:eastAsia="宋体" w:cs="宋体"/>
                <w:spacing w:val="0"/>
                <w:w w:val="100"/>
                <w:sz w:val="24"/>
                <w:szCs w:val="24"/>
              </w:rPr>
              <w:t>①</w:t>
            </w:r>
            <w:r>
              <w:rPr>
                <w:rFonts w:hint="eastAsia" w:ascii="宋体" w:hAnsi="宋体" w:eastAsia="宋体" w:cs="宋体"/>
                <w:spacing w:val="4"/>
                <w:kern w:val="2"/>
                <w:sz w:val="24"/>
                <w:szCs w:val="24"/>
                <w:lang w:val="en-US" w:eastAsia="en-US" w:bidi="ar-SA"/>
              </w:rPr>
              <w:t>成立专门汽车维修小组</w:t>
            </w:r>
            <w:r>
              <w:rPr>
                <w:rFonts w:hint="eastAsia" w:ascii="宋体" w:hAnsi="宋体" w:eastAsia="宋体" w:cs="宋体"/>
                <w:spacing w:val="4"/>
                <w:kern w:val="2"/>
                <w:sz w:val="24"/>
                <w:szCs w:val="24"/>
                <w:lang w:val="en-US" w:eastAsia="zh-CN" w:bidi="ar-SA"/>
              </w:rPr>
              <w:t>：</w:t>
            </w:r>
            <w:r>
              <w:rPr>
                <w:rFonts w:hint="eastAsia" w:ascii="宋体" w:hAnsi="宋体" w:eastAsia="宋体" w:cs="宋体"/>
                <w:spacing w:val="4"/>
                <w:kern w:val="2"/>
                <w:sz w:val="24"/>
                <w:szCs w:val="24"/>
                <w:lang w:val="en-US" w:eastAsia="en-US" w:bidi="ar-SA"/>
              </w:rPr>
              <w:t>分管负责人、技术负责人；</w:t>
            </w:r>
          </w:p>
          <w:p>
            <w:pPr>
              <w:pStyle w:val="24"/>
              <w:keepNext w:val="0"/>
              <w:keepLines w:val="0"/>
              <w:pageBreakBefore w:val="0"/>
              <w:numPr>
                <w:ilvl w:val="0"/>
                <w:numId w:val="0"/>
              </w:numPr>
              <w:kinsoku/>
              <w:wordWrap/>
              <w:overflowPunct/>
              <w:topLinePunct w:val="0"/>
              <w:autoSpaceDE/>
              <w:autoSpaceDN/>
              <w:bidi w:val="0"/>
              <w:spacing w:line="400" w:lineRule="exact"/>
              <w:ind w:right="0" w:rightChars="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②</w:t>
            </w:r>
            <w:r>
              <w:rPr>
                <w:rFonts w:hint="eastAsia" w:ascii="宋体" w:hAnsi="宋体" w:eastAsia="宋体" w:cs="宋体"/>
                <w:spacing w:val="4"/>
                <w:kern w:val="2"/>
                <w:sz w:val="24"/>
                <w:szCs w:val="24"/>
                <w:lang w:val="en-US" w:eastAsia="en-US" w:bidi="ar-SA"/>
              </w:rPr>
              <w:t>车辆维修各环节技术人员配备及分工切合项目实际。</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由评审小组按顺序分别进行评审：</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 xml:space="preserve">（1）方案中该小项内容贴合项目实际需求，逻辑清晰, 措施规范全面的，该小项得 </w:t>
            </w:r>
            <w:r>
              <w:rPr>
                <w:rFonts w:hint="eastAsia" w:cs="宋体"/>
                <w:spacing w:val="0"/>
                <w:w w:val="100"/>
                <w:sz w:val="24"/>
                <w:szCs w:val="24"/>
                <w:lang w:val="en-US" w:eastAsia="zh-CN"/>
              </w:rPr>
              <w:t>4</w:t>
            </w:r>
            <w:r>
              <w:rPr>
                <w:rFonts w:hint="eastAsia" w:ascii="宋体" w:hAnsi="宋体" w:eastAsia="宋体" w:cs="宋体"/>
                <w:spacing w:val="0"/>
                <w:w w:val="100"/>
                <w:sz w:val="24"/>
                <w:szCs w:val="24"/>
              </w:rPr>
              <w:t>分；</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（2）方案中该小项内容与项目实际需求有出入，逻辑不清晰，措施缺失的，该小项得</w:t>
            </w:r>
            <w:r>
              <w:rPr>
                <w:rFonts w:hint="eastAsia" w:cs="宋体"/>
                <w:spacing w:val="0"/>
                <w:w w:val="100"/>
                <w:sz w:val="24"/>
                <w:szCs w:val="24"/>
                <w:lang w:val="en-US" w:eastAsia="zh-CN"/>
              </w:rPr>
              <w:t>2</w:t>
            </w:r>
            <w:r>
              <w:rPr>
                <w:rFonts w:hint="eastAsia" w:ascii="宋体" w:hAnsi="宋体" w:eastAsia="宋体" w:cs="宋体"/>
                <w:spacing w:val="0"/>
                <w:w w:val="100"/>
                <w:sz w:val="24"/>
                <w:szCs w:val="24"/>
              </w:rPr>
              <w:t xml:space="preserve"> 分；</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（3）未提供方案或未体现该小项内容的，该小项不得分。</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本项最高得</w:t>
            </w:r>
            <w:r>
              <w:rPr>
                <w:rFonts w:hint="eastAsia" w:cs="宋体"/>
                <w:spacing w:val="0"/>
                <w:w w:val="100"/>
                <w:sz w:val="24"/>
                <w:szCs w:val="24"/>
                <w:lang w:val="en-US" w:eastAsia="zh-CN"/>
              </w:rPr>
              <w:t>8</w:t>
            </w:r>
            <w:r>
              <w:rPr>
                <w:rFonts w:hint="eastAsia" w:ascii="宋体" w:hAnsi="宋体" w:eastAsia="宋体" w:cs="宋体"/>
                <w:spacing w:val="0"/>
                <w:w w:val="100"/>
                <w:sz w:val="24"/>
                <w:szCs w:val="24"/>
              </w:rPr>
              <w:t>分。</w:t>
            </w:r>
          </w:p>
          <w:p>
            <w:pPr>
              <w:pStyle w:val="25"/>
              <w:spacing w:before="1" w:line="218" w:lineRule="auto"/>
              <w:ind w:left="171" w:leftChars="0"/>
              <w:rPr>
                <w:rFonts w:hint="eastAsia" w:ascii="宋体" w:hAnsi="宋体" w:eastAsia="宋体" w:cs="宋体"/>
                <w:spacing w:val="0"/>
                <w:w w:val="100"/>
                <w:sz w:val="24"/>
                <w:szCs w:val="24"/>
                <w:lang w:val="en-US" w:eastAsia="en-US"/>
              </w:rPr>
            </w:pPr>
          </w:p>
        </w:tc>
        <w:tc>
          <w:tcPr>
            <w:tcW w:w="879" w:type="dxa"/>
            <w:noWrap w:val="0"/>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pStyle w:val="25"/>
              <w:spacing w:before="78" w:line="182" w:lineRule="auto"/>
              <w:ind w:left="147" w:leftChars="0"/>
            </w:pPr>
          </w:p>
          <w:p>
            <w:pPr>
              <w:pStyle w:val="25"/>
              <w:spacing w:before="78" w:line="182" w:lineRule="auto"/>
              <w:ind w:left="147" w:leftChars="0"/>
            </w:pPr>
          </w:p>
          <w:p>
            <w:pPr>
              <w:pStyle w:val="25"/>
              <w:spacing w:before="78" w:line="182" w:lineRule="auto"/>
              <w:ind w:left="147" w:leftChars="0"/>
              <w:rPr>
                <w:rFonts w:hint="eastAsia" w:ascii="宋体" w:hAnsi="宋体" w:eastAsia="宋体" w:cs="宋体"/>
                <w:kern w:val="2"/>
                <w:sz w:val="24"/>
                <w:szCs w:val="24"/>
                <w:lang w:val="en-US" w:eastAsia="zh-CN" w:bidi="ar-SA"/>
              </w:rPr>
            </w:pPr>
            <w:r>
              <w:t>0-</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66" w:hRule="atLeast"/>
          <w:jc w:val="center"/>
        </w:trPr>
        <w:tc>
          <w:tcPr>
            <w:tcW w:w="719" w:type="dxa"/>
            <w:noWrap w:val="0"/>
            <w:vAlign w:val="center"/>
          </w:tcPr>
          <w:p>
            <w:pPr>
              <w:keepNext w:val="0"/>
              <w:keepLines w:val="0"/>
              <w:pageBreakBefore w:val="0"/>
              <w:kinsoku/>
              <w:wordWrap/>
              <w:overflowPunct/>
              <w:topLinePunct w:val="0"/>
              <w:autoSpaceDE/>
              <w:autoSpaceDN/>
              <w:bidi w:val="0"/>
              <w:spacing w:line="400" w:lineRule="exact"/>
              <w:ind w:left="0" w:leftChars="0" w:right="0" w:rightChars="0" w:firstLine="0" w:firstLineChars="0"/>
              <w:jc w:val="center"/>
              <w:textAlignment w:val="auto"/>
              <w:rPr>
                <w:rFonts w:hint="default" w:ascii="宋体" w:hAnsi="宋体" w:eastAsia="宋体" w:cs="宋体"/>
                <w:b w:val="0"/>
                <w:bCs/>
                <w:snapToGrid w:val="0"/>
                <w:color w:val="FF0000"/>
                <w:spacing w:val="0"/>
                <w:w w:val="100"/>
                <w:kern w:val="0"/>
                <w:sz w:val="24"/>
                <w:szCs w:val="24"/>
                <w:lang w:val="en-US" w:eastAsia="zh-CN"/>
              </w:rPr>
            </w:pPr>
            <w:r>
              <w:rPr>
                <w:rFonts w:hint="eastAsia" w:ascii="宋体" w:hAnsi="宋体" w:eastAsia="宋体" w:cs="宋体"/>
                <w:b w:val="0"/>
                <w:bCs/>
                <w:snapToGrid w:val="0"/>
                <w:color w:val="auto"/>
                <w:spacing w:val="0"/>
                <w:w w:val="100"/>
                <w:kern w:val="0"/>
                <w:sz w:val="24"/>
                <w:szCs w:val="24"/>
                <w:lang w:val="en-US" w:eastAsia="zh-CN"/>
              </w:rPr>
              <w:t>6</w:t>
            </w:r>
          </w:p>
        </w:tc>
        <w:tc>
          <w:tcPr>
            <w:tcW w:w="1126" w:type="dxa"/>
            <w:noWrap w:val="0"/>
            <w:vAlign w:val="center"/>
          </w:tcPr>
          <w:p>
            <w:pPr>
              <w:pStyle w:val="25"/>
              <w:spacing w:before="78" w:line="220" w:lineRule="auto"/>
              <w:jc w:val="both"/>
              <w:rPr>
                <w:rFonts w:hint="default" w:ascii="宋体" w:hAnsi="宋体" w:eastAsia="宋体" w:cs="宋体"/>
                <w:spacing w:val="0"/>
                <w:w w:val="100"/>
                <w:sz w:val="24"/>
                <w:szCs w:val="24"/>
                <w:lang w:val="en-US" w:eastAsia="zh-CN"/>
              </w:rPr>
            </w:pPr>
            <w:r>
              <w:rPr>
                <w:rFonts w:hint="eastAsia"/>
              </w:rPr>
              <w:t>应急处理方案</w:t>
            </w:r>
          </w:p>
        </w:tc>
        <w:tc>
          <w:tcPr>
            <w:tcW w:w="6682" w:type="dxa"/>
            <w:noWrap w:val="0"/>
            <w:vAlign w:val="top"/>
          </w:tcPr>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供应商应根据项目实际需求制订针对性的应急处理方案，至少包含下列内容：</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lang w:eastAsia="zh-CN"/>
              </w:rPr>
            </w:pPr>
            <w:r>
              <w:rPr>
                <w:rFonts w:hint="eastAsia" w:ascii="宋体" w:hAnsi="宋体" w:eastAsia="宋体" w:cs="宋体"/>
                <w:spacing w:val="0"/>
                <w:w w:val="100"/>
                <w:sz w:val="24"/>
                <w:szCs w:val="24"/>
              </w:rPr>
              <w:t>①车辆故障处理预案</w:t>
            </w:r>
            <w:r>
              <w:rPr>
                <w:rFonts w:hint="eastAsia" w:cs="宋体"/>
                <w:spacing w:val="0"/>
                <w:w w:val="100"/>
                <w:sz w:val="24"/>
                <w:szCs w:val="24"/>
                <w:lang w:eastAsia="zh-CN"/>
              </w:rPr>
              <w:t>；</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②车辆事故处理预案。</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由评审小组按顺序分别进行评审：</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 xml:space="preserve">（1）方案中该小项内容贴合项目实际需求，逻辑清晰, 措施规范全面的，该小项得 </w:t>
            </w:r>
            <w:r>
              <w:rPr>
                <w:rFonts w:hint="eastAsia" w:ascii="宋体" w:hAnsi="宋体" w:eastAsia="宋体" w:cs="宋体"/>
                <w:spacing w:val="0"/>
                <w:w w:val="100"/>
                <w:sz w:val="24"/>
                <w:szCs w:val="24"/>
                <w:lang w:val="en-US" w:eastAsia="zh-CN"/>
              </w:rPr>
              <w:t>5</w:t>
            </w:r>
            <w:r>
              <w:rPr>
                <w:rFonts w:hint="eastAsia" w:ascii="宋体" w:hAnsi="宋体" w:eastAsia="宋体" w:cs="宋体"/>
                <w:spacing w:val="0"/>
                <w:w w:val="100"/>
                <w:sz w:val="24"/>
                <w:szCs w:val="24"/>
              </w:rPr>
              <w:t>分；</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（2）方案中该小项内容与项目实际需求有出入，逻辑不清晰，措施缺失的，该小项得</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分；</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（3）未提供方案或未体现该小项内容的，该小项不得分。</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spacing w:val="0"/>
                <w:w w:val="100"/>
                <w:sz w:val="24"/>
                <w:szCs w:val="24"/>
                <w:lang w:eastAsia="zh-CN"/>
              </w:rPr>
            </w:pPr>
            <w:r>
              <w:rPr>
                <w:rFonts w:hint="eastAsia" w:ascii="宋体" w:hAnsi="宋体" w:eastAsia="宋体" w:cs="宋体"/>
                <w:spacing w:val="0"/>
                <w:w w:val="100"/>
                <w:sz w:val="24"/>
                <w:szCs w:val="24"/>
              </w:rPr>
              <w:t>本项最高得</w:t>
            </w:r>
            <w:r>
              <w:rPr>
                <w:rFonts w:hint="eastAsia" w:ascii="宋体" w:hAnsi="宋体" w:eastAsia="宋体" w:cs="宋体"/>
                <w:spacing w:val="0"/>
                <w:w w:val="100"/>
                <w:sz w:val="24"/>
                <w:szCs w:val="24"/>
                <w:lang w:val="en-US" w:eastAsia="zh-CN"/>
              </w:rPr>
              <w:t>10</w:t>
            </w:r>
            <w:r>
              <w:rPr>
                <w:rFonts w:hint="eastAsia" w:ascii="宋体" w:hAnsi="宋体" w:eastAsia="宋体" w:cs="宋体"/>
                <w:spacing w:val="0"/>
                <w:w w:val="100"/>
                <w:sz w:val="24"/>
                <w:szCs w:val="24"/>
              </w:rPr>
              <w:t>分</w:t>
            </w:r>
            <w:r>
              <w:rPr>
                <w:rFonts w:hint="eastAsia" w:ascii="宋体" w:hAnsi="宋体" w:eastAsia="宋体" w:cs="宋体"/>
                <w:spacing w:val="0"/>
                <w:w w:val="100"/>
                <w:sz w:val="24"/>
                <w:szCs w:val="24"/>
                <w:lang w:eastAsia="zh-CN"/>
              </w:rPr>
              <w:t>。</w:t>
            </w:r>
          </w:p>
        </w:tc>
        <w:tc>
          <w:tcPr>
            <w:tcW w:w="879" w:type="dxa"/>
            <w:noWrap w:val="0"/>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pStyle w:val="25"/>
              <w:spacing w:before="78" w:line="182" w:lineRule="auto"/>
              <w:ind w:left="147" w:leftChars="0"/>
            </w:pPr>
          </w:p>
          <w:p>
            <w:pPr>
              <w:pStyle w:val="25"/>
              <w:spacing w:before="78" w:line="182" w:lineRule="auto"/>
              <w:ind w:left="147" w:leftChars="0"/>
            </w:pPr>
          </w:p>
          <w:p>
            <w:pPr>
              <w:pStyle w:val="25"/>
              <w:spacing w:before="78" w:line="182" w:lineRule="auto"/>
              <w:ind w:left="147" w:leftChars="0"/>
            </w:pPr>
          </w:p>
          <w:p>
            <w:pPr>
              <w:pStyle w:val="25"/>
              <w:spacing w:before="78" w:line="182" w:lineRule="auto"/>
              <w:ind w:left="147" w:leftChars="0"/>
              <w:rPr>
                <w:rFonts w:hint="eastAsia" w:ascii="宋体" w:hAnsi="宋体" w:eastAsia="宋体" w:cs="宋体"/>
                <w:spacing w:val="0"/>
                <w:w w:val="100"/>
                <w:sz w:val="24"/>
                <w:szCs w:val="24"/>
                <w:lang w:val="en-US" w:eastAsia="zh-CN"/>
              </w:rPr>
            </w:pPr>
            <w: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575" w:hRule="atLeast"/>
          <w:jc w:val="center"/>
        </w:trPr>
        <w:tc>
          <w:tcPr>
            <w:tcW w:w="719" w:type="dxa"/>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right="0" w:firstLine="0"/>
              <w:jc w:val="center"/>
              <w:textAlignment w:val="auto"/>
              <w:rPr>
                <w:rFonts w:hint="default" w:ascii="宋体" w:hAnsi="宋体" w:eastAsia="宋体" w:cs="宋体"/>
                <w:b/>
                <w:bCs w:val="0"/>
                <w:snapToGrid w:val="0"/>
                <w:spacing w:val="0"/>
                <w:w w:val="100"/>
                <w:sz w:val="24"/>
                <w:szCs w:val="24"/>
                <w:lang w:val="en-US" w:eastAsia="zh-CN"/>
              </w:rPr>
            </w:pPr>
            <w:bookmarkStart w:id="4" w:name="_Toc26081"/>
            <w:r>
              <w:rPr>
                <w:rFonts w:hint="eastAsia" w:ascii="宋体" w:hAnsi="宋体" w:eastAsia="宋体" w:cs="宋体"/>
                <w:b/>
                <w:bCs w:val="0"/>
                <w:snapToGrid w:val="0"/>
                <w:spacing w:val="0"/>
                <w:w w:val="100"/>
                <w:sz w:val="24"/>
                <w:szCs w:val="24"/>
                <w:lang w:val="en-US" w:eastAsia="zh-CN"/>
              </w:rPr>
              <w:t>7</w:t>
            </w:r>
          </w:p>
        </w:tc>
        <w:tc>
          <w:tcPr>
            <w:tcW w:w="1126" w:type="dxa"/>
            <w:noWrap w:val="0"/>
            <w:vAlign w:val="center"/>
          </w:tcPr>
          <w:p>
            <w:pPr>
              <w:pStyle w:val="25"/>
              <w:spacing w:before="78" w:line="230" w:lineRule="auto"/>
              <w:ind w:right="205" w:rightChars="0"/>
              <w:jc w:val="center"/>
              <w:rPr>
                <w:rFonts w:hint="default" w:ascii="宋体" w:hAnsi="宋体" w:eastAsia="宋体" w:cs="宋体"/>
                <w:b/>
                <w:bCs w:val="0"/>
                <w:kern w:val="2"/>
                <w:sz w:val="24"/>
                <w:szCs w:val="24"/>
                <w:lang w:val="en-US" w:eastAsia="zh-CN" w:bidi="ar-SA"/>
              </w:rPr>
            </w:pPr>
            <w:r>
              <w:rPr>
                <w:b/>
                <w:bCs w:val="0"/>
                <w:spacing w:val="-4"/>
              </w:rPr>
              <w:t>价格</w:t>
            </w:r>
            <w:r>
              <w:rPr>
                <w:rFonts w:hint="eastAsia"/>
                <w:b/>
                <w:bCs w:val="0"/>
                <w:spacing w:val="-4"/>
                <w:lang w:val="en-US" w:eastAsia="zh-CN"/>
              </w:rPr>
              <w:t>分</w:t>
            </w:r>
            <w:r>
              <w:rPr>
                <w:rFonts w:hint="eastAsia"/>
                <w:b/>
                <w:bCs w:val="0"/>
                <w:spacing w:val="-4"/>
                <w:lang w:eastAsia="zh-CN"/>
              </w:rPr>
              <w:t>（</w:t>
            </w:r>
            <w:r>
              <w:rPr>
                <w:rFonts w:hint="eastAsia"/>
                <w:b/>
                <w:bCs w:val="0"/>
                <w:spacing w:val="-4"/>
                <w:lang w:val="en-US" w:eastAsia="zh-CN"/>
              </w:rPr>
              <w:t>10分）</w:t>
            </w:r>
          </w:p>
        </w:tc>
        <w:tc>
          <w:tcPr>
            <w:tcW w:w="7561" w:type="dxa"/>
            <w:gridSpan w:val="2"/>
            <w:noWrap w:val="0"/>
            <w:vAlign w:val="center"/>
          </w:tcPr>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b/>
                <w:bCs/>
                <w:spacing w:val="0"/>
                <w:w w:val="100"/>
                <w:sz w:val="24"/>
                <w:szCs w:val="24"/>
              </w:rPr>
            </w:pPr>
            <w:r>
              <w:rPr>
                <w:rFonts w:hint="eastAsia" w:ascii="宋体" w:hAnsi="宋体" w:eastAsia="宋体" w:cs="宋体"/>
                <w:b/>
                <w:bCs/>
                <w:spacing w:val="0"/>
                <w:w w:val="100"/>
                <w:sz w:val="24"/>
                <w:szCs w:val="24"/>
              </w:rPr>
              <w:t>价格分统一采用低价优先法，即满足征集文件要求且最终报价最低的投标费率作为评标基准价，价格分为满分</w:t>
            </w:r>
            <w:r>
              <w:rPr>
                <w:rFonts w:hint="eastAsia" w:cs="宋体"/>
                <w:b/>
                <w:bCs/>
                <w:spacing w:val="0"/>
                <w:w w:val="100"/>
                <w:sz w:val="24"/>
                <w:szCs w:val="24"/>
                <w:lang w:val="en-US" w:eastAsia="zh-CN"/>
              </w:rPr>
              <w:t>1</w:t>
            </w:r>
            <w:r>
              <w:rPr>
                <w:rFonts w:hint="eastAsia" w:ascii="宋体" w:hAnsi="宋体" w:eastAsia="宋体" w:cs="宋体"/>
                <w:b/>
                <w:bCs/>
                <w:spacing w:val="0"/>
                <w:w w:val="100"/>
                <w:sz w:val="24"/>
                <w:szCs w:val="24"/>
              </w:rPr>
              <w:t>0分（其中工时费率报价满分为</w:t>
            </w:r>
            <w:r>
              <w:rPr>
                <w:rFonts w:hint="eastAsia" w:cs="宋体"/>
                <w:b/>
                <w:bCs/>
                <w:spacing w:val="0"/>
                <w:w w:val="100"/>
                <w:sz w:val="24"/>
                <w:szCs w:val="24"/>
                <w:lang w:val="en-US" w:eastAsia="zh-CN"/>
              </w:rPr>
              <w:t>5</w:t>
            </w:r>
            <w:r>
              <w:rPr>
                <w:rFonts w:hint="eastAsia" w:ascii="宋体" w:hAnsi="宋体" w:eastAsia="宋体" w:cs="宋体"/>
                <w:b/>
                <w:bCs/>
                <w:spacing w:val="0"/>
                <w:w w:val="100"/>
                <w:sz w:val="24"/>
                <w:szCs w:val="24"/>
              </w:rPr>
              <w:t>分，材料费率报价满分为</w:t>
            </w:r>
            <w:r>
              <w:rPr>
                <w:rFonts w:hint="eastAsia" w:cs="宋体"/>
                <w:b/>
                <w:bCs/>
                <w:spacing w:val="0"/>
                <w:w w:val="100"/>
                <w:sz w:val="24"/>
                <w:szCs w:val="24"/>
                <w:lang w:val="en-US" w:eastAsia="zh-CN"/>
              </w:rPr>
              <w:t>5</w:t>
            </w:r>
            <w:r>
              <w:rPr>
                <w:rFonts w:hint="eastAsia" w:ascii="宋体" w:hAnsi="宋体" w:eastAsia="宋体" w:cs="宋体"/>
                <w:b/>
                <w:bCs/>
                <w:spacing w:val="0"/>
                <w:w w:val="100"/>
                <w:sz w:val="24"/>
                <w:szCs w:val="24"/>
              </w:rPr>
              <w:t>分）。价格分统一按照下列公式计算（四舍五入保留至小数点后两位数）：</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rFonts w:hint="eastAsia" w:ascii="宋体" w:hAnsi="宋体" w:eastAsia="宋体" w:cs="宋体"/>
                <w:b/>
                <w:bCs/>
                <w:spacing w:val="0"/>
                <w:w w:val="100"/>
                <w:sz w:val="24"/>
                <w:szCs w:val="24"/>
              </w:rPr>
            </w:pPr>
            <w:r>
              <w:rPr>
                <w:rFonts w:hint="eastAsia" w:ascii="宋体" w:hAnsi="宋体" w:eastAsia="宋体" w:cs="宋体"/>
                <w:b/>
                <w:bCs/>
                <w:spacing w:val="0"/>
                <w:w w:val="100"/>
                <w:sz w:val="24"/>
                <w:szCs w:val="24"/>
              </w:rPr>
              <w:t>1、供应商工时费率报价得分＝（评标基准价/投标工时费率）×</w:t>
            </w:r>
            <w:r>
              <w:rPr>
                <w:rFonts w:hint="eastAsia" w:cs="宋体"/>
                <w:b/>
                <w:bCs/>
                <w:spacing w:val="0"/>
                <w:w w:val="100"/>
                <w:sz w:val="24"/>
                <w:szCs w:val="24"/>
                <w:lang w:val="en-US" w:eastAsia="zh-CN"/>
              </w:rPr>
              <w:t>5</w:t>
            </w:r>
            <w:r>
              <w:rPr>
                <w:rFonts w:hint="eastAsia" w:ascii="宋体" w:hAnsi="宋体" w:eastAsia="宋体" w:cs="宋体"/>
                <w:b/>
                <w:bCs/>
                <w:spacing w:val="0"/>
                <w:w w:val="100"/>
                <w:sz w:val="24"/>
                <w:szCs w:val="24"/>
              </w:rPr>
              <w:t>%×100</w:t>
            </w:r>
          </w:p>
          <w:p>
            <w:pPr>
              <w:pStyle w:val="24"/>
              <w:keepNext w:val="0"/>
              <w:keepLines w:val="0"/>
              <w:pageBreakBefore w:val="0"/>
              <w:kinsoku/>
              <w:wordWrap/>
              <w:overflowPunct/>
              <w:topLinePunct w:val="0"/>
              <w:autoSpaceDE/>
              <w:autoSpaceDN/>
              <w:bidi w:val="0"/>
              <w:spacing w:line="400" w:lineRule="exact"/>
              <w:ind w:left="0" w:right="0" w:firstLine="0"/>
              <w:jc w:val="both"/>
              <w:textAlignment w:val="auto"/>
              <w:rPr>
                <w:b/>
                <w:bCs w:val="0"/>
                <w:spacing w:val="-2"/>
                <w14:textOutline w14:w="4358" w14:cap="sq" w14:cmpd="sng">
                  <w14:solidFill>
                    <w14:srgbClr w14:val="000000"/>
                  </w14:solidFill>
                  <w14:prstDash w14:val="solid"/>
                  <w14:bevel/>
                </w14:textOutline>
              </w:rPr>
            </w:pPr>
            <w:r>
              <w:rPr>
                <w:rFonts w:hint="eastAsia" w:ascii="宋体" w:hAnsi="宋体" w:eastAsia="宋体" w:cs="宋体"/>
                <w:b/>
                <w:bCs/>
                <w:spacing w:val="0"/>
                <w:w w:val="100"/>
                <w:sz w:val="24"/>
                <w:szCs w:val="24"/>
              </w:rPr>
              <w:t>2、供应商材料费率报价得分＝（评标基准价/投标材料费率）×</w:t>
            </w:r>
            <w:r>
              <w:rPr>
                <w:rFonts w:hint="eastAsia" w:cs="宋体"/>
                <w:b/>
                <w:bCs/>
                <w:spacing w:val="0"/>
                <w:w w:val="100"/>
                <w:sz w:val="24"/>
                <w:szCs w:val="24"/>
                <w:lang w:val="en-US" w:eastAsia="zh-CN"/>
              </w:rPr>
              <w:t>5</w:t>
            </w:r>
            <w:r>
              <w:rPr>
                <w:rFonts w:hint="eastAsia" w:ascii="宋体" w:hAnsi="宋体" w:eastAsia="宋体" w:cs="宋体"/>
                <w:b/>
                <w:bCs/>
                <w:spacing w:val="0"/>
                <w:w w:val="100"/>
                <w:sz w:val="24"/>
                <w:szCs w:val="24"/>
              </w:rPr>
              <w:t>%×100</w:t>
            </w:r>
          </w:p>
        </w:tc>
      </w:tr>
    </w:tbl>
    <w:p>
      <w:pPr>
        <w:pStyle w:val="2"/>
        <w:bidi w:val="0"/>
        <w:jc w:val="center"/>
        <w:rPr>
          <w:rFonts w:hint="eastAsia"/>
          <w:lang w:val="en-US" w:eastAsia="zh-CN"/>
        </w:rPr>
      </w:pPr>
    </w:p>
    <w:p>
      <w:pPr>
        <w:rPr>
          <w:rFonts w:hint="eastAsia"/>
          <w:lang w:val="en-US" w:eastAsia="zh-CN"/>
        </w:rPr>
      </w:pPr>
    </w:p>
    <w:p>
      <w:pPr>
        <w:pStyle w:val="2"/>
        <w:bidi w:val="0"/>
        <w:jc w:val="center"/>
        <w:rPr>
          <w:rFonts w:hint="eastAsia"/>
          <w:lang w:val="en-US" w:eastAsia="zh-CN"/>
        </w:rPr>
      </w:pPr>
    </w:p>
    <w:p>
      <w:pPr>
        <w:pStyle w:val="2"/>
        <w:bidi w:val="0"/>
        <w:jc w:val="center"/>
        <w:rPr>
          <w:rFonts w:hint="eastAsia"/>
          <w:lang w:val="en-US" w:eastAsia="zh-CN"/>
        </w:rPr>
      </w:pPr>
    </w:p>
    <w:p>
      <w:pPr>
        <w:rPr>
          <w:rFonts w:hint="eastAsia"/>
          <w:lang w:val="en-US" w:eastAsia="zh-CN"/>
        </w:rPr>
      </w:pPr>
      <w:r>
        <w:rPr>
          <w:rFonts w:hint="eastAsia"/>
          <w:lang w:val="en-US" w:eastAsia="zh-CN"/>
        </w:rPr>
        <w:br w:type="page"/>
      </w:r>
    </w:p>
    <w:p>
      <w:pPr>
        <w:pStyle w:val="2"/>
        <w:bidi w:val="0"/>
        <w:jc w:val="center"/>
        <w:rPr>
          <w:rFonts w:hint="default"/>
          <w:lang w:val="en-US" w:eastAsia="zh-CN"/>
        </w:rPr>
      </w:pPr>
      <w:r>
        <w:rPr>
          <w:rFonts w:hint="eastAsia"/>
          <w:lang w:val="en-US" w:eastAsia="zh-CN"/>
        </w:rPr>
        <w:t>第五章 确定第二阶段成交供应商的方式</w:t>
      </w:r>
      <w:bookmarkEnd w:id="4"/>
    </w:p>
    <w:p>
      <w:pPr>
        <w:pStyle w:val="2"/>
        <w:bidi w:val="0"/>
        <w:ind w:firstLine="480" w:firstLineChars="200"/>
        <w:jc w:val="left"/>
        <w:rPr>
          <w:rFonts w:hint="eastAsia"/>
          <w:b w:val="0"/>
          <w:bCs/>
          <w:lang w:val="en-US" w:eastAsia="zh-CN"/>
        </w:rPr>
      </w:pPr>
      <w:r>
        <w:rPr>
          <w:rFonts w:hint="eastAsia" w:ascii="宋体" w:hAnsi="宋体" w:cs="Arial"/>
          <w:b w:val="0"/>
          <w:bCs/>
          <w:color w:val="000000"/>
          <w:sz w:val="24"/>
          <w:szCs w:val="24"/>
          <w:lang w:val="en-US" w:eastAsia="zh-CN"/>
        </w:rPr>
        <w:t>第一阶段入围框架协议签订后，由安徽霍山国有资产投资控股集团有限公司文件根据项目属 性以及服务商报价、日常服务质量和每个项目实际需要等因素，在第一阶段入围供应商中通过直接选定方式确定第二阶段成交供应商。</w:t>
      </w:r>
    </w:p>
    <w:p>
      <w:pPr>
        <w:pStyle w:val="2"/>
        <w:bidi w:val="0"/>
        <w:jc w:val="both"/>
        <w:rPr>
          <w:rFonts w:hint="eastAsia"/>
          <w:lang w:val="en-US" w:eastAsia="zh-CN"/>
        </w:rPr>
      </w:pPr>
      <w:bookmarkStart w:id="5" w:name="_Toc2789"/>
    </w:p>
    <w:p>
      <w:pPr>
        <w:rPr>
          <w:rFonts w:hint="eastAsia"/>
          <w:lang w:val="en-US" w:eastAsia="zh-CN"/>
        </w:rPr>
      </w:pPr>
    </w:p>
    <w:p>
      <w:pPr>
        <w:rPr>
          <w:rFonts w:hint="eastAsia"/>
          <w:lang w:val="en-US" w:eastAsia="zh-CN"/>
        </w:rPr>
      </w:pPr>
    </w:p>
    <w:p>
      <w:pPr>
        <w:rPr>
          <w:rFonts w:hint="eastAsia"/>
          <w:lang w:val="en-US" w:eastAsia="zh-CN"/>
        </w:rPr>
      </w:pPr>
    </w:p>
    <w:p>
      <w:pPr>
        <w:pStyle w:val="2"/>
        <w:bidi w:val="0"/>
        <w:jc w:val="cente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2"/>
        <w:bidi w:val="0"/>
        <w:jc w:val="center"/>
        <w:rPr>
          <w:rFonts w:hint="default"/>
          <w:lang w:val="en-US" w:eastAsia="zh-CN"/>
        </w:rPr>
      </w:pPr>
      <w:r>
        <w:rPr>
          <w:rFonts w:hint="eastAsia"/>
          <w:lang w:val="en-US" w:eastAsia="zh-CN"/>
        </w:rPr>
        <w:t>第六章 采购需求</w:t>
      </w:r>
      <w:bookmarkEnd w:id="5"/>
    </w:p>
    <w:p>
      <w:pPr>
        <w:widowControl/>
        <w:kinsoku w:val="0"/>
        <w:autoSpaceDE w:val="0"/>
        <w:autoSpaceDN w:val="0"/>
        <w:adjustRightInd w:val="0"/>
        <w:snapToGrid w:val="0"/>
        <w:spacing w:before="277" w:line="430" w:lineRule="auto"/>
        <w:ind w:left="9" w:right="40" w:firstLine="483"/>
        <w:jc w:val="both"/>
        <w:textAlignment w:val="baseline"/>
        <w:rPr>
          <w:rFonts w:ascii="宋体" w:hAnsi="宋体" w:eastAsia="宋体" w:cs="宋体"/>
          <w:snapToGrid w:val="0"/>
          <w:color w:val="000000"/>
          <w:spacing w:val="-1"/>
          <w:kern w:val="0"/>
          <w:sz w:val="24"/>
          <w:szCs w:val="24"/>
          <w:lang w:eastAsia="en-US"/>
        </w:rPr>
      </w:pPr>
      <w:r>
        <w:rPr>
          <w:rFonts w:hint="eastAsia" w:ascii="宋体" w:hAnsi="宋体" w:eastAsia="宋体" w:cs="宋体"/>
          <w:snapToGrid w:val="0"/>
          <w:color w:val="000000"/>
          <w:spacing w:val="-1"/>
          <w:kern w:val="0"/>
          <w:sz w:val="24"/>
          <w:szCs w:val="24"/>
          <w:lang w:eastAsia="zh-CN"/>
        </w:rPr>
        <w:t>霍山国投集团公车维修服务单位框架协议采购项目</w:t>
      </w:r>
      <w:r>
        <w:rPr>
          <w:rFonts w:ascii="宋体" w:hAnsi="宋体" w:eastAsia="宋体" w:cs="宋体"/>
          <w:snapToGrid w:val="0"/>
          <w:color w:val="000000"/>
          <w:spacing w:val="-1"/>
          <w:kern w:val="0"/>
          <w:sz w:val="24"/>
          <w:szCs w:val="24"/>
          <w:lang w:eastAsia="en-US"/>
        </w:rPr>
        <w:t>，本次招标为</w:t>
      </w:r>
      <w:r>
        <w:rPr>
          <w:rFonts w:hint="eastAsia" w:ascii="宋体" w:hAnsi="宋体" w:eastAsia="宋体" w:cs="宋体"/>
          <w:snapToGrid w:val="0"/>
          <w:color w:val="000000"/>
          <w:spacing w:val="-1"/>
          <w:kern w:val="0"/>
          <w:sz w:val="24"/>
          <w:szCs w:val="24"/>
          <w:lang w:val="en-US" w:eastAsia="zh-CN"/>
        </w:rPr>
        <w:t>安徽霍山国有资产投资控股集团有限公司</w:t>
      </w:r>
      <w:r>
        <w:rPr>
          <w:rFonts w:ascii="宋体" w:hAnsi="宋体" w:eastAsia="宋体" w:cs="宋体"/>
          <w:snapToGrid w:val="0"/>
          <w:color w:val="000000"/>
          <w:spacing w:val="-1"/>
          <w:kern w:val="0"/>
          <w:sz w:val="24"/>
          <w:szCs w:val="24"/>
          <w:lang w:eastAsia="en-US"/>
        </w:rPr>
        <w:t>的</w:t>
      </w:r>
      <w:r>
        <w:rPr>
          <w:rFonts w:hint="eastAsia" w:ascii="宋体" w:hAnsi="宋体" w:eastAsia="宋体" w:cs="宋体"/>
          <w:snapToGrid w:val="0"/>
          <w:color w:val="000000"/>
          <w:spacing w:val="-1"/>
          <w:kern w:val="0"/>
          <w:sz w:val="24"/>
          <w:szCs w:val="24"/>
          <w:lang w:val="en-US" w:eastAsia="zh-CN"/>
        </w:rPr>
        <w:t>约30辆</w:t>
      </w:r>
      <w:r>
        <w:rPr>
          <w:rFonts w:ascii="宋体" w:hAnsi="宋体" w:eastAsia="宋体" w:cs="宋体"/>
          <w:snapToGrid w:val="0"/>
          <w:color w:val="000000"/>
          <w:spacing w:val="-1"/>
          <w:kern w:val="0"/>
          <w:sz w:val="24"/>
          <w:szCs w:val="24"/>
          <w:lang w:eastAsia="en-US"/>
        </w:rPr>
        <w:t>公务用车</w:t>
      </w:r>
      <w:r>
        <w:rPr>
          <w:rFonts w:hint="eastAsia" w:ascii="宋体" w:hAnsi="宋体" w:eastAsia="宋体" w:cs="宋体"/>
          <w:snapToGrid w:val="0"/>
          <w:color w:val="000000"/>
          <w:spacing w:val="-1"/>
          <w:kern w:val="0"/>
          <w:sz w:val="24"/>
          <w:szCs w:val="24"/>
          <w:lang w:val="en-US" w:eastAsia="zh-CN"/>
        </w:rPr>
        <w:t>提供</w:t>
      </w:r>
      <w:r>
        <w:rPr>
          <w:rFonts w:ascii="宋体" w:hAnsi="宋体" w:eastAsia="宋体" w:cs="宋体"/>
          <w:snapToGrid w:val="0"/>
          <w:color w:val="000000"/>
          <w:spacing w:val="-1"/>
          <w:kern w:val="0"/>
          <w:sz w:val="24"/>
          <w:szCs w:val="24"/>
          <w:lang w:eastAsia="en-US"/>
        </w:rPr>
        <w:t>维修保养服务。车辆正常情况下在综合类维修企业进行维保，新购车辆质保期内在所属品牌 4S 店进行维保。</w:t>
      </w:r>
    </w:p>
    <w:p>
      <w:pPr>
        <w:widowControl/>
        <w:kinsoku w:val="0"/>
        <w:autoSpaceDE w:val="0"/>
        <w:autoSpaceDN w:val="0"/>
        <w:adjustRightInd w:val="0"/>
        <w:snapToGrid w:val="0"/>
        <w:spacing w:before="277" w:line="430" w:lineRule="auto"/>
        <w:ind w:left="9" w:right="40" w:firstLine="483"/>
        <w:jc w:val="both"/>
        <w:textAlignment w:val="baseline"/>
        <w:rPr>
          <w:rFonts w:ascii="宋体" w:hAnsi="宋体" w:eastAsia="宋体" w:cs="宋体"/>
          <w:snapToGrid w:val="0"/>
          <w:color w:val="000000"/>
          <w:spacing w:val="-1"/>
          <w:kern w:val="0"/>
          <w:sz w:val="24"/>
          <w:szCs w:val="24"/>
          <w:lang w:eastAsia="en-US"/>
        </w:rPr>
      </w:pPr>
      <w:r>
        <w:rPr>
          <w:rFonts w:ascii="宋体" w:hAnsi="宋体" w:eastAsia="宋体" w:cs="宋体"/>
          <w:snapToGrid w:val="0"/>
          <w:color w:val="000000"/>
          <w:spacing w:val="-1"/>
          <w:kern w:val="0"/>
          <w:sz w:val="24"/>
          <w:szCs w:val="24"/>
          <w:lang w:eastAsia="en-US"/>
        </w:rPr>
        <w:t>一、 框架协议期限</w:t>
      </w:r>
      <w:r>
        <w:rPr>
          <w:rFonts w:hint="eastAsia" w:ascii="宋体" w:hAnsi="宋体" w:eastAsia="宋体" w:cs="宋体"/>
          <w:snapToGrid w:val="0"/>
          <w:color w:val="000000"/>
          <w:spacing w:val="-1"/>
          <w:kern w:val="0"/>
          <w:sz w:val="24"/>
          <w:szCs w:val="24"/>
          <w:lang w:eastAsia="zh-CN"/>
        </w:rPr>
        <w:t>：</w:t>
      </w:r>
      <w:r>
        <w:rPr>
          <w:rFonts w:ascii="宋体" w:hAnsi="宋体" w:eastAsia="宋体" w:cs="宋体"/>
          <w:snapToGrid w:val="0"/>
          <w:color w:val="000000"/>
          <w:spacing w:val="-1"/>
          <w:kern w:val="0"/>
          <w:sz w:val="24"/>
          <w:szCs w:val="24"/>
          <w:lang w:eastAsia="en-US"/>
        </w:rPr>
        <w:t xml:space="preserve">自签订本项目框架协议之日起 </w:t>
      </w:r>
      <w:r>
        <w:rPr>
          <w:rFonts w:hint="eastAsia" w:ascii="宋体" w:hAnsi="宋体" w:eastAsia="宋体" w:cs="宋体"/>
          <w:snapToGrid w:val="0"/>
          <w:color w:val="000000"/>
          <w:spacing w:val="-1"/>
          <w:kern w:val="0"/>
          <w:sz w:val="24"/>
          <w:szCs w:val="24"/>
          <w:lang w:val="en-US" w:eastAsia="zh-CN"/>
        </w:rPr>
        <w:t>1</w:t>
      </w:r>
      <w:r>
        <w:rPr>
          <w:rFonts w:ascii="宋体" w:hAnsi="宋体" w:eastAsia="宋体" w:cs="宋体"/>
          <w:snapToGrid w:val="0"/>
          <w:color w:val="000000"/>
          <w:spacing w:val="-1"/>
          <w:kern w:val="0"/>
          <w:sz w:val="24"/>
          <w:szCs w:val="24"/>
          <w:lang w:eastAsia="en-US"/>
        </w:rPr>
        <w:t xml:space="preserve"> 年。</w:t>
      </w:r>
    </w:p>
    <w:p>
      <w:pPr>
        <w:numPr>
          <w:ilvl w:val="0"/>
          <w:numId w:val="0"/>
        </w:numPr>
        <w:spacing w:before="78" w:line="448" w:lineRule="auto"/>
        <w:ind w:right="3" w:rightChars="0" w:firstLine="476" w:firstLineChars="200"/>
        <w:jc w:val="both"/>
        <w:rPr>
          <w:rFonts w:ascii="宋体" w:hAnsi="宋体" w:eastAsia="宋体" w:cs="宋体"/>
          <w:snapToGrid w:val="0"/>
          <w:color w:val="000000"/>
          <w:spacing w:val="-1"/>
          <w:kern w:val="0"/>
          <w:sz w:val="24"/>
          <w:szCs w:val="24"/>
          <w:lang w:eastAsia="en-US"/>
        </w:rPr>
      </w:pPr>
      <w:r>
        <w:rPr>
          <w:rFonts w:ascii="宋体" w:hAnsi="宋体" w:eastAsia="宋体" w:cs="宋体"/>
          <w:snapToGrid w:val="0"/>
          <w:color w:val="000000"/>
          <w:spacing w:val="-1"/>
          <w:kern w:val="0"/>
          <w:sz w:val="24"/>
          <w:szCs w:val="24"/>
          <w:lang w:eastAsia="en-US"/>
        </w:rPr>
        <w:t>二、最高限制单价及报价要求：</w:t>
      </w:r>
    </w:p>
    <w:p>
      <w:pPr>
        <w:numPr>
          <w:ilvl w:val="0"/>
          <w:numId w:val="0"/>
        </w:numPr>
        <w:spacing w:before="78" w:line="448" w:lineRule="auto"/>
        <w:ind w:right="3" w:rightChars="0" w:firstLine="458" w:firstLineChars="200"/>
        <w:jc w:val="both"/>
        <w:rPr>
          <w:rFonts w:hint="default" w:ascii="宋体" w:hAnsi="宋体" w:eastAsia="宋体" w:cs="宋体"/>
          <w:snapToGrid w:val="0"/>
          <w:color w:val="000000"/>
          <w:spacing w:val="-1"/>
          <w:kern w:val="0"/>
          <w:sz w:val="24"/>
          <w:szCs w:val="24"/>
          <w:lang w:val="en-US" w:eastAsia="zh-CN"/>
        </w:rPr>
      </w:pPr>
      <w:r>
        <w:rPr>
          <w:rFonts w:hint="eastAsia" w:ascii="宋体" w:hAnsi="宋体" w:eastAsia="宋体" w:cs="宋体"/>
          <w:b/>
          <w:bCs/>
          <w:spacing w:val="-6"/>
          <w:sz w:val="24"/>
          <w:szCs w:val="24"/>
        </w:rPr>
        <w:t>本项目单价采用费率报价</w:t>
      </w:r>
      <w:r>
        <w:rPr>
          <w:rFonts w:hint="eastAsia" w:ascii="宋体" w:hAnsi="宋体" w:eastAsia="宋体" w:cs="宋体"/>
          <w:b/>
          <w:bCs/>
          <w:spacing w:val="-6"/>
          <w:sz w:val="24"/>
          <w:szCs w:val="24"/>
          <w:lang w:eastAsia="zh-CN"/>
        </w:rPr>
        <w:t>：</w:t>
      </w:r>
      <w:r>
        <w:rPr>
          <w:rFonts w:hint="eastAsia" w:ascii="宋体" w:hAnsi="宋体" w:eastAsia="宋体" w:cs="宋体"/>
          <w:b/>
          <w:bCs/>
          <w:spacing w:val="-6"/>
          <w:sz w:val="24"/>
          <w:szCs w:val="24"/>
        </w:rPr>
        <w:t>1、工时费率按 2020 年《安徽省汽车维修行业工时定额》规定标准取费，最高限制单价为70%。2、材料费率按维修企业市场售价取费，最高限制单价为90%。</w:t>
      </w:r>
      <w:r>
        <w:rPr>
          <w:rFonts w:hint="eastAsia" w:ascii="宋体" w:hAnsi="宋体" w:eastAsia="宋体" w:cs="宋体"/>
          <w:b/>
          <w:bCs/>
          <w:spacing w:val="-6"/>
          <w:sz w:val="24"/>
          <w:szCs w:val="24"/>
          <w:lang w:val="en-US" w:eastAsia="zh-CN"/>
        </w:rPr>
        <w:t>3、报价单中明确提供增值税专用发票费率。</w:t>
      </w:r>
    </w:p>
    <w:p>
      <w:pPr>
        <w:widowControl/>
        <w:kinsoku w:val="0"/>
        <w:autoSpaceDE w:val="0"/>
        <w:autoSpaceDN w:val="0"/>
        <w:adjustRightInd w:val="0"/>
        <w:snapToGrid w:val="0"/>
        <w:spacing w:before="277" w:line="360" w:lineRule="auto"/>
        <w:ind w:left="9" w:right="40" w:firstLine="483"/>
        <w:jc w:val="both"/>
        <w:textAlignment w:val="baseline"/>
        <w:rPr>
          <w:rFonts w:ascii="宋体" w:hAnsi="宋体" w:eastAsia="宋体" w:cs="宋体"/>
          <w:snapToGrid w:val="0"/>
          <w:color w:val="000000"/>
          <w:spacing w:val="-1"/>
          <w:kern w:val="0"/>
          <w:sz w:val="24"/>
          <w:szCs w:val="24"/>
          <w:lang w:eastAsia="en-US"/>
        </w:rPr>
      </w:pPr>
      <w:r>
        <w:rPr>
          <w:rFonts w:ascii="宋体" w:hAnsi="宋体" w:eastAsia="宋体" w:cs="宋体"/>
          <w:snapToGrid w:val="0"/>
          <w:color w:val="000000"/>
          <w:spacing w:val="-1"/>
          <w:kern w:val="0"/>
          <w:sz w:val="24"/>
          <w:szCs w:val="24"/>
          <w:lang w:eastAsia="en-US"/>
        </w:rPr>
        <w:t>三、服务要求</w:t>
      </w:r>
    </w:p>
    <w:p>
      <w:pPr>
        <w:widowControl/>
        <w:kinsoku w:val="0"/>
        <w:autoSpaceDE w:val="0"/>
        <w:autoSpaceDN w:val="0"/>
        <w:adjustRightInd w:val="0"/>
        <w:snapToGrid w:val="0"/>
        <w:spacing w:before="277" w:line="360" w:lineRule="auto"/>
        <w:ind w:left="9" w:right="40" w:firstLine="483"/>
        <w:jc w:val="both"/>
        <w:textAlignment w:val="baseline"/>
        <w:rPr>
          <w:rFonts w:hint="eastAsia" w:ascii="宋体" w:hAnsi="宋体" w:eastAsia="宋体" w:cs="宋体"/>
          <w:snapToGrid w:val="0"/>
          <w:color w:val="000000"/>
          <w:spacing w:val="-1"/>
          <w:kern w:val="0"/>
          <w:sz w:val="24"/>
          <w:szCs w:val="24"/>
          <w:lang w:eastAsia="en-US"/>
        </w:rPr>
      </w:pPr>
      <w:r>
        <w:rPr>
          <w:rFonts w:hint="eastAsia" w:ascii="宋体" w:hAnsi="宋体" w:eastAsia="宋体" w:cs="宋体"/>
          <w:snapToGrid w:val="0"/>
          <w:color w:val="000000"/>
          <w:spacing w:val="-1"/>
          <w:kern w:val="0"/>
          <w:sz w:val="24"/>
          <w:szCs w:val="24"/>
          <w:lang w:eastAsia="en-US"/>
        </w:rPr>
        <w:t>1.定点维修包括车辆日常维修保养、总成修理，以及《机动车维修管理规定》</w:t>
      </w:r>
    </w:p>
    <w:p>
      <w:pPr>
        <w:widowControl/>
        <w:kinsoku w:val="0"/>
        <w:autoSpaceDE w:val="0"/>
        <w:autoSpaceDN w:val="0"/>
        <w:adjustRightInd w:val="0"/>
        <w:snapToGrid w:val="0"/>
        <w:spacing w:before="277" w:line="360" w:lineRule="auto"/>
        <w:ind w:right="40"/>
        <w:jc w:val="both"/>
        <w:textAlignment w:val="baseline"/>
        <w:rPr>
          <w:rFonts w:hint="eastAsia" w:ascii="宋体" w:hAnsi="宋体" w:eastAsia="宋体" w:cs="宋体"/>
          <w:snapToGrid w:val="0"/>
          <w:color w:val="000000"/>
          <w:spacing w:val="-1"/>
          <w:kern w:val="0"/>
          <w:sz w:val="24"/>
          <w:szCs w:val="24"/>
          <w:lang w:eastAsia="en-US"/>
        </w:rPr>
      </w:pPr>
      <w:r>
        <w:rPr>
          <w:rFonts w:hint="eastAsia" w:ascii="宋体" w:hAnsi="宋体" w:eastAsia="宋体" w:cs="宋体"/>
          <w:snapToGrid w:val="0"/>
          <w:color w:val="000000"/>
          <w:spacing w:val="-1"/>
          <w:kern w:val="0"/>
          <w:sz w:val="24"/>
          <w:szCs w:val="24"/>
          <w:lang w:eastAsia="en-US"/>
        </w:rPr>
        <w:t>规定的汽车维修服务项目 (不含保险维修和新购车辆的免费保修项目) 。</w:t>
      </w:r>
    </w:p>
    <w:p>
      <w:pPr>
        <w:widowControl/>
        <w:kinsoku w:val="0"/>
        <w:autoSpaceDE w:val="0"/>
        <w:autoSpaceDN w:val="0"/>
        <w:adjustRightInd w:val="0"/>
        <w:snapToGrid w:val="0"/>
        <w:spacing w:before="277" w:line="360" w:lineRule="auto"/>
        <w:ind w:left="9" w:right="40" w:firstLine="483"/>
        <w:jc w:val="both"/>
        <w:textAlignment w:val="baseline"/>
        <w:rPr>
          <w:rFonts w:hint="eastAsia" w:ascii="宋体" w:hAnsi="宋体" w:eastAsia="宋体" w:cs="宋体"/>
          <w:snapToGrid w:val="0"/>
          <w:color w:val="000000"/>
          <w:spacing w:val="-1"/>
          <w:kern w:val="0"/>
          <w:sz w:val="24"/>
          <w:szCs w:val="24"/>
          <w:lang w:eastAsia="en-US"/>
        </w:rPr>
      </w:pPr>
      <w:r>
        <w:rPr>
          <w:rFonts w:hint="eastAsia" w:ascii="宋体" w:hAnsi="宋体" w:eastAsia="宋体" w:cs="宋体"/>
          <w:snapToGrid w:val="0"/>
          <w:color w:val="000000"/>
          <w:spacing w:val="-1"/>
          <w:kern w:val="0"/>
          <w:sz w:val="24"/>
          <w:szCs w:val="24"/>
          <w:lang w:eastAsia="en-US"/>
        </w:rPr>
        <w:t>2.维修质量按《机动车维修管理规定》 (中华人民共和国交通运输部令 2019 年</w:t>
      </w:r>
    </w:p>
    <w:p>
      <w:pPr>
        <w:widowControl/>
        <w:kinsoku w:val="0"/>
        <w:autoSpaceDE w:val="0"/>
        <w:autoSpaceDN w:val="0"/>
        <w:adjustRightInd w:val="0"/>
        <w:snapToGrid w:val="0"/>
        <w:spacing w:before="277" w:line="360" w:lineRule="auto"/>
        <w:ind w:right="40"/>
        <w:jc w:val="both"/>
        <w:textAlignment w:val="baseline"/>
        <w:rPr>
          <w:rFonts w:hint="eastAsia" w:ascii="宋体" w:hAnsi="宋体" w:eastAsia="宋体" w:cs="宋体"/>
          <w:snapToGrid w:val="0"/>
          <w:color w:val="000000"/>
          <w:spacing w:val="-1"/>
          <w:kern w:val="0"/>
          <w:sz w:val="24"/>
          <w:szCs w:val="24"/>
          <w:lang w:eastAsia="en-US"/>
        </w:rPr>
      </w:pPr>
      <w:r>
        <w:rPr>
          <w:rFonts w:hint="eastAsia" w:ascii="宋体" w:hAnsi="宋体" w:eastAsia="宋体" w:cs="宋体"/>
          <w:snapToGrid w:val="0"/>
          <w:color w:val="000000"/>
          <w:spacing w:val="-1"/>
          <w:kern w:val="0"/>
          <w:sz w:val="24"/>
          <w:szCs w:val="24"/>
          <w:lang w:eastAsia="en-US"/>
        </w:rPr>
        <w:t>第 20 号) 的有关规定执行。</w:t>
      </w:r>
    </w:p>
    <w:p>
      <w:pPr>
        <w:widowControl/>
        <w:kinsoku w:val="0"/>
        <w:autoSpaceDE w:val="0"/>
        <w:autoSpaceDN w:val="0"/>
        <w:adjustRightInd w:val="0"/>
        <w:snapToGrid w:val="0"/>
        <w:spacing w:before="277" w:line="360" w:lineRule="auto"/>
        <w:ind w:left="9" w:right="40" w:firstLine="483"/>
        <w:jc w:val="both"/>
        <w:textAlignment w:val="baseline"/>
        <w:rPr>
          <w:rFonts w:hint="eastAsia" w:ascii="宋体" w:hAnsi="宋体" w:eastAsia="宋体" w:cs="宋体"/>
          <w:snapToGrid w:val="0"/>
          <w:color w:val="000000"/>
          <w:spacing w:val="-1"/>
          <w:kern w:val="0"/>
          <w:sz w:val="24"/>
          <w:szCs w:val="24"/>
          <w:lang w:eastAsia="en-US"/>
        </w:rPr>
      </w:pPr>
      <w:r>
        <w:rPr>
          <w:rFonts w:hint="eastAsia" w:ascii="宋体" w:hAnsi="宋体" w:eastAsia="宋体" w:cs="宋体"/>
          <w:snapToGrid w:val="0"/>
          <w:color w:val="000000"/>
          <w:spacing w:val="-1"/>
          <w:kern w:val="0"/>
          <w:sz w:val="24"/>
          <w:szCs w:val="24"/>
          <w:lang w:val="en-US" w:eastAsia="zh-CN"/>
        </w:rPr>
        <w:t>3</w:t>
      </w:r>
      <w:r>
        <w:rPr>
          <w:rFonts w:hint="eastAsia" w:ascii="宋体" w:hAnsi="宋体" w:eastAsia="宋体" w:cs="宋体"/>
          <w:snapToGrid w:val="0"/>
          <w:color w:val="000000"/>
          <w:spacing w:val="-1"/>
          <w:kern w:val="0"/>
          <w:sz w:val="24"/>
          <w:szCs w:val="24"/>
          <w:lang w:eastAsia="en-US"/>
        </w:rPr>
        <w:t>.在保修期内，因维修质量造成的机械故障、机械事故并由此造成的经济损失，由负责维修车辆的服务商承担。</w:t>
      </w:r>
    </w:p>
    <w:p>
      <w:pPr>
        <w:widowControl/>
        <w:kinsoku w:val="0"/>
        <w:autoSpaceDE w:val="0"/>
        <w:autoSpaceDN w:val="0"/>
        <w:adjustRightInd w:val="0"/>
        <w:snapToGrid w:val="0"/>
        <w:spacing w:before="277" w:line="360" w:lineRule="auto"/>
        <w:ind w:right="40" w:firstLine="476" w:firstLineChars="200"/>
        <w:jc w:val="both"/>
        <w:textAlignment w:val="baseline"/>
        <w:rPr>
          <w:rFonts w:hint="eastAsia" w:ascii="宋体" w:hAnsi="宋体" w:eastAsia="宋体" w:cs="宋体"/>
          <w:snapToGrid w:val="0"/>
          <w:color w:val="000000"/>
          <w:spacing w:val="-1"/>
          <w:kern w:val="0"/>
          <w:sz w:val="24"/>
          <w:szCs w:val="24"/>
          <w:lang w:val="en-US" w:eastAsia="zh-CN"/>
        </w:rPr>
      </w:pPr>
      <w:r>
        <w:rPr>
          <w:rFonts w:hint="eastAsia" w:ascii="宋体" w:hAnsi="宋体" w:eastAsia="宋体" w:cs="宋体"/>
          <w:snapToGrid w:val="0"/>
          <w:color w:val="000000"/>
          <w:spacing w:val="-1"/>
          <w:kern w:val="0"/>
          <w:sz w:val="24"/>
          <w:szCs w:val="24"/>
          <w:lang w:val="en-US" w:eastAsia="zh-CN"/>
        </w:rPr>
        <w:t>4.供应商必须提供 24 小时报修服务电话和服务救援车，上门提供简单的故障排除维修服务，同时保证对所修公务车辆随到随修，优先服务，确保车辆能及时报修。抛锚车辆能及时得到救助，必须做到报修后2.5公里内30分钟拖车或技师抵达故障现场；10公里内60分钟拖车或技师抵达故障现场。</w:t>
      </w:r>
    </w:p>
    <w:p>
      <w:pPr>
        <w:widowControl/>
        <w:kinsoku w:val="0"/>
        <w:autoSpaceDE w:val="0"/>
        <w:autoSpaceDN w:val="0"/>
        <w:adjustRightInd w:val="0"/>
        <w:snapToGrid w:val="0"/>
        <w:spacing w:before="277" w:line="360" w:lineRule="auto"/>
        <w:ind w:right="40" w:firstLine="476" w:firstLineChars="200"/>
        <w:jc w:val="both"/>
        <w:textAlignment w:val="baseline"/>
        <w:rPr>
          <w:rFonts w:hint="eastAsia" w:ascii="宋体" w:hAnsi="宋体" w:eastAsia="宋体" w:cs="宋体"/>
          <w:snapToGrid w:val="0"/>
          <w:color w:val="000000"/>
          <w:spacing w:val="-1"/>
          <w:kern w:val="0"/>
          <w:sz w:val="24"/>
          <w:szCs w:val="24"/>
          <w:lang w:val="en-US" w:eastAsia="en-US"/>
        </w:rPr>
      </w:pPr>
      <w:r>
        <w:rPr>
          <w:rFonts w:hint="eastAsia" w:ascii="宋体" w:hAnsi="宋体" w:eastAsia="宋体" w:cs="宋体"/>
          <w:snapToGrid w:val="0"/>
          <w:color w:val="000000"/>
          <w:spacing w:val="-1"/>
          <w:kern w:val="0"/>
          <w:sz w:val="24"/>
          <w:szCs w:val="24"/>
          <w:lang w:val="en-US" w:eastAsia="en-US"/>
        </w:rPr>
        <w:t>5.供应商必须提供上门车辆维修服务或者根据车辆使用单位要求到指定地点取车，维修完毕后送车上门等服务，取送车发生的费用和责任全部由</w:t>
      </w:r>
      <w:r>
        <w:rPr>
          <w:rFonts w:hint="eastAsia" w:ascii="宋体" w:hAnsi="宋体" w:eastAsia="宋体" w:cs="宋体"/>
          <w:snapToGrid w:val="0"/>
          <w:color w:val="000000"/>
          <w:spacing w:val="-1"/>
          <w:kern w:val="0"/>
          <w:sz w:val="24"/>
          <w:szCs w:val="24"/>
          <w:lang w:val="en-US" w:eastAsia="zh-CN"/>
        </w:rPr>
        <w:t>供应商</w:t>
      </w:r>
      <w:r>
        <w:rPr>
          <w:rFonts w:hint="eastAsia" w:ascii="宋体" w:hAnsi="宋体" w:eastAsia="宋体" w:cs="宋体"/>
          <w:snapToGrid w:val="0"/>
          <w:color w:val="000000"/>
          <w:spacing w:val="-1"/>
          <w:kern w:val="0"/>
          <w:sz w:val="24"/>
          <w:szCs w:val="24"/>
          <w:lang w:val="en-US" w:eastAsia="en-US"/>
        </w:rPr>
        <w:t>承担。</w:t>
      </w:r>
    </w:p>
    <w:p>
      <w:pPr>
        <w:widowControl/>
        <w:kinsoku w:val="0"/>
        <w:autoSpaceDE w:val="0"/>
        <w:autoSpaceDN w:val="0"/>
        <w:adjustRightInd w:val="0"/>
        <w:snapToGrid w:val="0"/>
        <w:spacing w:before="277" w:line="360" w:lineRule="auto"/>
        <w:ind w:left="9" w:right="40" w:firstLine="483"/>
        <w:jc w:val="both"/>
        <w:textAlignment w:val="baseline"/>
        <w:rPr>
          <w:rFonts w:ascii="宋体" w:hAnsi="宋体" w:eastAsia="宋体" w:cs="宋体"/>
          <w:snapToGrid w:val="0"/>
          <w:color w:val="000000"/>
          <w:spacing w:val="-1"/>
          <w:kern w:val="0"/>
          <w:sz w:val="24"/>
          <w:szCs w:val="24"/>
          <w:lang w:eastAsia="en-US"/>
        </w:rPr>
      </w:pPr>
      <w:r>
        <w:rPr>
          <w:rFonts w:ascii="宋体" w:hAnsi="宋体" w:eastAsia="宋体" w:cs="宋体"/>
          <w:snapToGrid w:val="0"/>
          <w:color w:val="000000"/>
          <w:spacing w:val="-1"/>
          <w:kern w:val="0"/>
          <w:sz w:val="24"/>
          <w:szCs w:val="24"/>
          <w:lang w:eastAsia="en-US"/>
        </w:rPr>
        <w:t>6.为加强监督管理，本次协议要求各服务商承诺建立车辆维修档案(包括纸质档案或电子档案)，定期报送维修报表。维修档案内容包括：车辆所属单位、驾驶员姓名、车牌号、维修内容、更换配件名称、原厂件或是副厂件、配件价格、维修工时、工时价格、维修金额等。</w:t>
      </w:r>
      <w:r>
        <w:rPr>
          <w:rFonts w:hint="eastAsia" w:ascii="宋体" w:hAnsi="宋体" w:eastAsia="宋体" w:cs="宋体"/>
          <w:snapToGrid w:val="0"/>
          <w:color w:val="000000"/>
          <w:spacing w:val="-1"/>
          <w:kern w:val="0"/>
          <w:sz w:val="24"/>
          <w:szCs w:val="24"/>
          <w:lang w:eastAsia="zh-CN"/>
        </w:rPr>
        <w:t>征集人</w:t>
      </w:r>
      <w:r>
        <w:rPr>
          <w:rFonts w:ascii="宋体" w:hAnsi="宋体" w:eastAsia="宋体" w:cs="宋体"/>
          <w:snapToGrid w:val="0"/>
          <w:color w:val="000000"/>
          <w:spacing w:val="-1"/>
          <w:kern w:val="0"/>
          <w:sz w:val="24"/>
          <w:szCs w:val="24"/>
          <w:lang w:eastAsia="en-US"/>
        </w:rPr>
        <w:t>将不定期对服务商实施情况进行检查。</w:t>
      </w:r>
    </w:p>
    <w:p>
      <w:pPr>
        <w:widowControl/>
        <w:kinsoku w:val="0"/>
        <w:autoSpaceDE w:val="0"/>
        <w:autoSpaceDN w:val="0"/>
        <w:adjustRightInd w:val="0"/>
        <w:snapToGrid w:val="0"/>
        <w:spacing w:before="277" w:line="430" w:lineRule="auto"/>
        <w:ind w:right="40" w:firstLine="238" w:firstLineChars="100"/>
        <w:jc w:val="both"/>
        <w:textAlignment w:val="baseline"/>
        <w:rPr>
          <w:rFonts w:ascii="宋体" w:hAnsi="宋体" w:eastAsia="宋体" w:cs="宋体"/>
          <w:snapToGrid w:val="0"/>
          <w:color w:val="000000"/>
          <w:spacing w:val="-1"/>
          <w:kern w:val="0"/>
          <w:sz w:val="24"/>
          <w:szCs w:val="24"/>
          <w:lang w:eastAsia="en-US"/>
        </w:rPr>
      </w:pPr>
      <w:r>
        <w:rPr>
          <w:rFonts w:ascii="宋体" w:hAnsi="宋体" w:eastAsia="宋体" w:cs="宋体"/>
          <w:snapToGrid w:val="0"/>
          <w:color w:val="000000"/>
          <w:spacing w:val="-1"/>
          <w:kern w:val="0"/>
          <w:sz w:val="24"/>
          <w:szCs w:val="24"/>
          <w:lang w:eastAsia="en-US"/>
        </w:rPr>
        <w:t>四、费用结算及支付方式</w:t>
      </w:r>
    </w:p>
    <w:p>
      <w:pPr>
        <w:widowControl/>
        <w:kinsoku w:val="0"/>
        <w:autoSpaceDE w:val="0"/>
        <w:autoSpaceDN w:val="0"/>
        <w:adjustRightInd w:val="0"/>
        <w:snapToGrid w:val="0"/>
        <w:spacing w:before="277" w:line="430" w:lineRule="auto"/>
        <w:ind w:right="40" w:firstLine="476" w:firstLineChars="200"/>
        <w:jc w:val="both"/>
        <w:textAlignment w:val="baseline"/>
        <w:rPr>
          <w:rFonts w:hint="eastAsia" w:ascii="宋体" w:hAnsi="宋体" w:eastAsia="宋体" w:cs="宋体"/>
          <w:snapToGrid w:val="0"/>
          <w:color w:val="000000"/>
          <w:spacing w:val="-1"/>
          <w:kern w:val="0"/>
          <w:sz w:val="24"/>
          <w:szCs w:val="24"/>
          <w:lang w:val="en-US" w:eastAsia="zh-CN"/>
        </w:rPr>
      </w:pPr>
      <w:r>
        <w:rPr>
          <w:rFonts w:ascii="宋体" w:hAnsi="宋体" w:eastAsia="宋体" w:cs="宋体"/>
          <w:snapToGrid w:val="0"/>
          <w:color w:val="000000"/>
          <w:spacing w:val="-1"/>
          <w:kern w:val="0"/>
          <w:sz w:val="24"/>
          <w:szCs w:val="24"/>
          <w:lang w:eastAsia="en-US"/>
        </w:rPr>
        <w:t>车辆维修价格以本次协议确定的维修价格为最高限价，合同价以双方协商确定的维修价格为准，在框架协议期限内按月结算</w:t>
      </w:r>
      <w:r>
        <w:rPr>
          <w:rFonts w:hint="eastAsia" w:ascii="宋体" w:hAnsi="宋体" w:eastAsia="宋体" w:cs="宋体"/>
          <w:snapToGrid w:val="0"/>
          <w:color w:val="000000"/>
          <w:spacing w:val="-1"/>
          <w:kern w:val="0"/>
          <w:sz w:val="24"/>
          <w:szCs w:val="24"/>
          <w:lang w:eastAsia="zh-CN"/>
        </w:rPr>
        <w:t>，</w:t>
      </w:r>
      <w:r>
        <w:rPr>
          <w:rFonts w:hint="eastAsia" w:ascii="宋体" w:hAnsi="宋体" w:eastAsia="宋体" w:cs="宋体"/>
          <w:snapToGrid w:val="0"/>
          <w:color w:val="000000"/>
          <w:spacing w:val="-1"/>
          <w:kern w:val="0"/>
          <w:sz w:val="24"/>
          <w:szCs w:val="24"/>
          <w:lang w:val="en-US" w:eastAsia="zh-CN"/>
        </w:rPr>
        <w:t>结算时需按要求提供增值税专用发票。</w:t>
      </w:r>
    </w:p>
    <w:p>
      <w:pPr>
        <w:widowControl/>
        <w:numPr>
          <w:ilvl w:val="0"/>
          <w:numId w:val="3"/>
        </w:numPr>
        <w:kinsoku w:val="0"/>
        <w:autoSpaceDE w:val="0"/>
        <w:autoSpaceDN w:val="0"/>
        <w:adjustRightInd w:val="0"/>
        <w:snapToGrid w:val="0"/>
        <w:spacing w:before="277" w:line="430" w:lineRule="auto"/>
        <w:ind w:right="40" w:firstLine="238" w:firstLineChars="100"/>
        <w:jc w:val="both"/>
        <w:textAlignment w:val="baseline"/>
        <w:rPr>
          <w:rFonts w:hint="eastAsia" w:ascii="宋体" w:hAnsi="宋体" w:eastAsia="宋体" w:cs="宋体"/>
          <w:snapToGrid w:val="0"/>
          <w:color w:val="000000"/>
          <w:spacing w:val="-1"/>
          <w:kern w:val="0"/>
          <w:sz w:val="24"/>
          <w:szCs w:val="24"/>
          <w:lang w:val="en-US" w:eastAsia="zh-CN"/>
        </w:rPr>
      </w:pPr>
      <w:r>
        <w:rPr>
          <w:rFonts w:hint="eastAsia" w:ascii="宋体" w:hAnsi="宋体" w:eastAsia="宋体" w:cs="宋体"/>
          <w:snapToGrid w:val="0"/>
          <w:color w:val="000000"/>
          <w:spacing w:val="-1"/>
          <w:kern w:val="0"/>
          <w:sz w:val="24"/>
          <w:szCs w:val="24"/>
          <w:lang w:val="en-US" w:eastAsia="zh-CN"/>
        </w:rPr>
        <w:t>代理费收费标准</w:t>
      </w:r>
    </w:p>
    <w:p>
      <w:pPr>
        <w:widowControl/>
        <w:numPr>
          <w:ilvl w:val="0"/>
          <w:numId w:val="0"/>
        </w:numPr>
        <w:kinsoku w:val="0"/>
        <w:autoSpaceDE w:val="0"/>
        <w:autoSpaceDN w:val="0"/>
        <w:adjustRightInd w:val="0"/>
        <w:snapToGrid w:val="0"/>
        <w:spacing w:before="277" w:line="430" w:lineRule="auto"/>
        <w:ind w:right="40" w:rightChars="0" w:firstLine="476" w:firstLineChars="200"/>
        <w:jc w:val="both"/>
        <w:textAlignment w:val="baseline"/>
        <w:rPr>
          <w:rFonts w:hint="eastAsia" w:ascii="宋体" w:hAnsi="宋体" w:eastAsia="宋体" w:cs="宋体"/>
          <w:snapToGrid w:val="0"/>
          <w:color w:val="000000"/>
          <w:spacing w:val="-1"/>
          <w:kern w:val="0"/>
          <w:sz w:val="24"/>
          <w:szCs w:val="24"/>
          <w:lang w:val="en-US" w:eastAsia="zh-CN"/>
        </w:rPr>
      </w:pPr>
      <w:r>
        <w:rPr>
          <w:rFonts w:hint="default" w:ascii="宋体" w:hAnsi="宋体" w:eastAsia="宋体" w:cs="宋体"/>
          <w:snapToGrid w:val="0"/>
          <w:color w:val="000000"/>
          <w:spacing w:val="-1"/>
          <w:kern w:val="0"/>
          <w:sz w:val="24"/>
          <w:szCs w:val="24"/>
          <w:lang w:val="en-US" w:eastAsia="zh-CN"/>
        </w:rPr>
        <w:t>代理服务费用由成交供应商支付</w:t>
      </w:r>
      <w:r>
        <w:rPr>
          <w:rFonts w:hint="eastAsia" w:ascii="宋体" w:hAnsi="宋体" w:eastAsia="宋体" w:cs="宋体"/>
          <w:snapToGrid w:val="0"/>
          <w:color w:val="000000"/>
          <w:spacing w:val="-1"/>
          <w:kern w:val="0"/>
          <w:sz w:val="24"/>
          <w:szCs w:val="24"/>
          <w:lang w:val="en-US" w:eastAsia="zh-CN"/>
        </w:rPr>
        <w:t>，</w:t>
      </w:r>
      <w:r>
        <w:rPr>
          <w:rFonts w:hint="default" w:ascii="宋体" w:hAnsi="宋体" w:eastAsia="宋体" w:cs="宋体"/>
          <w:snapToGrid w:val="0"/>
          <w:color w:val="000000"/>
          <w:spacing w:val="-1"/>
          <w:kern w:val="0"/>
          <w:sz w:val="24"/>
          <w:szCs w:val="24"/>
          <w:lang w:val="en-US" w:eastAsia="zh-CN"/>
        </w:rPr>
        <w:t>本框架协议项目拟选取3家供应商，收取每个入围供应商代理服务费2000元</w:t>
      </w:r>
      <w:r>
        <w:rPr>
          <w:rFonts w:hint="eastAsia" w:ascii="宋体" w:hAnsi="宋体" w:eastAsia="宋体" w:cs="宋体"/>
          <w:snapToGrid w:val="0"/>
          <w:color w:val="000000"/>
          <w:spacing w:val="-1"/>
          <w:kern w:val="0"/>
          <w:sz w:val="24"/>
          <w:szCs w:val="24"/>
          <w:lang w:val="en-US" w:eastAsia="zh-CN"/>
        </w:rPr>
        <w:t>。</w:t>
      </w:r>
    </w:p>
    <w:p>
      <w:pPr>
        <w:pStyle w:val="17"/>
        <w:ind w:left="0" w:leftChars="0" w:firstLine="0" w:firstLineChars="0"/>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2"/>
        <w:numPr>
          <w:ilvl w:val="0"/>
          <w:numId w:val="0"/>
        </w:numPr>
        <w:bidi w:val="0"/>
        <w:jc w:val="center"/>
        <w:rPr>
          <w:rFonts w:hint="default"/>
          <w:lang w:val="en-US" w:eastAsia="zh-CN"/>
        </w:rPr>
      </w:pPr>
      <w:bookmarkStart w:id="6" w:name="_Toc20703"/>
      <w:r>
        <w:rPr>
          <w:rFonts w:hint="eastAsia"/>
          <w:lang w:val="en-US" w:eastAsia="zh-CN"/>
        </w:rPr>
        <w:t>第七章 用户反馈和评价机制</w:t>
      </w:r>
      <w:bookmarkEnd w:id="6"/>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征集人接受采购人和服务对象对入围供应商履行框架协议和采购合同情况的反馈与评价，并将用户反馈和评价情况向采购人和服务对象公开，可作为第二阶段直接选定成交供应商的参考。</w:t>
      </w:r>
    </w:p>
    <w:p>
      <w:pPr>
        <w:pStyle w:val="17"/>
        <w:rPr>
          <w:rFonts w:hint="eastAsia"/>
          <w:lang w:val="en-US" w:eastAsia="zh-CN"/>
        </w:rPr>
      </w:pPr>
    </w:p>
    <w:p>
      <w:pPr>
        <w:pStyle w:val="2"/>
        <w:numPr>
          <w:ilvl w:val="0"/>
          <w:numId w:val="0"/>
        </w:numPr>
        <w:bidi w:val="0"/>
        <w:jc w:val="center"/>
        <w:rPr>
          <w:rFonts w:hint="eastAsia"/>
          <w:lang w:val="en-US" w:eastAsia="zh-CN"/>
        </w:rPr>
      </w:pPr>
      <w:bookmarkStart w:id="7" w:name="_Toc10638"/>
      <w:r>
        <w:rPr>
          <w:rFonts w:hint="eastAsia"/>
          <w:lang w:val="en-US" w:eastAsia="zh-CN"/>
        </w:rPr>
        <w:t>第八章 框架协议和采购合同</w:t>
      </w:r>
      <w:bookmarkEnd w:id="7"/>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本项目框架协议及采购合同依据征集公告及征集文件确定的事项进行签订。</w:t>
      </w:r>
    </w:p>
    <w:p>
      <w:pPr>
        <w:pStyle w:val="17"/>
        <w:rPr>
          <w:rFonts w:hint="default"/>
          <w:lang w:val="en-US" w:eastAsia="zh-CN"/>
        </w:rPr>
      </w:pPr>
    </w:p>
    <w:p>
      <w:pPr>
        <w:pStyle w:val="17"/>
        <w:ind w:left="0" w:leftChars="0" w:firstLine="0" w:firstLineChars="0"/>
      </w:pPr>
    </w:p>
    <w:p>
      <w:pPr>
        <w:pStyle w:val="2"/>
        <w:bidi w:val="0"/>
        <w:jc w:val="center"/>
      </w:pPr>
      <w:bookmarkStart w:id="8" w:name="_Toc669"/>
      <w:r>
        <w:rPr>
          <w:rFonts w:hint="eastAsia"/>
          <w:lang w:val="en-US" w:eastAsia="zh-CN"/>
        </w:rPr>
        <w:t>第九章 供应商信用信息</w:t>
      </w:r>
      <w:bookmarkEnd w:id="8"/>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rPr>
          <w:sz w:val="24"/>
          <w:szCs w:val="24"/>
        </w:rPr>
      </w:pPr>
      <w:r>
        <w:rPr>
          <w:rFonts w:hint="eastAsia" w:ascii="宋体" w:hAnsi="宋体" w:eastAsia="宋体" w:cs="宋体"/>
          <w:color w:val="000000"/>
          <w:kern w:val="0"/>
          <w:sz w:val="24"/>
          <w:szCs w:val="24"/>
          <w:lang w:val="en-US" w:eastAsia="zh-CN" w:bidi="ar"/>
        </w:rPr>
        <w:t>供应商存在不良信用记录的不得入围。</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2" w:firstLineChars="200"/>
        <w:jc w:val="both"/>
        <w:textAlignment w:val="auto"/>
        <w:rPr>
          <w:b/>
          <w:bCs/>
          <w:sz w:val="24"/>
          <w:szCs w:val="24"/>
        </w:rPr>
      </w:pPr>
      <w:r>
        <w:rPr>
          <w:rFonts w:hint="eastAsia" w:ascii="宋体" w:hAnsi="宋体" w:eastAsia="宋体" w:cs="宋体"/>
          <w:b/>
          <w:bCs/>
          <w:color w:val="000000"/>
          <w:kern w:val="0"/>
          <w:sz w:val="24"/>
          <w:szCs w:val="24"/>
          <w:lang w:val="en-US" w:eastAsia="zh-CN" w:bidi="ar"/>
        </w:rPr>
        <w:t>1、不良信用记录是指：</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rPr>
          <w:sz w:val="24"/>
          <w:szCs w:val="24"/>
        </w:rPr>
      </w:pP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eastAsia"/>
          <w:sz w:val="24"/>
          <w:szCs w:val="24"/>
        </w:rPr>
        <w:t>被人民法院列入失信被执行人；</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rPr>
          <w:sz w:val="24"/>
          <w:szCs w:val="24"/>
        </w:rPr>
      </w:pPr>
      <w:r>
        <w:rPr>
          <w:rFonts w:hint="eastAsia"/>
          <w:sz w:val="24"/>
          <w:szCs w:val="24"/>
          <w:lang w:eastAsia="zh-CN"/>
        </w:rPr>
        <w:t>（</w:t>
      </w:r>
      <w:r>
        <w:rPr>
          <w:rFonts w:hint="eastAsia"/>
          <w:sz w:val="24"/>
          <w:szCs w:val="24"/>
          <w:lang w:val="en-US" w:eastAsia="zh-CN"/>
        </w:rPr>
        <w:t>2</w:t>
      </w:r>
      <w:r>
        <w:rPr>
          <w:rFonts w:hint="eastAsia"/>
          <w:sz w:val="24"/>
          <w:szCs w:val="24"/>
          <w:lang w:eastAsia="zh-CN"/>
        </w:rPr>
        <w:t>）</w:t>
      </w:r>
      <w:r>
        <w:rPr>
          <w:rFonts w:hint="eastAsia"/>
          <w:sz w:val="24"/>
          <w:szCs w:val="24"/>
        </w:rPr>
        <w:t>被市场监督管理部门列入</w:t>
      </w:r>
      <w:r>
        <w:rPr>
          <w:rFonts w:hint="eastAsia"/>
          <w:sz w:val="24"/>
          <w:szCs w:val="24"/>
          <w:lang w:eastAsia="zh-CN"/>
        </w:rPr>
        <w:t>严重违法失信企业</w:t>
      </w:r>
      <w:r>
        <w:rPr>
          <w:rFonts w:hint="eastAsia"/>
          <w:sz w:val="24"/>
          <w:szCs w:val="24"/>
        </w:rPr>
        <w:t>名录；</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rPr>
          <w:sz w:val="24"/>
          <w:szCs w:val="24"/>
        </w:rPr>
      </w:pPr>
      <w:r>
        <w:rPr>
          <w:rFonts w:hint="eastAsia"/>
          <w:sz w:val="24"/>
          <w:szCs w:val="24"/>
          <w:lang w:val="en-US" w:eastAsia="zh-CN"/>
        </w:rPr>
        <w:t>（3）</w:t>
      </w:r>
      <w:r>
        <w:rPr>
          <w:rFonts w:hint="eastAsia"/>
          <w:sz w:val="24"/>
          <w:szCs w:val="24"/>
        </w:rPr>
        <w:t>被税务部门列入重大税收违法案件当事人名单的；</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rPr>
          <w:sz w:val="24"/>
          <w:szCs w:val="24"/>
        </w:rPr>
      </w:pPr>
      <w:r>
        <w:rPr>
          <w:rFonts w:hint="eastAsia"/>
          <w:sz w:val="24"/>
          <w:szCs w:val="24"/>
          <w:lang w:eastAsia="zh-CN"/>
        </w:rPr>
        <w:t>（</w:t>
      </w:r>
      <w:r>
        <w:rPr>
          <w:rFonts w:hint="eastAsia"/>
          <w:sz w:val="24"/>
          <w:szCs w:val="24"/>
          <w:lang w:val="en-US" w:eastAsia="zh-CN"/>
        </w:rPr>
        <w:t>4</w:t>
      </w:r>
      <w:r>
        <w:rPr>
          <w:rFonts w:hint="eastAsia"/>
          <w:sz w:val="24"/>
          <w:szCs w:val="24"/>
          <w:lang w:eastAsia="zh-CN"/>
        </w:rPr>
        <w:t>）</w:t>
      </w:r>
      <w:r>
        <w:rPr>
          <w:rFonts w:hint="eastAsia"/>
          <w:sz w:val="24"/>
          <w:szCs w:val="24"/>
        </w:rPr>
        <w:t>被政府采购监管部门列入政府采购严重违法失信行为记录名单。</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2" w:firstLineChars="200"/>
        <w:jc w:val="both"/>
        <w:textAlignment w:val="auto"/>
        <w:rPr>
          <w:sz w:val="24"/>
          <w:szCs w:val="24"/>
        </w:rPr>
      </w:pPr>
      <w:r>
        <w:rPr>
          <w:rFonts w:hint="eastAsia" w:ascii="宋体" w:hAnsi="宋体" w:eastAsia="宋体" w:cs="宋体"/>
          <w:b/>
          <w:bCs/>
          <w:color w:val="000000"/>
          <w:kern w:val="0"/>
          <w:sz w:val="24"/>
          <w:szCs w:val="24"/>
          <w:lang w:val="en-US" w:eastAsia="zh-CN" w:bidi="ar"/>
        </w:rPr>
        <w:t>2、信用信息查询渠道：</w:t>
      </w:r>
      <w:r>
        <w:rPr>
          <w:rFonts w:hint="eastAsia" w:ascii="宋体" w:hAnsi="宋体" w:eastAsia="宋体" w:cs="宋体"/>
          <w:color w:val="000000"/>
          <w:kern w:val="0"/>
          <w:sz w:val="24"/>
          <w:szCs w:val="24"/>
          <w:lang w:val="en-US" w:eastAsia="zh-CN" w:bidi="ar"/>
        </w:rPr>
        <w:t>中国政府采购网（www.ccgp.gov.cn）、“信用中国”网站（www.creditchina.gov.cn）、国家企业信用信息公示系统（www.gsxt.gov.cn）。</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2" w:firstLineChars="200"/>
        <w:jc w:val="both"/>
        <w:textAlignment w:val="auto"/>
        <w:rPr>
          <w:sz w:val="24"/>
          <w:szCs w:val="24"/>
        </w:rPr>
      </w:pPr>
      <w:r>
        <w:rPr>
          <w:rFonts w:hint="eastAsia" w:ascii="宋体" w:hAnsi="宋体" w:eastAsia="宋体" w:cs="宋体"/>
          <w:b/>
          <w:bCs/>
          <w:color w:val="000000"/>
          <w:kern w:val="0"/>
          <w:sz w:val="24"/>
          <w:szCs w:val="24"/>
          <w:lang w:val="en-US" w:eastAsia="zh-CN" w:bidi="ar"/>
        </w:rPr>
        <w:t>注：</w:t>
      </w:r>
      <w:r>
        <w:rPr>
          <w:rFonts w:hint="eastAsia" w:ascii="宋体" w:hAnsi="宋体" w:eastAsia="宋体" w:cs="宋体"/>
          <w:color w:val="000000"/>
          <w:kern w:val="0"/>
          <w:sz w:val="24"/>
          <w:szCs w:val="24"/>
          <w:lang w:val="en-US" w:eastAsia="zh-CN" w:bidi="ar"/>
        </w:rPr>
        <w:t>供应商应自行查询信用信息，查询截止时点为本项目响应文件提交截止时间。</w:t>
      </w:r>
    </w:p>
    <w:p>
      <w:pPr>
        <w:pStyle w:val="2"/>
        <w:bidi w:val="0"/>
        <w:jc w:val="center"/>
        <w:rPr>
          <w:rFonts w:hint="eastAsia"/>
          <w:lang w:val="en-US" w:eastAsia="zh-CN"/>
        </w:rPr>
      </w:pPr>
    </w:p>
    <w:p>
      <w:pPr>
        <w:pStyle w:val="2"/>
        <w:bidi w:val="0"/>
        <w:jc w:val="center"/>
        <w:rPr>
          <w:rFonts w:hint="default"/>
          <w:lang w:val="en-US"/>
        </w:rPr>
      </w:pPr>
      <w:bookmarkStart w:id="9" w:name="_Toc25933"/>
      <w:r>
        <w:rPr>
          <w:rFonts w:hint="eastAsia"/>
          <w:lang w:val="en-US" w:eastAsia="zh-CN"/>
        </w:rPr>
        <w:t>第十章 响应文件的编制</w:t>
      </w:r>
      <w:bookmarkEnd w:id="9"/>
      <w:r>
        <w:rPr>
          <w:rFonts w:hint="eastAsia"/>
          <w:lang w:val="en-US" w:eastAsia="zh-CN"/>
        </w:rPr>
        <w:t>和提交</w:t>
      </w:r>
    </w:p>
    <w:p>
      <w:pPr>
        <w:keepNext w:val="0"/>
        <w:keepLines w:val="0"/>
        <w:pageBreakBefore w:val="0"/>
        <w:widowControl w:val="0"/>
        <w:kinsoku/>
        <w:wordWrap/>
        <w:overflowPunct/>
        <w:topLinePunct w:val="0"/>
        <w:autoSpaceDE/>
        <w:autoSpaceDN/>
        <w:bidi w:val="0"/>
        <w:adjustRightInd/>
        <w:snapToGrid/>
        <w:spacing w:line="560" w:lineRule="exact"/>
        <w:ind w:left="0" w:right="0" w:firstLine="482" w:firstLineChars="200"/>
        <w:jc w:val="both"/>
        <w:textAlignment w:val="auto"/>
        <w:outlineLvl w:val="0"/>
        <w:rPr>
          <w:rFonts w:ascii="宋体" w:hAnsi="宋体" w:eastAsia="宋体" w:cs="宋体"/>
          <w:spacing w:val="0"/>
          <w:position w:val="0"/>
          <w:sz w:val="24"/>
          <w:szCs w:val="24"/>
        </w:rPr>
      </w:pPr>
      <w:r>
        <w:rPr>
          <w:rFonts w:ascii="宋体" w:hAnsi="宋体" w:eastAsia="宋体" w:cs="宋体"/>
          <w:b/>
          <w:bCs/>
          <w:spacing w:val="0"/>
          <w:position w:val="0"/>
          <w:sz w:val="24"/>
          <w:szCs w:val="24"/>
        </w:rPr>
        <w:t>1.响应文件构成与要求</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1.1响应文件是对征集文件的实质性响应及承诺文件。</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1.2除非注明“供应商可自行制作格式”,响应文件应使用征集文件提供的格式。</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1.3 除专用术语外，响应文件以及供应商与征集人就有关投标的往来函电均应使用 中文。供应商提交的支持性文件和印制的文件可以用另一种语言，但相应内容应翻译成中文，对不同文字文本响应文件的解释发生异议的，以中文文本为准。</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1.4除非征集文件另有规定，响应文件应使用中华人民共和国法定计量单位。</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1.5除非征集文件另有规定，响应文件应使用人民币填报所有报价。允许以多种货币报价的，或涉及合同金额等计算的，均按照中国人民银行在开标日公布的汇率中间价 换算成人民币。公司注册资本为外币，须折算成人民币的，按照公司成立日期当日(以营业执照注明的成立日期为准)中国人民银行公布的汇率的中间价计算(投标供应商应提供成立日期当日中国人民银行公布的汇率的中间价作为参考)。</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1.6供应商资质证书(或资格证明)处于年检、换证、升级、变更等期间，除非有法律法规或发证机构书面材料明确表明供应商资质(或资格)有效，否则一律不予认可。</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1.7电报、电话、传真形式的投标概不接受。</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spacing w:val="0"/>
          <w:position w:val="0"/>
          <w:sz w:val="24"/>
          <w:szCs w:val="24"/>
        </w:rPr>
      </w:pPr>
      <w:r>
        <w:rPr>
          <w:rFonts w:ascii="宋体" w:hAnsi="宋体" w:eastAsia="宋体" w:cs="宋体"/>
          <w:spacing w:val="0"/>
          <w:position w:val="0"/>
          <w:sz w:val="24"/>
          <w:szCs w:val="24"/>
        </w:rPr>
        <w:t>1.8除非征集文件另有规定，征集人一律不予退还供应商的投标文件。</w:t>
      </w:r>
    </w:p>
    <w:p>
      <w:pPr>
        <w:keepNext w:val="0"/>
        <w:keepLines w:val="0"/>
        <w:pageBreakBefore w:val="0"/>
        <w:widowControl w:val="0"/>
        <w:kinsoku/>
        <w:wordWrap/>
        <w:overflowPunct/>
        <w:topLinePunct w:val="0"/>
        <w:autoSpaceDE/>
        <w:autoSpaceDN/>
        <w:bidi w:val="0"/>
        <w:adjustRightInd/>
        <w:snapToGrid/>
        <w:spacing w:line="560" w:lineRule="exact"/>
        <w:ind w:left="0" w:right="0" w:firstLine="482" w:firstLineChars="200"/>
        <w:jc w:val="both"/>
        <w:textAlignment w:val="auto"/>
        <w:outlineLvl w:val="0"/>
        <w:rPr>
          <w:rFonts w:ascii="宋体" w:hAnsi="宋体" w:eastAsia="宋体" w:cs="宋体"/>
          <w:spacing w:val="0"/>
          <w:position w:val="0"/>
          <w:sz w:val="24"/>
          <w:szCs w:val="24"/>
        </w:rPr>
      </w:pPr>
      <w:r>
        <w:rPr>
          <w:rFonts w:ascii="宋体" w:hAnsi="宋体" w:eastAsia="宋体" w:cs="宋体"/>
          <w:b/>
          <w:bCs/>
          <w:spacing w:val="0"/>
          <w:position w:val="0"/>
          <w:sz w:val="24"/>
          <w:szCs w:val="24"/>
        </w:rPr>
        <w:t>2.响应内容填写及说明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2.1响应文件须对征集文件载明的征集资格、技术、资信、服务、报价等全部要求和条件做出实质性和完整的响应，如果响应文件填报的内容资料不详，或没有提供征集文件所要求的全部资料、证明及数据，将导致响应无效。</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2.2供应商应在响应文件中提交征集文件要求的有关证明文件，作为其响应文件的一部分。</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2.3供应商应在响应文件中提交征集文件要求的所有服务的合格性以及符合征集文 件规定的证明文件(可以是手册、图纸和资料等),并作为其响应文件的一部分。包括：服务主要内容的详细描述等。</w:t>
      </w:r>
    </w:p>
    <w:p>
      <w:pPr>
        <w:pStyle w:val="6"/>
        <w:spacing w:before="282" w:line="219" w:lineRule="auto"/>
        <w:ind w:left="503"/>
        <w:outlineLvl w:val="6"/>
        <w:rPr>
          <w:sz w:val="24"/>
          <w:szCs w:val="24"/>
        </w:rPr>
      </w:pPr>
      <w:r>
        <w:rPr>
          <w:b/>
          <w:bCs/>
          <w:spacing w:val="-7"/>
          <w:sz w:val="24"/>
          <w:szCs w:val="24"/>
        </w:rPr>
        <w:t>3.响应文件的提交</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lang w:val="en-US" w:eastAsia="zh-CN"/>
        </w:rPr>
        <w:t>3.1</w:t>
      </w:r>
      <w:r>
        <w:rPr>
          <w:rFonts w:hint="eastAsia" w:ascii="宋体" w:hAnsi="宋体" w:eastAsia="宋体" w:cs="宋体"/>
          <w:spacing w:val="0"/>
          <w:position w:val="0"/>
          <w:sz w:val="24"/>
          <w:szCs w:val="24"/>
        </w:rPr>
        <w:t>投标文件的密封与标志</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所有投标文件为明标，应将投标文件的正本、副本分别密封，并在封袋上正确注明“正本”和“副本”字样。所有封袋上都应写明项目名称、投标单位名称，并在封袋骑缝处加盖投标单位公章或经法定代表人或委托代理人签字（或盖章）。</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lang w:val="en-US" w:eastAsia="zh-CN"/>
        </w:rPr>
        <w:t>3.</w:t>
      </w:r>
      <w:r>
        <w:rPr>
          <w:rFonts w:hint="eastAsia" w:ascii="宋体" w:hAnsi="宋体" w:eastAsia="宋体" w:cs="宋体"/>
          <w:spacing w:val="0"/>
          <w:position w:val="0"/>
          <w:sz w:val="24"/>
          <w:szCs w:val="24"/>
        </w:rPr>
        <w:t>2投标截止期</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（1）投标人应在投标须知中规定的时间之前将谈判响应文件递交到指定地点。招标单位在接到谈判响应文件时将注明收到的日期和时间。</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（2）超过投标截止期送达的谈判响应文件将被拒绝并原封退给投标人。</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3、投标文件的修改与撤回</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（1）投标人可以在递交谈判响应文件以后，在规定的投标截止期之前，以书面形式向招标单位递交修改或撤回其谈判响应文件的通知。在投标截止期以后，不得更改谈判响应文件。</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（2）投标人的修改或撤回通知，应按本文件的要求编制、密封、标志和递交（密封袋上应标明“修改”或“撤回”字样）。</w:t>
      </w:r>
    </w:p>
    <w:p>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jc w:val="both"/>
        <w:textAlignment w:val="auto"/>
        <w:rPr>
          <w:rFonts w:hint="eastAsia" w:ascii="宋体" w:hAnsi="宋体" w:eastAsia="宋体" w:cs="宋体"/>
          <w:spacing w:val="0"/>
          <w:position w:val="0"/>
          <w:sz w:val="24"/>
          <w:szCs w:val="24"/>
          <w:lang w:eastAsia="zh-CN"/>
        </w:rPr>
      </w:pPr>
      <w:r>
        <w:rPr>
          <w:rFonts w:hint="eastAsia" w:ascii="宋体" w:hAnsi="宋体" w:eastAsia="宋体" w:cs="宋体"/>
          <w:spacing w:val="0"/>
          <w:position w:val="0"/>
          <w:sz w:val="24"/>
          <w:szCs w:val="24"/>
        </w:rPr>
        <w:t>（3）在投标有效期内，投标人不得撤销谈判响应文件</w:t>
      </w:r>
      <w:r>
        <w:rPr>
          <w:rFonts w:hint="eastAsia" w:ascii="宋体" w:hAnsi="宋体" w:eastAsia="宋体" w:cs="宋体"/>
          <w:spacing w:val="0"/>
          <w:position w:val="0"/>
          <w:sz w:val="24"/>
          <w:szCs w:val="24"/>
          <w:lang w:eastAsia="zh-CN"/>
        </w:rPr>
        <w:t>。</w:t>
      </w:r>
    </w:p>
    <w:p>
      <w:pPr>
        <w:pStyle w:val="6"/>
        <w:spacing w:before="280" w:line="219" w:lineRule="auto"/>
        <w:ind w:left="503"/>
        <w:outlineLvl w:val="6"/>
        <w:rPr>
          <w:sz w:val="24"/>
          <w:szCs w:val="24"/>
        </w:rPr>
      </w:pPr>
      <w:r>
        <w:rPr>
          <w:b/>
          <w:bCs/>
          <w:spacing w:val="-8"/>
          <w:sz w:val="24"/>
          <w:szCs w:val="24"/>
        </w:rPr>
        <w:t>4.响应文件开启</w:t>
      </w:r>
    </w:p>
    <w:p>
      <w:pPr>
        <w:pStyle w:val="6"/>
        <w:spacing w:before="268" w:line="219" w:lineRule="auto"/>
        <w:ind w:left="499"/>
        <w:rPr>
          <w:sz w:val="24"/>
          <w:szCs w:val="24"/>
        </w:rPr>
      </w:pPr>
      <w:r>
        <w:rPr>
          <w:spacing w:val="10"/>
          <w:sz w:val="24"/>
          <w:szCs w:val="24"/>
        </w:rPr>
        <w:t>4.1.提交截止时间及开启时间：2024年</w:t>
      </w:r>
      <w:r>
        <w:rPr>
          <w:rFonts w:hint="eastAsia"/>
          <w:spacing w:val="10"/>
          <w:sz w:val="24"/>
          <w:szCs w:val="24"/>
          <w:lang w:val="en-US" w:eastAsia="zh-CN"/>
        </w:rPr>
        <w:t>4</w:t>
      </w:r>
      <w:r>
        <w:rPr>
          <w:spacing w:val="10"/>
          <w:sz w:val="24"/>
          <w:szCs w:val="24"/>
        </w:rPr>
        <w:t>月</w:t>
      </w:r>
      <w:r>
        <w:rPr>
          <w:rFonts w:hint="eastAsia"/>
          <w:spacing w:val="10"/>
          <w:sz w:val="24"/>
          <w:szCs w:val="24"/>
          <w:lang w:val="en-US" w:eastAsia="zh-CN"/>
        </w:rPr>
        <w:t>15</w:t>
      </w:r>
      <w:r>
        <w:rPr>
          <w:spacing w:val="9"/>
          <w:sz w:val="24"/>
          <w:szCs w:val="24"/>
        </w:rPr>
        <w:t>日上午09:00整；</w:t>
      </w:r>
    </w:p>
    <w:p>
      <w:pPr>
        <w:pStyle w:val="6"/>
        <w:spacing w:before="265" w:line="560" w:lineRule="exact"/>
        <w:ind w:left="499"/>
        <w:rPr>
          <w:sz w:val="24"/>
          <w:szCs w:val="24"/>
        </w:rPr>
      </w:pPr>
      <w:r>
        <w:rPr>
          <w:spacing w:val="10"/>
          <w:position w:val="24"/>
          <w:sz w:val="24"/>
          <w:szCs w:val="24"/>
        </w:rPr>
        <w:t>4.2响应文件提交地点:</w:t>
      </w:r>
      <w:r>
        <w:rPr>
          <w:rFonts w:hint="eastAsia"/>
          <w:spacing w:val="10"/>
          <w:position w:val="24"/>
          <w:sz w:val="24"/>
          <w:szCs w:val="24"/>
          <w:lang w:val="en-US" w:eastAsia="zh-CN"/>
        </w:rPr>
        <w:t>安徽大别山工程咨询有限公司开标厅201室（霍山县国投大厦）</w:t>
      </w:r>
      <w:r>
        <w:rPr>
          <w:spacing w:val="10"/>
          <w:position w:val="24"/>
          <w:sz w:val="24"/>
          <w:szCs w:val="24"/>
        </w:rPr>
        <w:t>；</w:t>
      </w:r>
    </w:p>
    <w:p>
      <w:pPr>
        <w:pStyle w:val="6"/>
        <w:spacing w:line="218" w:lineRule="auto"/>
        <w:ind w:left="499"/>
        <w:rPr>
          <w:spacing w:val="3"/>
          <w:sz w:val="24"/>
          <w:szCs w:val="24"/>
        </w:rPr>
      </w:pPr>
      <w:r>
        <w:rPr>
          <w:spacing w:val="4"/>
          <w:sz w:val="24"/>
          <w:szCs w:val="24"/>
        </w:rPr>
        <w:t>4.3响应文件开启地点：</w:t>
      </w:r>
      <w:r>
        <w:rPr>
          <w:rFonts w:hint="eastAsia"/>
          <w:spacing w:val="4"/>
          <w:sz w:val="24"/>
          <w:szCs w:val="24"/>
          <w:lang w:val="en-US" w:eastAsia="zh-CN"/>
        </w:rPr>
        <w:t>安徽大别山工程咨询有限公司开标厅201室（霍山县国投大厦）</w:t>
      </w:r>
      <w:r>
        <w:rPr>
          <w:spacing w:val="3"/>
          <w:sz w:val="24"/>
          <w:szCs w:val="24"/>
        </w:rPr>
        <w:t>。</w:t>
      </w:r>
    </w:p>
    <w:p>
      <w:pPr>
        <w:pStyle w:val="6"/>
        <w:spacing w:line="218" w:lineRule="auto"/>
        <w:ind w:left="499"/>
        <w:rPr>
          <w:spacing w:val="3"/>
          <w:sz w:val="24"/>
          <w:szCs w:val="24"/>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pageBreakBefore w:val="0"/>
        <w:widowControl w:val="0"/>
        <w:kinsoku/>
        <w:wordWrap/>
        <w:overflowPunct/>
        <w:topLinePunct w:val="0"/>
        <w:autoSpaceDE/>
        <w:autoSpaceDN/>
        <w:bidi w:val="0"/>
        <w:adjustRightInd/>
        <w:snapToGrid/>
        <w:spacing w:line="500" w:lineRule="exact"/>
        <w:ind w:firstLine="0" w:firstLineChars="0"/>
        <w:jc w:val="both"/>
        <w:textAlignment w:val="auto"/>
        <w:outlineLvl w:val="1"/>
        <w:rPr>
          <w:rFonts w:hint="eastAsia" w:ascii="黑体" w:hAnsi="黑体" w:eastAsia="黑体" w:cs="黑体"/>
          <w:b w:val="0"/>
          <w:bCs/>
          <w:color w:val="auto"/>
          <w:sz w:val="32"/>
          <w:szCs w:val="32"/>
          <w:highlight w:val="none"/>
          <w:lang w:val="en-US" w:eastAsia="zh-CN"/>
        </w:rPr>
      </w:pPr>
    </w:p>
    <w:p>
      <w:pPr>
        <w:pageBreakBefore w:val="0"/>
        <w:widowControl w:val="0"/>
        <w:kinsoku/>
        <w:wordWrap/>
        <w:overflowPunct/>
        <w:topLinePunct w:val="0"/>
        <w:autoSpaceDE/>
        <w:autoSpaceDN/>
        <w:bidi w:val="0"/>
        <w:adjustRightInd/>
        <w:snapToGrid/>
        <w:spacing w:line="500" w:lineRule="exact"/>
        <w:ind w:firstLine="0" w:firstLineChars="0"/>
        <w:jc w:val="both"/>
        <w:textAlignment w:val="auto"/>
        <w:outlineLvl w:val="1"/>
        <w:rPr>
          <w:rFonts w:hint="eastAsia" w:ascii="黑体" w:hAnsi="黑体" w:eastAsia="黑体" w:cs="黑体"/>
          <w:b w:val="0"/>
          <w:bCs/>
          <w:color w:val="auto"/>
          <w:sz w:val="32"/>
          <w:szCs w:val="32"/>
          <w:highlight w:val="none"/>
          <w:lang w:val="en-US" w:eastAsia="zh-CN"/>
        </w:rPr>
      </w:pPr>
    </w:p>
    <w:p>
      <w:pPr>
        <w:rPr>
          <w:rFonts w:hint="eastAsia" w:ascii="黑体" w:hAnsi="黑体" w:eastAsia="黑体" w:cs="黑体"/>
          <w:b w:val="0"/>
          <w:bCs/>
          <w:color w:val="auto"/>
          <w:sz w:val="32"/>
          <w:szCs w:val="32"/>
          <w:highlight w:val="none"/>
          <w:lang w:val="en-US" w:eastAsia="zh-CN"/>
        </w:rPr>
      </w:pPr>
      <w:bookmarkStart w:id="10" w:name="_Toc28185"/>
      <w:r>
        <w:rPr>
          <w:rFonts w:hint="eastAsia" w:ascii="黑体" w:hAnsi="黑体" w:eastAsia="黑体" w:cs="黑体"/>
          <w:b w:val="0"/>
          <w:bCs/>
          <w:color w:val="auto"/>
          <w:sz w:val="32"/>
          <w:szCs w:val="32"/>
          <w:highlight w:val="none"/>
          <w:lang w:val="en-US" w:eastAsia="zh-CN"/>
        </w:rPr>
        <w:br w:type="page"/>
      </w:r>
    </w:p>
    <w:p>
      <w:pPr>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1"/>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第十一章 响应文件（格式）</w:t>
      </w:r>
      <w:bookmarkEnd w:id="10"/>
    </w:p>
    <w:p>
      <w:pPr>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1"/>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eastAsia="zh-CN"/>
        </w:rPr>
        <w:t>霍山国投集团公车维修服务单位框架协议采购项目</w:t>
      </w:r>
    </w:p>
    <w:p>
      <w:pPr>
        <w:pStyle w:val="16"/>
        <w:rPr>
          <w:rFonts w:hint="eastAsia"/>
          <w:highlight w:val="none"/>
          <w:lang w:eastAsia="zh-CN"/>
        </w:rPr>
      </w:pPr>
    </w:p>
    <w:p>
      <w:pPr>
        <w:pStyle w:val="17"/>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 xml:space="preserve"> </w:t>
      </w:r>
    </w:p>
    <w:p>
      <w:pPr>
        <w:rPr>
          <w:highlight w:val="none"/>
        </w:rPr>
      </w:pPr>
    </w:p>
    <w:p>
      <w:pPr>
        <w:pageBreakBefore w:val="0"/>
        <w:widowControl w:val="0"/>
        <w:kinsoku/>
        <w:wordWrap/>
        <w:overflowPunct/>
        <w:topLinePunct w:val="0"/>
        <w:autoSpaceDE/>
        <w:autoSpaceDN/>
        <w:bidi w:val="0"/>
        <w:adjustRightInd/>
        <w:snapToGrid/>
        <w:spacing w:line="900" w:lineRule="exact"/>
        <w:ind w:firstLine="0" w:firstLineChars="0"/>
        <w:jc w:val="center"/>
        <w:textAlignment w:val="auto"/>
        <w:outlineLvl w:val="2"/>
        <w:rPr>
          <w:rFonts w:hint="default" w:asciiTheme="minorEastAsia" w:hAnsiTheme="minorEastAsia" w:eastAsiaTheme="minorEastAsia"/>
          <w:b/>
          <w:color w:val="auto"/>
          <w:sz w:val="72"/>
          <w:highlight w:val="none"/>
          <w:lang w:val="en-US" w:eastAsia="zh-CN"/>
        </w:rPr>
      </w:pPr>
      <w:r>
        <w:rPr>
          <w:rFonts w:hint="eastAsia" w:asciiTheme="minorEastAsia" w:hAnsiTheme="minorEastAsia"/>
          <w:b/>
          <w:color w:val="auto"/>
          <w:sz w:val="72"/>
          <w:highlight w:val="none"/>
          <w:lang w:val="en-US" w:eastAsia="zh-CN"/>
        </w:rPr>
        <w:t>响</w:t>
      </w:r>
    </w:p>
    <w:p>
      <w:pPr>
        <w:pageBreakBefore w:val="0"/>
        <w:widowControl w:val="0"/>
        <w:kinsoku/>
        <w:wordWrap/>
        <w:overflowPunct/>
        <w:topLinePunct w:val="0"/>
        <w:autoSpaceDE/>
        <w:autoSpaceDN/>
        <w:bidi w:val="0"/>
        <w:adjustRightInd/>
        <w:snapToGrid/>
        <w:spacing w:line="900" w:lineRule="exact"/>
        <w:ind w:firstLine="0" w:firstLineChars="0"/>
        <w:jc w:val="center"/>
        <w:textAlignment w:val="auto"/>
        <w:rPr>
          <w:rFonts w:asciiTheme="minorEastAsia" w:hAnsiTheme="minorEastAsia" w:eastAsiaTheme="minorEastAsia"/>
          <w:b/>
          <w:color w:val="auto"/>
          <w:sz w:val="72"/>
          <w:highlight w:val="none"/>
        </w:rPr>
      </w:pPr>
    </w:p>
    <w:p>
      <w:pPr>
        <w:pageBreakBefore w:val="0"/>
        <w:widowControl w:val="0"/>
        <w:kinsoku/>
        <w:wordWrap/>
        <w:overflowPunct/>
        <w:topLinePunct w:val="0"/>
        <w:autoSpaceDE/>
        <w:autoSpaceDN/>
        <w:bidi w:val="0"/>
        <w:adjustRightInd/>
        <w:snapToGrid/>
        <w:spacing w:line="900" w:lineRule="exact"/>
        <w:ind w:firstLine="0" w:firstLineChars="0"/>
        <w:jc w:val="center"/>
        <w:textAlignment w:val="auto"/>
        <w:outlineLvl w:val="2"/>
        <w:rPr>
          <w:rFonts w:hint="default" w:asciiTheme="minorEastAsia" w:hAnsiTheme="minorEastAsia" w:eastAsiaTheme="minorEastAsia"/>
          <w:b/>
          <w:color w:val="auto"/>
          <w:sz w:val="72"/>
          <w:highlight w:val="none"/>
          <w:lang w:val="en-US" w:eastAsia="zh-CN"/>
        </w:rPr>
      </w:pPr>
      <w:r>
        <w:rPr>
          <w:rFonts w:hint="eastAsia" w:asciiTheme="minorEastAsia" w:hAnsiTheme="minorEastAsia"/>
          <w:b/>
          <w:color w:val="auto"/>
          <w:sz w:val="72"/>
          <w:highlight w:val="none"/>
          <w:lang w:val="en-US" w:eastAsia="zh-CN"/>
        </w:rPr>
        <w:t>应</w:t>
      </w:r>
    </w:p>
    <w:p>
      <w:pPr>
        <w:pageBreakBefore w:val="0"/>
        <w:widowControl w:val="0"/>
        <w:kinsoku/>
        <w:wordWrap/>
        <w:overflowPunct/>
        <w:topLinePunct w:val="0"/>
        <w:autoSpaceDE/>
        <w:autoSpaceDN/>
        <w:bidi w:val="0"/>
        <w:adjustRightInd/>
        <w:snapToGrid/>
        <w:spacing w:line="900" w:lineRule="exact"/>
        <w:ind w:firstLine="0" w:firstLineChars="0"/>
        <w:jc w:val="center"/>
        <w:textAlignment w:val="auto"/>
        <w:rPr>
          <w:rFonts w:asciiTheme="minorEastAsia" w:hAnsiTheme="minorEastAsia" w:eastAsiaTheme="minorEastAsia"/>
          <w:b/>
          <w:color w:val="auto"/>
          <w:sz w:val="72"/>
          <w:highlight w:val="none"/>
        </w:rPr>
      </w:pPr>
    </w:p>
    <w:p>
      <w:pPr>
        <w:pageBreakBefore w:val="0"/>
        <w:widowControl w:val="0"/>
        <w:kinsoku/>
        <w:wordWrap/>
        <w:overflowPunct/>
        <w:topLinePunct w:val="0"/>
        <w:autoSpaceDE/>
        <w:autoSpaceDN/>
        <w:bidi w:val="0"/>
        <w:adjustRightInd/>
        <w:snapToGrid/>
        <w:spacing w:line="900" w:lineRule="exact"/>
        <w:ind w:firstLine="0" w:firstLineChars="0"/>
        <w:jc w:val="center"/>
        <w:textAlignment w:val="auto"/>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文</w:t>
      </w:r>
    </w:p>
    <w:p>
      <w:pPr>
        <w:pageBreakBefore w:val="0"/>
        <w:widowControl w:val="0"/>
        <w:kinsoku/>
        <w:wordWrap/>
        <w:overflowPunct/>
        <w:topLinePunct w:val="0"/>
        <w:autoSpaceDE/>
        <w:autoSpaceDN/>
        <w:bidi w:val="0"/>
        <w:adjustRightInd/>
        <w:snapToGrid/>
        <w:spacing w:line="900" w:lineRule="exact"/>
        <w:ind w:firstLine="0" w:firstLineChars="0"/>
        <w:jc w:val="center"/>
        <w:textAlignment w:val="auto"/>
        <w:rPr>
          <w:rFonts w:asciiTheme="minorEastAsia" w:hAnsiTheme="minorEastAsia" w:eastAsiaTheme="minorEastAsia"/>
          <w:b/>
          <w:color w:val="auto"/>
          <w:sz w:val="72"/>
          <w:highlight w:val="none"/>
        </w:rPr>
      </w:pPr>
    </w:p>
    <w:p>
      <w:pPr>
        <w:pageBreakBefore w:val="0"/>
        <w:widowControl w:val="0"/>
        <w:kinsoku/>
        <w:wordWrap/>
        <w:overflowPunct/>
        <w:topLinePunct w:val="0"/>
        <w:autoSpaceDE/>
        <w:autoSpaceDN/>
        <w:bidi w:val="0"/>
        <w:adjustRightInd/>
        <w:snapToGrid/>
        <w:ind w:firstLine="0" w:firstLineChars="0"/>
        <w:jc w:val="center"/>
        <w:textAlignment w:val="auto"/>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件</w:t>
      </w:r>
    </w:p>
    <w:p>
      <w:pPr>
        <w:keepNext w:val="0"/>
        <w:keepLines w:val="0"/>
        <w:pageBreakBefore w:val="0"/>
        <w:widowControl w:val="0"/>
        <w:kinsoku/>
        <w:wordWrap/>
        <w:overflowPunct/>
        <w:topLinePunct w:val="0"/>
        <w:autoSpaceDE/>
        <w:autoSpaceDN/>
        <w:bidi w:val="0"/>
        <w:adjustRightInd/>
        <w:snapToGrid/>
        <w:spacing w:before="157" w:beforeLines="50" w:after="156" w:afterLines="50"/>
        <w:ind w:firstLine="0" w:firstLineChars="0"/>
        <w:jc w:val="center"/>
        <w:textAlignment w:val="auto"/>
        <w:rPr>
          <w:rFonts w:hint="eastAsia" w:asciiTheme="minorEastAsia" w:hAnsiTheme="minorEastAsia" w:eastAsiaTheme="minorEastAsia"/>
          <w:b w:val="0"/>
          <w:bCs/>
          <w:color w:val="auto"/>
          <w:sz w:val="32"/>
          <w:szCs w:val="13"/>
          <w:highlight w:val="none"/>
          <w:lang w:eastAsia="zh-CN"/>
        </w:rPr>
      </w:pPr>
      <w:r>
        <w:rPr>
          <w:rFonts w:hint="eastAsia" w:asciiTheme="minorEastAsia" w:hAnsiTheme="minorEastAsia"/>
          <w:b w:val="0"/>
          <w:bCs/>
          <w:color w:val="auto"/>
          <w:sz w:val="32"/>
          <w:szCs w:val="13"/>
          <w:highlight w:val="none"/>
          <w:lang w:eastAsia="zh-CN"/>
        </w:rPr>
        <w:t>（</w:t>
      </w:r>
      <w:r>
        <w:rPr>
          <w:rFonts w:hint="eastAsia" w:asciiTheme="minorEastAsia" w:hAnsiTheme="minorEastAsia"/>
          <w:b w:val="0"/>
          <w:bCs/>
          <w:color w:val="auto"/>
          <w:sz w:val="32"/>
          <w:szCs w:val="13"/>
          <w:highlight w:val="none"/>
          <w:lang w:val="en-US" w:eastAsia="zh-CN"/>
        </w:rPr>
        <w:t>封 面</w:t>
      </w:r>
      <w:r>
        <w:rPr>
          <w:rFonts w:hint="eastAsia" w:asciiTheme="minorEastAsia" w:hAnsiTheme="minorEastAsia"/>
          <w:b w:val="0"/>
          <w:bCs/>
          <w:color w:val="auto"/>
          <w:sz w:val="32"/>
          <w:szCs w:val="13"/>
          <w:highlight w:val="none"/>
          <w:lang w:eastAsia="zh-CN"/>
        </w:rPr>
        <w:t>）</w:t>
      </w:r>
    </w:p>
    <w:p>
      <w:pPr>
        <w:spacing w:after="120" w:afterLines="50" w:line="500" w:lineRule="exact"/>
        <w:ind w:firstLine="3096" w:firstLineChars="1285"/>
        <w:rPr>
          <w:rFonts w:hint="eastAsia" w:ascii="宋体" w:hAnsi="宋体"/>
          <w:b/>
          <w:sz w:val="24"/>
          <w:szCs w:val="24"/>
          <w:highlight w:val="none"/>
        </w:rPr>
      </w:pPr>
      <w:bookmarkStart w:id="11" w:name="_Toc13288"/>
      <w:bookmarkStart w:id="12" w:name="_Toc27705"/>
      <w:bookmarkStart w:id="13" w:name="_Toc32728"/>
    </w:p>
    <w:p>
      <w:pPr>
        <w:spacing w:after="120" w:afterLines="50" w:line="500" w:lineRule="exact"/>
        <w:ind w:firstLine="2800" w:firstLineChars="1000"/>
        <w:rPr>
          <w:rFonts w:hint="default" w:ascii="黑体" w:hAnsi="黑体" w:eastAsia="黑体" w:cs="黑体"/>
          <w:b w:val="0"/>
          <w:bCs/>
          <w:sz w:val="28"/>
          <w:szCs w:val="28"/>
          <w:highlight w:val="none"/>
          <w:u w:val="single"/>
          <w:lang w:val="en-US" w:eastAsia="zh-CN"/>
        </w:rPr>
      </w:pPr>
      <w:r>
        <w:rPr>
          <w:rFonts w:hint="eastAsia" w:ascii="黑体" w:hAnsi="黑体" w:eastAsia="黑体" w:cs="黑体"/>
          <w:b w:val="0"/>
          <w:bCs/>
          <w:sz w:val="28"/>
          <w:szCs w:val="28"/>
          <w:highlight w:val="none"/>
        </w:rPr>
        <w:t>供应商：</w:t>
      </w:r>
      <w:r>
        <w:rPr>
          <w:rFonts w:hint="eastAsia" w:ascii="黑体" w:hAnsi="黑体" w:eastAsia="黑体" w:cs="黑体"/>
          <w:b w:val="0"/>
          <w:bCs/>
          <w:sz w:val="28"/>
          <w:szCs w:val="28"/>
          <w:highlight w:val="none"/>
          <w:u w:val="single"/>
        </w:rPr>
        <w:t xml:space="preserve">               </w:t>
      </w:r>
      <w:r>
        <w:rPr>
          <w:rFonts w:hint="eastAsia" w:ascii="黑体" w:hAnsi="黑体" w:eastAsia="黑体" w:cs="黑体"/>
          <w:b w:val="0"/>
          <w:bCs/>
          <w:sz w:val="28"/>
          <w:szCs w:val="28"/>
          <w:highlight w:val="none"/>
          <w:u w:val="single"/>
          <w:lang w:val="en-US" w:eastAsia="zh-CN"/>
        </w:rPr>
        <w:t xml:space="preserve">   </w:t>
      </w:r>
    </w:p>
    <w:p>
      <w:pPr>
        <w:spacing w:after="120" w:afterLines="50" w:line="500" w:lineRule="exact"/>
        <w:jc w:val="center"/>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lang w:val="en-US" w:eastAsia="zh-CN"/>
        </w:rPr>
        <w:t xml:space="preserve">  日  期：2024</w:t>
      </w:r>
      <w:r>
        <w:rPr>
          <w:rFonts w:hint="eastAsia" w:ascii="黑体" w:hAnsi="黑体" w:eastAsia="黑体" w:cs="黑体"/>
          <w:b w:val="0"/>
          <w:bCs/>
          <w:sz w:val="28"/>
          <w:szCs w:val="28"/>
          <w:highlight w:val="none"/>
        </w:rPr>
        <w:t>年</w:t>
      </w:r>
      <w:r>
        <w:rPr>
          <w:rFonts w:hint="eastAsia" w:ascii="黑体" w:hAnsi="黑体" w:eastAsia="黑体" w:cs="黑体"/>
          <w:b w:val="0"/>
          <w:bCs/>
          <w:sz w:val="28"/>
          <w:szCs w:val="28"/>
          <w:highlight w:val="none"/>
          <w:u w:val="single"/>
        </w:rPr>
        <w:t xml:space="preserve">    </w:t>
      </w:r>
      <w:r>
        <w:rPr>
          <w:rFonts w:hint="eastAsia" w:ascii="黑体" w:hAnsi="黑体" w:eastAsia="黑体" w:cs="黑体"/>
          <w:b w:val="0"/>
          <w:bCs/>
          <w:sz w:val="28"/>
          <w:szCs w:val="28"/>
          <w:highlight w:val="none"/>
        </w:rPr>
        <w:t>月</w:t>
      </w:r>
      <w:r>
        <w:rPr>
          <w:rFonts w:hint="eastAsia" w:ascii="黑体" w:hAnsi="黑体" w:eastAsia="黑体" w:cs="黑体"/>
          <w:b w:val="0"/>
          <w:bCs/>
          <w:sz w:val="28"/>
          <w:szCs w:val="28"/>
          <w:highlight w:val="none"/>
          <w:u w:val="single"/>
        </w:rPr>
        <w:t xml:space="preserve">    </w:t>
      </w:r>
      <w:r>
        <w:rPr>
          <w:rFonts w:hint="eastAsia" w:ascii="黑体" w:hAnsi="黑体" w:eastAsia="黑体" w:cs="黑体"/>
          <w:b w:val="0"/>
          <w:bCs/>
          <w:sz w:val="28"/>
          <w:szCs w:val="28"/>
          <w:highlight w:val="none"/>
        </w:rPr>
        <w:t>日</w:t>
      </w:r>
    </w:p>
    <w:p>
      <w:pPr>
        <w:rPr>
          <w:rFonts w:hint="eastAsia"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br w:type="page"/>
      </w:r>
    </w:p>
    <w:p>
      <w:pPr>
        <w:pStyle w:val="2"/>
        <w:bidi w:val="0"/>
        <w:rPr>
          <w:rFonts w:hint="default"/>
          <w:highlight w:val="none"/>
          <w:lang w:val="en-US"/>
        </w:rPr>
      </w:pPr>
      <w:bookmarkStart w:id="14" w:name="_Toc4557"/>
      <w:r>
        <w:rPr>
          <w:rFonts w:hint="eastAsia"/>
          <w:highlight w:val="none"/>
        </w:rPr>
        <w:t>一、</w:t>
      </w:r>
      <w:r>
        <w:rPr>
          <w:rFonts w:hint="eastAsia"/>
          <w:highlight w:val="none"/>
          <w:lang w:val="en-US" w:eastAsia="zh-CN"/>
        </w:rPr>
        <w:t>营业执照（或事业单位法人登记证书）和税务登记证</w:t>
      </w:r>
      <w:bookmarkEnd w:id="11"/>
      <w:bookmarkEnd w:id="12"/>
      <w:bookmarkEnd w:id="13"/>
      <w:bookmarkEnd w:id="14"/>
    </w:p>
    <w:p>
      <w:pPr>
        <w:spacing w:line="360" w:lineRule="auto"/>
        <w:rPr>
          <w:rFonts w:hint="eastAsia" w:asciiTheme="minorEastAsia" w:hAnsiTheme="minorEastAsia" w:eastAsiaTheme="minorEastAsia"/>
          <w:color w:val="auto"/>
          <w:sz w:val="24"/>
          <w:highlight w:val="none"/>
          <w:lang w:eastAsia="zh-CN"/>
        </w:rPr>
      </w:pPr>
    </w:p>
    <w:p>
      <w:pPr>
        <w:spacing w:line="360" w:lineRule="auto"/>
        <w:rPr>
          <w:rFonts w:hint="eastAsia" w:asciiTheme="minorEastAsia" w:hAnsiTheme="minorEastAsia" w:eastAsiaTheme="minorEastAsia"/>
          <w:color w:val="auto"/>
          <w:sz w:val="24"/>
          <w:highlight w:val="none"/>
          <w:lang w:eastAsia="zh-CN"/>
        </w:rPr>
      </w:pPr>
    </w:p>
    <w:p>
      <w:pPr>
        <w:spacing w:line="360" w:lineRule="auto"/>
        <w:rPr>
          <w:rFonts w:hint="eastAsia" w:asciiTheme="minorEastAsia" w:hAnsiTheme="minorEastAsia" w:eastAsiaTheme="minorEastAsia"/>
          <w:color w:val="auto"/>
          <w:sz w:val="24"/>
          <w:highlight w:val="none"/>
          <w:lang w:eastAsia="zh-CN"/>
        </w:rPr>
      </w:pPr>
    </w:p>
    <w:p>
      <w:pPr>
        <w:pStyle w:val="17"/>
        <w:ind w:left="0" w:leftChars="0" w:firstLine="0" w:firstLineChars="0"/>
        <w:rPr>
          <w:rFonts w:hint="default" w:asciiTheme="minorEastAsia" w:hAnsiTheme="minorEastAsia" w:eastAsiaTheme="minorEastAsia"/>
          <w:color w:val="auto"/>
          <w:sz w:val="24"/>
          <w:highlight w:val="none"/>
          <w:lang w:val="en-US" w:eastAsia="zh-CN"/>
        </w:rPr>
      </w:pPr>
    </w:p>
    <w:p>
      <w:pPr>
        <w:rPr>
          <w:rFonts w:hint="eastAsia" w:asciiTheme="minorEastAsia" w:hAnsiTheme="minorEastAsia" w:eastAsiaTheme="minorEastAsia"/>
          <w:color w:val="auto"/>
          <w:sz w:val="24"/>
          <w:highlight w:val="none"/>
          <w:lang w:eastAsia="zh-CN"/>
        </w:rPr>
      </w:pPr>
    </w:p>
    <w:p>
      <w:pPr>
        <w:pStyle w:val="17"/>
        <w:rPr>
          <w:rFonts w:hint="eastAsia" w:asciiTheme="minorEastAsia" w:hAnsiTheme="minorEastAsia" w:eastAsiaTheme="minorEastAsia"/>
          <w:color w:val="auto"/>
          <w:sz w:val="24"/>
          <w:highlight w:val="none"/>
          <w:lang w:eastAsia="zh-CN"/>
        </w:rPr>
      </w:pPr>
    </w:p>
    <w:p>
      <w:pPr>
        <w:rPr>
          <w:rFonts w:hint="eastAsia" w:asciiTheme="minorEastAsia" w:hAnsiTheme="minorEastAsia" w:eastAsiaTheme="minorEastAsia"/>
          <w:color w:val="auto"/>
          <w:sz w:val="24"/>
          <w:highlight w:val="none"/>
          <w:lang w:eastAsia="zh-CN"/>
        </w:rPr>
      </w:pPr>
    </w:p>
    <w:p>
      <w:pPr>
        <w:pStyle w:val="17"/>
        <w:rPr>
          <w:rFonts w:hint="eastAsia" w:asciiTheme="minorEastAsia" w:hAnsiTheme="minorEastAsia" w:eastAsiaTheme="minorEastAsia"/>
          <w:color w:val="auto"/>
          <w:sz w:val="24"/>
          <w:highlight w:val="none"/>
          <w:lang w:eastAsia="zh-CN"/>
        </w:rPr>
      </w:pPr>
    </w:p>
    <w:p>
      <w:pPr>
        <w:rPr>
          <w:rFonts w:hint="eastAsia"/>
          <w:highlight w:val="none"/>
          <w:lang w:eastAsia="zh-CN"/>
        </w:rPr>
      </w:pPr>
    </w:p>
    <w:p>
      <w:pPr>
        <w:spacing w:line="360" w:lineRule="auto"/>
        <w:rPr>
          <w:rFonts w:hint="default" w:ascii="宋体" w:hAnsi="宋体" w:eastAsia="宋体" w:cs="宋体"/>
          <w:b/>
          <w:bCs/>
          <w:color w:val="auto"/>
          <w:sz w:val="24"/>
          <w:highlight w:val="none"/>
          <w:u w:val="none"/>
          <w:lang w:val="en-US" w:eastAsia="zh-CN"/>
        </w:rPr>
      </w:pPr>
      <w:r>
        <w:rPr>
          <w:rFonts w:hint="eastAsia" w:ascii="宋体" w:hAnsi="宋体" w:eastAsia="宋体" w:cs="宋体"/>
          <w:b/>
          <w:bCs/>
          <w:color w:val="auto"/>
          <w:sz w:val="24"/>
          <w:highlight w:val="none"/>
          <w:lang w:val="en-US" w:eastAsia="zh-CN"/>
        </w:rPr>
        <w:t>供应商名称（盖章）：</w:t>
      </w:r>
      <w:r>
        <w:rPr>
          <w:rFonts w:hint="eastAsia" w:ascii="宋体" w:hAnsi="宋体" w:eastAsia="宋体" w:cs="宋体"/>
          <w:b/>
          <w:bCs/>
          <w:color w:val="auto"/>
          <w:sz w:val="24"/>
          <w:highlight w:val="none"/>
          <w:u w:val="single"/>
          <w:lang w:val="en-US" w:eastAsia="zh-CN"/>
        </w:rPr>
        <w:t xml:space="preserve">           </w:t>
      </w:r>
    </w:p>
    <w:p>
      <w:pPr>
        <w:pStyle w:val="16"/>
        <w:rPr>
          <w:rFonts w:hint="eastAsia"/>
          <w:highlight w:val="none"/>
        </w:rPr>
      </w:pPr>
    </w:p>
    <w:p>
      <w:pPr>
        <w:spacing w:line="360"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b/>
          <w:color w:val="auto"/>
          <w:sz w:val="24"/>
          <w:highlight w:val="none"/>
        </w:rPr>
        <w:t>备注：</w:t>
      </w:r>
      <w:r>
        <w:rPr>
          <w:rFonts w:hint="eastAsia" w:asciiTheme="minorEastAsia" w:hAnsiTheme="minorEastAsia" w:eastAsiaTheme="minorEastAsia"/>
          <w:color w:val="auto"/>
          <w:sz w:val="24"/>
          <w:highlight w:val="none"/>
        </w:rPr>
        <w:t>提供有效的</w:t>
      </w:r>
      <w:r>
        <w:rPr>
          <w:rFonts w:hint="eastAsia" w:asciiTheme="minorEastAsia" w:hAnsiTheme="minorEastAsia" w:eastAsiaTheme="minorEastAsia"/>
          <w:color w:val="auto"/>
          <w:sz w:val="24"/>
          <w:highlight w:val="none"/>
          <w:lang w:eastAsia="zh-CN"/>
        </w:rPr>
        <w:t>供应商</w:t>
      </w:r>
      <w:r>
        <w:rPr>
          <w:rFonts w:hint="eastAsia" w:asciiTheme="minorEastAsia" w:hAnsiTheme="minorEastAsia" w:eastAsiaTheme="minorEastAsia"/>
          <w:color w:val="auto"/>
          <w:sz w:val="24"/>
          <w:highlight w:val="none"/>
        </w:rPr>
        <w:t>营业执照（或事业单位法人登记证书）和税务登记证的</w:t>
      </w:r>
      <w:r>
        <w:rPr>
          <w:rFonts w:hint="eastAsia" w:asciiTheme="minorEastAsia" w:hAnsiTheme="minorEastAsia"/>
          <w:color w:val="auto"/>
          <w:sz w:val="24"/>
          <w:highlight w:val="none"/>
          <w:lang w:val="en-US" w:eastAsia="zh-CN"/>
        </w:rPr>
        <w:t>扫描件</w:t>
      </w:r>
      <w:r>
        <w:rPr>
          <w:rFonts w:hint="eastAsia" w:asciiTheme="minorEastAsia" w:hAnsiTheme="minorEastAsia" w:eastAsiaTheme="minorEastAsia"/>
          <w:color w:val="auto"/>
          <w:sz w:val="24"/>
          <w:highlight w:val="none"/>
        </w:rPr>
        <w:t>，应完整的体现出营业执照（或事业单位法人登记证书）和税务登记证的全部内容。已办理“三证合一”登记的，</w:t>
      </w:r>
      <w:r>
        <w:rPr>
          <w:rFonts w:hint="eastAsia" w:asciiTheme="minorEastAsia" w:hAnsiTheme="minorEastAsia"/>
          <w:color w:val="auto"/>
          <w:sz w:val="24"/>
          <w:highlight w:val="none"/>
          <w:lang w:val="en-US" w:eastAsia="zh-CN"/>
        </w:rPr>
        <w:t>响应文件</w:t>
      </w:r>
      <w:r>
        <w:rPr>
          <w:rFonts w:hint="eastAsia" w:asciiTheme="minorEastAsia" w:hAnsiTheme="minorEastAsia" w:eastAsiaTheme="minorEastAsia"/>
          <w:color w:val="auto"/>
          <w:sz w:val="24"/>
          <w:highlight w:val="none"/>
        </w:rPr>
        <w:t>中提供营业执照（或事业单位法人登记证书）</w:t>
      </w:r>
      <w:r>
        <w:rPr>
          <w:rFonts w:hint="eastAsia" w:asciiTheme="minorEastAsia" w:hAnsiTheme="minorEastAsia"/>
          <w:color w:val="auto"/>
          <w:sz w:val="24"/>
          <w:highlight w:val="none"/>
          <w:lang w:val="en-US" w:eastAsia="zh-CN"/>
        </w:rPr>
        <w:t>扫描件</w:t>
      </w:r>
      <w:r>
        <w:rPr>
          <w:rFonts w:hint="eastAsia" w:asciiTheme="minorEastAsia" w:hAnsiTheme="minorEastAsia" w:eastAsiaTheme="minorEastAsia"/>
          <w:color w:val="auto"/>
          <w:sz w:val="24"/>
          <w:highlight w:val="none"/>
        </w:rPr>
        <w:t>即可。</w:t>
      </w:r>
    </w:p>
    <w:p>
      <w:pPr>
        <w:rPr>
          <w:rFonts w:hint="eastAsia" w:asciiTheme="minorEastAsia" w:hAnsiTheme="minorEastAsia"/>
          <w:b/>
          <w:color w:val="auto"/>
          <w:sz w:val="24"/>
          <w:highlight w:val="none"/>
          <w:lang w:eastAsia="zh-CN"/>
        </w:rPr>
      </w:pPr>
      <w:bookmarkStart w:id="15" w:name="_Toc15097"/>
      <w:bookmarkStart w:id="16" w:name="_Toc28438"/>
      <w:bookmarkStart w:id="17" w:name="_Toc31361"/>
    </w:p>
    <w:p>
      <w:pPr>
        <w:pStyle w:val="3"/>
        <w:spacing w:before="120" w:after="120" w:line="560" w:lineRule="exact"/>
        <w:ind w:firstLine="0"/>
        <w:rPr>
          <w:rFonts w:hint="eastAsia" w:ascii="宋体" w:hAnsi="宋体" w:eastAsia="宋体" w:cs="宋体"/>
          <w:sz w:val="24"/>
          <w:szCs w:val="24"/>
          <w:highlight w:val="none"/>
        </w:rPr>
      </w:pPr>
      <w:r>
        <w:rPr>
          <w:rFonts w:hint="eastAsia" w:asciiTheme="minorEastAsia" w:hAnsiTheme="minorEastAsia" w:eastAsiaTheme="minorEastAsia"/>
          <w:b/>
          <w:color w:val="auto"/>
          <w:sz w:val="24"/>
          <w:highlight w:val="none"/>
          <w:lang w:val="en-US" w:eastAsia="zh-CN"/>
        </w:rPr>
        <w:br w:type="page"/>
      </w:r>
      <w:bookmarkStart w:id="18" w:name="_Toc14929"/>
      <w:r>
        <w:rPr>
          <w:rStyle w:val="23"/>
          <w:rFonts w:hint="eastAsia" w:ascii="宋体" w:hAnsi="宋体" w:eastAsia="宋体" w:cs="宋体"/>
          <w:b/>
          <w:bCs/>
          <w:highlight w:val="none"/>
          <w:lang w:val="en-US" w:eastAsia="zh-CN"/>
        </w:rPr>
        <w:t>二、响应授权书</w:t>
      </w:r>
      <w:bookmarkEnd w:id="18"/>
    </w:p>
    <w:p>
      <w:pPr>
        <w:pStyle w:val="9"/>
        <w:keepNext w:val="0"/>
        <w:keepLines w:val="0"/>
        <w:pageBreakBefore w:val="0"/>
        <w:widowControl w:val="0"/>
        <w:kinsoku/>
        <w:wordWrap/>
        <w:overflowPunct/>
        <w:topLinePunct w:val="0"/>
        <w:autoSpaceDE/>
        <w:autoSpaceDN/>
        <w:bidi w:val="0"/>
        <w:adjustRightInd/>
        <w:snapToGrid w:val="0"/>
        <w:spacing w:line="56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（供应商名称） </w:t>
      </w:r>
      <w:r>
        <w:rPr>
          <w:rFonts w:hint="eastAsia" w:ascii="宋体" w:hAnsi="宋体" w:eastAsia="宋体" w:cs="宋体"/>
          <w:sz w:val="24"/>
          <w:szCs w:val="24"/>
          <w:highlight w:val="none"/>
        </w:rPr>
        <w:t>授权本公司</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（供应商授权代表姓名、职务）代表本公司参加</w:t>
      </w:r>
      <w:r>
        <w:rPr>
          <w:rFonts w:hint="eastAsia" w:hAnsi="宋体" w:eastAsia="宋体" w:cs="宋体"/>
          <w:sz w:val="24"/>
          <w:szCs w:val="24"/>
          <w:highlight w:val="none"/>
          <w:u w:val="single"/>
          <w:lang w:eastAsia="zh-CN"/>
        </w:rPr>
        <w:t xml:space="preserve"> 霍山国投集团公车维修服务单位框架协议采购项目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征集</w:t>
      </w:r>
      <w:r>
        <w:rPr>
          <w:rFonts w:hint="eastAsia" w:ascii="宋体" w:hAnsi="宋体" w:eastAsia="宋体" w:cs="宋体"/>
          <w:sz w:val="24"/>
          <w:szCs w:val="24"/>
          <w:highlight w:val="none"/>
        </w:rPr>
        <w:t>活动（项目编号：</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），全权代表本公司处理</w:t>
      </w:r>
      <w:r>
        <w:rPr>
          <w:rFonts w:hint="eastAsia" w:ascii="宋体" w:hAnsi="宋体" w:eastAsia="宋体" w:cs="宋体"/>
          <w:sz w:val="24"/>
          <w:szCs w:val="24"/>
          <w:highlight w:val="none"/>
          <w:lang w:val="en-US" w:eastAsia="zh-CN"/>
        </w:rPr>
        <w:t>征集</w:t>
      </w:r>
      <w:r>
        <w:rPr>
          <w:rFonts w:hint="eastAsia" w:ascii="宋体" w:hAnsi="宋体" w:eastAsia="宋体" w:cs="宋体"/>
          <w:sz w:val="24"/>
          <w:szCs w:val="24"/>
          <w:highlight w:val="none"/>
        </w:rPr>
        <w:t>过程的一切事宜，包括但不限于：</w:t>
      </w:r>
      <w:r>
        <w:rPr>
          <w:rFonts w:hint="eastAsia" w:ascii="宋体" w:hAnsi="宋体" w:eastAsia="宋体" w:cs="宋体"/>
          <w:sz w:val="24"/>
          <w:szCs w:val="24"/>
          <w:highlight w:val="none"/>
          <w:lang w:val="en-US" w:eastAsia="zh-CN"/>
        </w:rPr>
        <w:t>参加征集</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签订协议</w:t>
      </w:r>
      <w:r>
        <w:rPr>
          <w:rFonts w:hint="eastAsia" w:ascii="宋体" w:hAnsi="宋体" w:eastAsia="宋体" w:cs="宋体"/>
          <w:sz w:val="24"/>
          <w:szCs w:val="24"/>
          <w:highlight w:val="none"/>
        </w:rPr>
        <w:t>以及</w:t>
      </w:r>
      <w:r>
        <w:rPr>
          <w:rFonts w:hint="eastAsia" w:ascii="宋体" w:hAnsi="宋体" w:eastAsia="宋体" w:cs="宋体"/>
          <w:sz w:val="24"/>
          <w:szCs w:val="24"/>
          <w:highlight w:val="none"/>
          <w:lang w:val="en-US" w:eastAsia="zh-CN"/>
        </w:rPr>
        <w:t>协议</w:t>
      </w:r>
      <w:r>
        <w:rPr>
          <w:rFonts w:hint="eastAsia" w:ascii="宋体" w:hAnsi="宋体" w:eastAsia="宋体" w:cs="宋体"/>
          <w:sz w:val="24"/>
          <w:szCs w:val="24"/>
          <w:highlight w:val="none"/>
        </w:rPr>
        <w:t>执行</w:t>
      </w:r>
      <w:r>
        <w:rPr>
          <w:rFonts w:hint="eastAsia" w:ascii="宋体" w:hAnsi="宋体" w:eastAsia="宋体" w:cs="宋体"/>
          <w:sz w:val="24"/>
          <w:szCs w:val="24"/>
          <w:highlight w:val="none"/>
          <w:lang w:val="en-US" w:eastAsia="zh-CN"/>
        </w:rPr>
        <w:t>等</w:t>
      </w:r>
      <w:r>
        <w:rPr>
          <w:rFonts w:hint="eastAsia" w:ascii="宋体" w:hAnsi="宋体" w:eastAsia="宋体" w:cs="宋体"/>
          <w:sz w:val="24"/>
          <w:szCs w:val="24"/>
          <w:highlight w:val="none"/>
        </w:rPr>
        <w:t>。供应商授权代表在</w:t>
      </w:r>
      <w:r>
        <w:rPr>
          <w:rFonts w:hint="eastAsia" w:ascii="宋体" w:hAnsi="宋体" w:eastAsia="宋体" w:cs="宋体"/>
          <w:sz w:val="24"/>
          <w:szCs w:val="24"/>
          <w:highlight w:val="none"/>
          <w:lang w:val="en-US" w:eastAsia="zh-CN"/>
        </w:rPr>
        <w:t>征集</w:t>
      </w:r>
      <w:r>
        <w:rPr>
          <w:rFonts w:hint="eastAsia" w:ascii="宋体" w:hAnsi="宋体" w:eastAsia="宋体" w:cs="宋体"/>
          <w:sz w:val="24"/>
          <w:szCs w:val="24"/>
          <w:highlight w:val="none"/>
        </w:rPr>
        <w:t>过程中所签署的一切文件和处理与之有关的一切事务，本公司均予以认可并对此承担责任。供应商授权代表无转委托权。</w:t>
      </w:r>
    </w:p>
    <w:p>
      <w:pPr>
        <w:pStyle w:val="9"/>
        <w:keepNext w:val="0"/>
        <w:keepLines w:val="0"/>
        <w:pageBreakBefore w:val="0"/>
        <w:widowControl w:val="0"/>
        <w:kinsoku/>
        <w:wordWrap/>
        <w:overflowPunct/>
        <w:topLinePunct w:val="0"/>
        <w:autoSpaceDE/>
        <w:autoSpaceDN/>
        <w:bidi w:val="0"/>
        <w:adjustRightInd/>
        <w:snapToGrid w:val="0"/>
        <w:spacing w:line="56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特此授权。</w:t>
      </w:r>
    </w:p>
    <w:p>
      <w:pPr>
        <w:pStyle w:val="9"/>
        <w:keepNext w:val="0"/>
        <w:keepLines w:val="0"/>
        <w:pageBreakBefore w:val="0"/>
        <w:widowControl w:val="0"/>
        <w:kinsoku/>
        <w:wordWrap/>
        <w:overflowPunct/>
        <w:topLinePunct w:val="0"/>
        <w:autoSpaceDE/>
        <w:autoSpaceDN/>
        <w:bidi w:val="0"/>
        <w:adjustRightInd/>
        <w:snapToGrid w:val="0"/>
        <w:spacing w:line="56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本授权书自出具之日起生效。</w:t>
      </w:r>
    </w:p>
    <w:p>
      <w:pPr>
        <w:spacing w:line="360" w:lineRule="auto"/>
        <w:rPr>
          <w:rFonts w:hint="eastAsia" w:ascii="宋体" w:hAnsi="宋体"/>
          <w:sz w:val="24"/>
          <w:szCs w:val="28"/>
          <w:highlight w:val="none"/>
        </w:rPr>
      </w:pPr>
    </w:p>
    <w:p>
      <w:pPr>
        <w:spacing w:line="360" w:lineRule="auto"/>
        <w:rPr>
          <w:rFonts w:hint="eastAsia" w:ascii="宋体" w:hAnsi="宋体"/>
          <w:b/>
          <w:bCs/>
          <w:sz w:val="24"/>
          <w:szCs w:val="28"/>
          <w:highlight w:val="none"/>
        </w:rPr>
      </w:pPr>
      <w:r>
        <w:rPr>
          <w:rFonts w:hint="eastAsia" w:ascii="宋体" w:hAnsi="宋体"/>
          <w:b/>
          <w:bCs/>
          <w:sz w:val="24"/>
          <w:szCs w:val="28"/>
          <w:highlight w:val="none"/>
        </w:rPr>
        <w:t>授权代表（或法定代表人）身份证明扫描件或影印件：</w:t>
      </w:r>
    </w:p>
    <w:p>
      <w:pPr>
        <w:spacing w:line="360" w:lineRule="auto"/>
        <w:rPr>
          <w:rFonts w:hint="eastAsia" w:ascii="宋体" w:hAnsi="宋体"/>
          <w:sz w:val="24"/>
          <w:szCs w:val="28"/>
          <w:highlight w:val="none"/>
        </w:rPr>
      </w:pPr>
    </w:p>
    <w:p>
      <w:pPr>
        <w:spacing w:line="360" w:lineRule="auto"/>
        <w:rPr>
          <w:rFonts w:hint="eastAsia" w:ascii="宋体" w:hAnsi="宋体"/>
          <w:sz w:val="24"/>
          <w:szCs w:val="28"/>
          <w:highlight w:val="none"/>
        </w:rPr>
      </w:pPr>
    </w:p>
    <w:p>
      <w:pPr>
        <w:pStyle w:val="16"/>
        <w:ind w:right="-21" w:firstLine="540"/>
        <w:rPr>
          <w:rFonts w:hint="eastAsia"/>
          <w:highlight w:val="none"/>
        </w:rPr>
      </w:pPr>
    </w:p>
    <w:p>
      <w:pPr>
        <w:spacing w:line="360" w:lineRule="auto"/>
        <w:rPr>
          <w:rFonts w:hint="eastAsia" w:ascii="宋体" w:hAnsi="宋体"/>
          <w:sz w:val="24"/>
          <w:szCs w:val="28"/>
          <w:highlight w:val="none"/>
        </w:rPr>
      </w:pPr>
      <w:r>
        <w:rPr>
          <w:rFonts w:hint="eastAsia" w:ascii="宋体" w:hAnsi="宋体"/>
          <w:b/>
          <w:bCs/>
          <w:sz w:val="24"/>
          <w:szCs w:val="28"/>
          <w:highlight w:val="none"/>
        </w:rPr>
        <w:t>授权代表（或法定代表人）联系方式：</w:t>
      </w:r>
      <w:r>
        <w:rPr>
          <w:rFonts w:hint="eastAsia" w:ascii="宋体" w:hAnsi="宋体"/>
          <w:sz w:val="24"/>
          <w:szCs w:val="28"/>
          <w:highlight w:val="none"/>
          <w:u w:val="single"/>
        </w:rPr>
        <w:t xml:space="preserve">           </w:t>
      </w:r>
      <w:r>
        <w:rPr>
          <w:rFonts w:hint="eastAsia" w:ascii="宋体" w:hAnsi="宋体"/>
          <w:sz w:val="24"/>
          <w:szCs w:val="28"/>
          <w:highlight w:val="none"/>
        </w:rPr>
        <w:t>（请填写手机号码）</w:t>
      </w:r>
    </w:p>
    <w:p>
      <w:pPr>
        <w:spacing w:line="360" w:lineRule="auto"/>
        <w:ind w:firstLine="645"/>
        <w:rPr>
          <w:rFonts w:hint="eastAsia" w:ascii="宋体" w:hAnsi="宋体"/>
          <w:sz w:val="24"/>
          <w:szCs w:val="28"/>
          <w:highlight w:val="none"/>
        </w:rPr>
      </w:pPr>
    </w:p>
    <w:p>
      <w:pPr>
        <w:spacing w:line="360" w:lineRule="auto"/>
        <w:rPr>
          <w:rFonts w:hint="eastAsia" w:ascii="宋体" w:hAnsi="宋体"/>
          <w:sz w:val="24"/>
          <w:szCs w:val="28"/>
          <w:highlight w:val="none"/>
        </w:rPr>
      </w:pPr>
    </w:p>
    <w:p>
      <w:pPr>
        <w:pStyle w:val="16"/>
        <w:ind w:right="-21" w:firstLine="540"/>
        <w:rPr>
          <w:rFonts w:hint="eastAsia"/>
          <w:highlight w:val="none"/>
        </w:rPr>
      </w:pPr>
    </w:p>
    <w:p>
      <w:pPr>
        <w:keepNext w:val="0"/>
        <w:keepLines w:val="0"/>
        <w:pageBreakBefore w:val="0"/>
        <w:widowControl w:val="0"/>
        <w:kinsoku/>
        <w:overflowPunct/>
        <w:topLinePunct w:val="0"/>
        <w:autoSpaceDE/>
        <w:autoSpaceDN/>
        <w:bidi w:val="0"/>
        <w:adjustRightInd/>
        <w:snapToGrid/>
        <w:spacing w:line="560" w:lineRule="exact"/>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 xml:space="preserve">供应商名称（盖章）：            </w:t>
      </w:r>
    </w:p>
    <w:p>
      <w:pPr>
        <w:keepNext w:val="0"/>
        <w:keepLines w:val="0"/>
        <w:pageBreakBefore w:val="0"/>
        <w:widowControl w:val="0"/>
        <w:kinsoku/>
        <w:overflowPunct/>
        <w:topLinePunct w:val="0"/>
        <w:autoSpaceDE/>
        <w:autoSpaceDN/>
        <w:bidi w:val="0"/>
        <w:adjustRightInd/>
        <w:snapToGrid/>
        <w:spacing w:line="560" w:lineRule="exact"/>
        <w:textAlignment w:val="auto"/>
        <w:rPr>
          <w:rFonts w:hint="eastAsia" w:ascii="宋体" w:hAnsi="宋体"/>
          <w:sz w:val="28"/>
          <w:szCs w:val="28"/>
          <w:highlight w:val="none"/>
        </w:rPr>
      </w:pPr>
      <w:r>
        <w:rPr>
          <w:rFonts w:hint="eastAsia" w:ascii="宋体" w:hAnsi="宋体" w:eastAsia="宋体" w:cs="宋体"/>
          <w:b/>
          <w:bCs/>
          <w:color w:val="auto"/>
          <w:sz w:val="24"/>
          <w:highlight w:val="none"/>
          <w:lang w:val="en-US" w:eastAsia="zh-CN"/>
        </w:rPr>
        <w:t>日    期：2024年   月   日</w:t>
      </w:r>
    </w:p>
    <w:p>
      <w:pPr>
        <w:rPr>
          <w:rFonts w:hint="eastAsia" w:ascii="宋体" w:hAnsi="宋体"/>
          <w:sz w:val="28"/>
          <w:szCs w:val="28"/>
          <w:highlight w:val="none"/>
        </w:rPr>
      </w:pPr>
    </w:p>
    <w:p>
      <w:pPr>
        <w:pStyle w:val="9"/>
        <w:keepNext w:val="0"/>
        <w:keepLines w:val="0"/>
        <w:pageBreakBefore w:val="0"/>
        <w:widowControl w:val="0"/>
        <w:kinsoku/>
        <w:wordWrap/>
        <w:overflowPunct/>
        <w:topLinePunct w:val="0"/>
        <w:autoSpaceDE/>
        <w:autoSpaceDN/>
        <w:bidi w:val="0"/>
        <w:adjustRightInd/>
        <w:snapToGrid w:val="0"/>
        <w:spacing w:line="560" w:lineRule="exact"/>
        <w:jc w:val="left"/>
        <w:textAlignment w:val="auto"/>
        <w:rPr>
          <w:rFonts w:hint="eastAsia" w:ascii="宋体" w:hAnsi="宋体" w:eastAsia="宋体" w:cs="宋体"/>
          <w:b/>
          <w:color w:val="auto"/>
          <w:sz w:val="24"/>
          <w:highlight w:val="none"/>
          <w:lang w:val="en-US" w:eastAsia="zh-CN"/>
        </w:rPr>
      </w:pPr>
      <w:r>
        <w:rPr>
          <w:rFonts w:hint="eastAsia" w:ascii="宋体" w:hAnsi="宋体" w:eastAsia="宋体" w:cs="宋体"/>
          <w:bCs/>
          <w:sz w:val="24"/>
          <w:szCs w:val="28"/>
          <w:highlight w:val="none"/>
        </w:rPr>
        <w:t>注：本项目只允许有唯一的供应商授权代表</w:t>
      </w:r>
      <w:r>
        <w:rPr>
          <w:rFonts w:hint="eastAsia" w:hAnsi="宋体" w:eastAsia="宋体" w:cs="宋体"/>
          <w:bCs/>
          <w:sz w:val="24"/>
          <w:szCs w:val="28"/>
          <w:highlight w:val="none"/>
          <w:lang w:eastAsia="zh-CN"/>
        </w:rPr>
        <w:t>。</w:t>
      </w:r>
      <w:r>
        <w:rPr>
          <w:rFonts w:hint="eastAsia" w:ascii="宋体" w:hAnsi="宋体" w:eastAsia="宋体" w:cs="宋体"/>
          <w:bCs/>
          <w:sz w:val="24"/>
          <w:szCs w:val="28"/>
          <w:highlight w:val="none"/>
        </w:rPr>
        <w:t>法定代表人参加投标的无需提供</w:t>
      </w:r>
      <w:r>
        <w:rPr>
          <w:rFonts w:hint="eastAsia" w:hAnsi="宋体" w:eastAsia="宋体" w:cs="宋体"/>
          <w:bCs/>
          <w:sz w:val="24"/>
          <w:szCs w:val="28"/>
          <w:highlight w:val="none"/>
          <w:lang w:val="en-US" w:eastAsia="zh-CN"/>
        </w:rPr>
        <w:t>响应</w:t>
      </w:r>
      <w:r>
        <w:rPr>
          <w:rFonts w:hint="eastAsia" w:ascii="宋体" w:hAnsi="宋体" w:eastAsia="宋体" w:cs="宋体"/>
          <w:bCs/>
          <w:sz w:val="24"/>
          <w:szCs w:val="28"/>
          <w:highlight w:val="none"/>
        </w:rPr>
        <w:t>授权书，仅提供身份证明扫描件或影印件及联系方式即可。</w:t>
      </w:r>
    </w:p>
    <w:p>
      <w:pPr>
        <w:rPr>
          <w:rFonts w:hint="eastAsia" w:asciiTheme="minorEastAsia" w:hAnsiTheme="minorEastAsia" w:eastAsiaTheme="minorEastAsia"/>
          <w:b/>
          <w:color w:val="auto"/>
          <w:sz w:val="28"/>
          <w:szCs w:val="28"/>
          <w:highlight w:val="none"/>
          <w:lang w:val="en-US" w:eastAsia="zh-CN"/>
        </w:rPr>
      </w:pPr>
      <w:r>
        <w:rPr>
          <w:rFonts w:hint="eastAsia" w:asciiTheme="minorEastAsia" w:hAnsiTheme="minorEastAsia" w:eastAsiaTheme="minorEastAsia"/>
          <w:b/>
          <w:color w:val="auto"/>
          <w:sz w:val="28"/>
          <w:szCs w:val="28"/>
          <w:highlight w:val="none"/>
          <w:lang w:val="en-US" w:eastAsia="zh-CN"/>
        </w:rPr>
        <w:br w:type="page"/>
      </w:r>
    </w:p>
    <w:p>
      <w:pPr>
        <w:pStyle w:val="2"/>
        <w:bidi w:val="0"/>
        <w:rPr>
          <w:rFonts w:hint="eastAsia"/>
          <w:highlight w:val="none"/>
          <w:lang w:val="en-US" w:eastAsia="zh-CN"/>
        </w:rPr>
      </w:pPr>
      <w:bookmarkStart w:id="19" w:name="_Toc23574"/>
      <w:r>
        <w:rPr>
          <w:rFonts w:hint="eastAsia"/>
          <w:highlight w:val="none"/>
          <w:lang w:val="en-US" w:eastAsia="zh-CN"/>
        </w:rPr>
        <w:t>三、无重大违法记录声明函、无不良信用记录声明函</w:t>
      </w:r>
      <w:bookmarkEnd w:id="15"/>
      <w:bookmarkEnd w:id="16"/>
      <w:bookmarkEnd w:id="17"/>
      <w:bookmarkEnd w:id="19"/>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bookmarkStart w:id="20" w:name="_Hlk16464098"/>
      <w:r>
        <w:rPr>
          <w:rFonts w:hint="eastAsia" w:ascii="宋体" w:hAnsi="宋体" w:eastAsia="宋体" w:cs="宋体"/>
          <w:color w:val="auto"/>
          <w:sz w:val="24"/>
          <w:highlight w:val="none"/>
        </w:rPr>
        <w:t>1.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2.本单位郑重声明，我单位无以下不良信用记录情形：</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（1）被人民法院列入失信被执行人；</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（2）被市场监督管理部门列入严重违法失信企业名录；</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（3）被税务部门列入重大税收违法案件当事人名单的；</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（4）被政府采购监管部门列入政府采购严重违法失信行为记录名单。</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3.经我单位自行查询中国政府采购网（www.ccgp.gov.cn）、“信用中国”网站（www.creditchina.gov.cn）、国家企业信用信息公示系统（www.gsxt.gov.cn），我单位承诺不存在不良信用记录。</w:t>
      </w:r>
    </w:p>
    <w:bookmarkEnd w:id="20"/>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lang w:val="en-US" w:eastAsia="zh-CN"/>
        </w:rPr>
      </w:pPr>
    </w:p>
    <w:p>
      <w:pPr>
        <w:keepNext w:val="0"/>
        <w:keepLines w:val="0"/>
        <w:pageBreakBefore w:val="0"/>
        <w:widowControl w:val="0"/>
        <w:kinsoku/>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 xml:space="preserve">供应商名称（盖章）：            </w:t>
      </w:r>
    </w:p>
    <w:p>
      <w:pPr>
        <w:keepNext w:val="0"/>
        <w:keepLines w:val="0"/>
        <w:pageBreakBefore w:val="0"/>
        <w:widowControl w:val="0"/>
        <w:kinsoku/>
        <w:overflowPunct/>
        <w:topLinePunct w:val="0"/>
        <w:autoSpaceDE/>
        <w:autoSpaceDN/>
        <w:bidi w:val="0"/>
        <w:adjustRightInd/>
        <w:snapToGrid/>
        <w:spacing w:line="560" w:lineRule="exact"/>
        <w:ind w:firstLine="482" w:firstLineChars="200"/>
        <w:textAlignment w:val="auto"/>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日    期：</w:t>
      </w:r>
      <w:r>
        <w:rPr>
          <w:rFonts w:hint="default" w:ascii="宋体" w:hAnsi="宋体" w:eastAsia="宋体" w:cs="宋体"/>
          <w:b/>
          <w:bCs/>
          <w:color w:val="auto"/>
          <w:sz w:val="24"/>
          <w:highlight w:val="none"/>
          <w:lang w:val="en" w:eastAsia="zh-CN"/>
        </w:rPr>
        <w:t>2024</w:t>
      </w:r>
      <w:r>
        <w:rPr>
          <w:rFonts w:hint="eastAsia" w:ascii="宋体" w:hAnsi="宋体" w:eastAsia="宋体" w:cs="宋体"/>
          <w:b/>
          <w:bCs/>
          <w:color w:val="auto"/>
          <w:sz w:val="24"/>
          <w:highlight w:val="none"/>
          <w:lang w:val="en-US" w:eastAsia="zh-CN"/>
        </w:rPr>
        <w:t>年   月   日</w:t>
      </w:r>
    </w:p>
    <w:p>
      <w:pPr>
        <w:pStyle w:val="17"/>
        <w:rPr>
          <w:highlight w:val="none"/>
        </w:rPr>
      </w:pPr>
    </w:p>
    <w:p>
      <w:pPr>
        <w:rPr>
          <w:highlight w:val="none"/>
        </w:rPr>
      </w:pPr>
    </w:p>
    <w:p>
      <w:pPr>
        <w:pStyle w:val="17"/>
        <w:rPr>
          <w:highlight w:val="none"/>
        </w:rPr>
      </w:pPr>
    </w:p>
    <w:p>
      <w:pPr>
        <w:spacing w:line="360" w:lineRule="auto"/>
        <w:jc w:val="both"/>
        <w:outlineLvl w:val="0"/>
        <w:rPr>
          <w:rFonts w:hint="eastAsia" w:asciiTheme="minorEastAsia" w:hAnsiTheme="minorEastAsia" w:eastAsiaTheme="minorEastAsia"/>
          <w:b/>
          <w:color w:val="auto"/>
          <w:sz w:val="24"/>
          <w:highlight w:val="none"/>
          <w:lang w:val="en-US" w:eastAsia="zh-CN"/>
        </w:rPr>
      </w:pPr>
      <w:bookmarkStart w:id="21" w:name="_Toc27984"/>
      <w:bookmarkStart w:id="22" w:name="_Toc10183"/>
      <w:bookmarkStart w:id="23" w:name="_Toc3611"/>
    </w:p>
    <w:p>
      <w:pPr>
        <w:rPr>
          <w:rFonts w:hint="eastAsia"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br w:type="page"/>
      </w:r>
    </w:p>
    <w:bookmarkEnd w:id="21"/>
    <w:bookmarkEnd w:id="22"/>
    <w:bookmarkEnd w:id="23"/>
    <w:p>
      <w:pPr>
        <w:pStyle w:val="2"/>
        <w:bidi w:val="0"/>
        <w:rPr>
          <w:rFonts w:hint="eastAsia"/>
          <w:highlight w:val="none"/>
          <w:lang w:eastAsia="zh-CN"/>
        </w:rPr>
      </w:pPr>
      <w:bookmarkStart w:id="24" w:name="_Toc25582"/>
      <w:bookmarkStart w:id="25" w:name="_Toc23286"/>
      <w:bookmarkStart w:id="26" w:name="_Hlk11531103"/>
      <w:bookmarkStart w:id="27" w:name="_Toc20524"/>
      <w:bookmarkStart w:id="28" w:name="_Toc25158"/>
      <w:r>
        <w:rPr>
          <w:rFonts w:hint="eastAsia"/>
          <w:highlight w:val="none"/>
          <w:lang w:val="en-US" w:eastAsia="zh-CN"/>
        </w:rPr>
        <w:t>四</w:t>
      </w:r>
      <w:r>
        <w:rPr>
          <w:rFonts w:hint="eastAsia"/>
          <w:highlight w:val="none"/>
        </w:rPr>
        <w:t>、</w:t>
      </w:r>
      <w:bookmarkEnd w:id="24"/>
      <w:bookmarkEnd w:id="25"/>
      <w:bookmarkEnd w:id="26"/>
      <w:bookmarkEnd w:id="27"/>
      <w:bookmarkStart w:id="29" w:name="_Toc20406"/>
      <w:bookmarkStart w:id="30" w:name="_Toc17776"/>
      <w:bookmarkStart w:id="31" w:name="_Toc6331"/>
      <w:r>
        <w:rPr>
          <w:rFonts w:hint="eastAsia"/>
          <w:highlight w:val="none"/>
          <w:lang w:eastAsia="zh-CN"/>
        </w:rPr>
        <w:t>响应函</w:t>
      </w:r>
      <w:bookmarkEnd w:id="28"/>
      <w:bookmarkEnd w:id="29"/>
      <w:bookmarkEnd w:id="30"/>
      <w:bookmarkEnd w:id="31"/>
    </w:p>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color w:val="auto"/>
          <w:kern w:val="2"/>
          <w:sz w:val="24"/>
          <w:szCs w:val="20"/>
          <w:highlight w:val="none"/>
          <w:u w:val="single"/>
          <w:lang w:val="en-US" w:eastAsia="zh-CN" w:bidi="ar-SA"/>
        </w:rPr>
      </w:pPr>
      <w:r>
        <w:rPr>
          <w:rFonts w:hint="eastAsia" w:ascii="宋体" w:hAnsi="宋体" w:eastAsia="宋体" w:cs="宋体"/>
          <w:color w:val="auto"/>
          <w:sz w:val="24"/>
          <w:highlight w:val="none"/>
        </w:rPr>
        <w:t>致：</w:t>
      </w:r>
      <w:r>
        <w:rPr>
          <w:rFonts w:hint="eastAsia" w:ascii="宋体" w:hAnsi="宋体" w:cs="宋体"/>
          <w:color w:val="auto"/>
          <w:sz w:val="24"/>
          <w:highlight w:val="none"/>
          <w:u w:val="single"/>
          <w:lang w:val="en" w:eastAsia="zh-CN"/>
        </w:rPr>
        <w:t>安徽霍山国有资产投资控股集团有限公司</w:t>
      </w:r>
      <w:r>
        <w:rPr>
          <w:rFonts w:hint="eastAsia" w:ascii="宋体" w:hAnsi="宋体" w:cs="宋体"/>
          <w:color w:val="auto"/>
          <w:sz w:val="24"/>
          <w:highlight w:val="none"/>
          <w:u w:val="single"/>
          <w:lang w:eastAsia="zh-CN"/>
        </w:rPr>
        <w:t>、</w:t>
      </w:r>
      <w:r>
        <w:rPr>
          <w:rFonts w:hint="eastAsia" w:ascii="宋体" w:hAnsi="宋体" w:cs="宋体"/>
          <w:b/>
          <w:color w:val="auto"/>
          <w:kern w:val="2"/>
          <w:sz w:val="24"/>
          <w:szCs w:val="20"/>
          <w:highlight w:val="none"/>
          <w:u w:val="single"/>
          <w:lang w:val="en-US" w:eastAsia="zh-CN" w:bidi="ar-SA"/>
        </w:rPr>
        <w:t>安徽大别山工程咨询有限公司</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根据贵方的</w:t>
      </w:r>
      <w:r>
        <w:rPr>
          <w:rFonts w:hint="eastAsia" w:ascii="宋体" w:hAnsi="宋体" w:eastAsia="宋体" w:cs="宋体"/>
          <w:color w:val="auto"/>
          <w:sz w:val="24"/>
          <w:highlight w:val="none"/>
          <w:lang w:eastAsia="zh-CN"/>
        </w:rPr>
        <w:t>征集公告</w:t>
      </w:r>
      <w:r>
        <w:rPr>
          <w:rFonts w:hint="eastAsia" w:ascii="宋体" w:hAnsi="宋体" w:eastAsia="宋体" w:cs="宋体"/>
          <w:color w:val="auto"/>
          <w:sz w:val="24"/>
          <w:highlight w:val="none"/>
        </w:rPr>
        <w:t>和</w:t>
      </w:r>
      <w:r>
        <w:rPr>
          <w:rFonts w:hint="eastAsia" w:ascii="宋体" w:hAnsi="宋体" w:eastAsia="宋体" w:cs="宋体"/>
          <w:color w:val="auto"/>
          <w:sz w:val="24"/>
          <w:highlight w:val="none"/>
          <w:lang w:eastAsia="zh-CN"/>
        </w:rPr>
        <w:t>征集邀请</w:t>
      </w:r>
      <w:r>
        <w:rPr>
          <w:rFonts w:hint="eastAsia" w:ascii="宋体" w:hAnsi="宋体" w:eastAsia="宋体" w:cs="宋体"/>
          <w:color w:val="auto"/>
          <w:sz w:val="24"/>
          <w:highlight w:val="none"/>
        </w:rPr>
        <w:t>，我方兹宣布同意如下：</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1.按</w:t>
      </w:r>
      <w:r>
        <w:rPr>
          <w:rFonts w:hint="eastAsia" w:ascii="宋体" w:hAnsi="宋体" w:eastAsia="宋体" w:cs="宋体"/>
          <w:color w:val="auto"/>
          <w:sz w:val="24"/>
          <w:highlight w:val="none"/>
          <w:lang w:val="en-US" w:eastAsia="zh-CN"/>
        </w:rPr>
        <w:t>本征集项目的</w:t>
      </w:r>
      <w:r>
        <w:rPr>
          <w:rFonts w:hint="eastAsia" w:ascii="宋体" w:hAnsi="宋体" w:eastAsia="宋体" w:cs="宋体"/>
          <w:color w:val="auto"/>
          <w:sz w:val="24"/>
          <w:highlight w:val="none"/>
        </w:rPr>
        <w:t>详细说明和要求规定提供的</w:t>
      </w:r>
      <w:r>
        <w:rPr>
          <w:rFonts w:hint="eastAsia" w:ascii="宋体" w:hAnsi="宋体" w:eastAsia="宋体" w:cs="宋体"/>
          <w:color w:val="auto"/>
          <w:sz w:val="24"/>
          <w:highlight w:val="none"/>
          <w:lang w:eastAsia="zh-CN"/>
        </w:rPr>
        <w:t>全部采购标的</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eastAsia="zh-CN"/>
        </w:rPr>
        <w:t>报价</w:t>
      </w:r>
      <w:r>
        <w:rPr>
          <w:rFonts w:hint="eastAsia" w:ascii="宋体" w:hAnsi="宋体" w:eastAsia="宋体" w:cs="宋体"/>
          <w:color w:val="auto"/>
          <w:sz w:val="24"/>
          <w:highlight w:val="none"/>
          <w:lang w:val="en-US" w:eastAsia="zh-CN"/>
        </w:rPr>
        <w:t>进行完全响应</w:t>
      </w:r>
      <w:r>
        <w:rPr>
          <w:rFonts w:hint="eastAsia" w:ascii="宋体" w:hAnsi="宋体" w:eastAsia="宋体" w:cs="宋体"/>
          <w:color w:val="auto"/>
          <w:sz w:val="24"/>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2.我方根据</w:t>
      </w:r>
      <w:r>
        <w:rPr>
          <w:rFonts w:hint="eastAsia" w:ascii="宋体" w:hAnsi="宋体" w:eastAsia="宋体" w:cs="宋体"/>
          <w:color w:val="auto"/>
          <w:sz w:val="24"/>
          <w:highlight w:val="none"/>
          <w:lang w:val="en-US" w:eastAsia="zh-CN"/>
        </w:rPr>
        <w:t>本征集项目的</w:t>
      </w:r>
      <w:r>
        <w:rPr>
          <w:rFonts w:hint="eastAsia" w:ascii="宋体" w:hAnsi="宋体" w:eastAsia="宋体" w:cs="宋体"/>
          <w:color w:val="auto"/>
          <w:sz w:val="24"/>
          <w:highlight w:val="none"/>
        </w:rPr>
        <w:t>详细说明和要求的规定，严格履行合同的责任和义务,并保证于买方要求的日期内完成</w:t>
      </w:r>
      <w:r>
        <w:rPr>
          <w:rFonts w:hint="eastAsia" w:ascii="宋体" w:hAnsi="宋体" w:eastAsia="宋体" w:cs="宋体"/>
          <w:color w:val="auto"/>
          <w:sz w:val="24"/>
          <w:highlight w:val="none"/>
          <w:lang w:eastAsia="zh-CN"/>
        </w:rPr>
        <w:t>履约</w:t>
      </w:r>
      <w:r>
        <w:rPr>
          <w:rFonts w:hint="eastAsia" w:ascii="宋体" w:hAnsi="宋体" w:eastAsia="宋体" w:cs="宋体"/>
          <w:color w:val="auto"/>
          <w:sz w:val="24"/>
          <w:highlight w:val="none"/>
        </w:rPr>
        <w:t>，并通过买方验收。</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.我方已详细审核全部</w:t>
      </w:r>
      <w:r>
        <w:rPr>
          <w:rFonts w:hint="eastAsia" w:ascii="宋体" w:hAnsi="宋体" w:eastAsia="宋体" w:cs="宋体"/>
          <w:color w:val="auto"/>
          <w:sz w:val="24"/>
          <w:highlight w:val="none"/>
          <w:lang w:val="en-US" w:eastAsia="zh-CN"/>
        </w:rPr>
        <w:t>征集项目的</w:t>
      </w:r>
      <w:r>
        <w:rPr>
          <w:rFonts w:hint="eastAsia" w:ascii="宋体" w:hAnsi="宋体" w:eastAsia="宋体" w:cs="宋体"/>
          <w:color w:val="auto"/>
          <w:sz w:val="24"/>
          <w:highlight w:val="none"/>
        </w:rPr>
        <w:t>详细说明和要求，包括</w:t>
      </w:r>
      <w:r>
        <w:rPr>
          <w:rFonts w:hint="eastAsia" w:ascii="宋体" w:hAnsi="宋体" w:eastAsia="宋体" w:cs="宋体"/>
          <w:color w:val="auto"/>
          <w:sz w:val="24"/>
          <w:highlight w:val="none"/>
          <w:lang w:val="en-US" w:eastAsia="zh-CN"/>
        </w:rPr>
        <w:t>本征集项目的</w:t>
      </w:r>
      <w:r>
        <w:rPr>
          <w:rFonts w:hint="eastAsia" w:ascii="宋体" w:hAnsi="宋体" w:eastAsia="宋体" w:cs="宋体"/>
          <w:color w:val="auto"/>
          <w:sz w:val="24"/>
          <w:highlight w:val="none"/>
        </w:rPr>
        <w:t>详细说明和要求的澄清或修改（如有），参考资料及有关附件，我方正式认可并遵守本次</w:t>
      </w:r>
      <w:r>
        <w:rPr>
          <w:rFonts w:hint="eastAsia" w:ascii="宋体" w:hAnsi="宋体" w:eastAsia="宋体" w:cs="宋体"/>
          <w:color w:val="auto"/>
          <w:sz w:val="24"/>
          <w:highlight w:val="none"/>
          <w:lang w:val="en-US" w:eastAsia="zh-CN"/>
        </w:rPr>
        <w:t>征集项目的</w:t>
      </w:r>
      <w:r>
        <w:rPr>
          <w:rFonts w:hint="eastAsia" w:ascii="宋体" w:hAnsi="宋体" w:eastAsia="宋体" w:cs="宋体"/>
          <w:color w:val="auto"/>
          <w:sz w:val="24"/>
          <w:highlight w:val="none"/>
        </w:rPr>
        <w:t>详细说明和要求，并对</w:t>
      </w:r>
      <w:r>
        <w:rPr>
          <w:rFonts w:hint="eastAsia" w:ascii="宋体" w:hAnsi="宋体" w:eastAsia="宋体" w:cs="宋体"/>
          <w:color w:val="auto"/>
          <w:sz w:val="24"/>
          <w:highlight w:val="none"/>
          <w:lang w:val="en-US" w:eastAsia="zh-CN"/>
        </w:rPr>
        <w:t>此项目</w:t>
      </w:r>
      <w:r>
        <w:rPr>
          <w:rFonts w:hint="eastAsia" w:ascii="宋体" w:hAnsi="宋体" w:eastAsia="宋体" w:cs="宋体"/>
          <w:color w:val="auto"/>
          <w:sz w:val="24"/>
          <w:highlight w:val="none"/>
        </w:rPr>
        <w:t>各项条款、规定及要求均无异议。我方知道必须放弃提出含糊不清或误解问题的权利。</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.我方同意从</w:t>
      </w:r>
      <w:r>
        <w:rPr>
          <w:rFonts w:hint="eastAsia" w:ascii="宋体" w:hAnsi="宋体" w:eastAsia="宋体" w:cs="宋体"/>
          <w:color w:val="auto"/>
          <w:sz w:val="24"/>
          <w:highlight w:val="none"/>
          <w:lang w:val="en-US" w:eastAsia="zh-CN"/>
        </w:rPr>
        <w:t>本征集项目的</w:t>
      </w:r>
      <w:r>
        <w:rPr>
          <w:rFonts w:hint="eastAsia" w:ascii="宋体" w:hAnsi="宋体" w:eastAsia="宋体" w:cs="宋体"/>
          <w:color w:val="auto"/>
          <w:sz w:val="24"/>
          <w:highlight w:val="none"/>
        </w:rPr>
        <w:t>详细说明和要求规定的</w:t>
      </w:r>
      <w:r>
        <w:rPr>
          <w:rFonts w:hint="eastAsia" w:ascii="宋体" w:hAnsi="宋体" w:eastAsia="宋体" w:cs="宋体"/>
          <w:color w:val="auto"/>
          <w:sz w:val="24"/>
          <w:highlight w:val="none"/>
          <w:lang w:val="en-US" w:eastAsia="zh-CN"/>
        </w:rPr>
        <w:t>响应文件</w:t>
      </w:r>
      <w:r>
        <w:rPr>
          <w:rFonts w:hint="eastAsia" w:ascii="宋体" w:hAnsi="宋体" w:eastAsia="宋体" w:cs="宋体"/>
          <w:color w:val="auto"/>
          <w:sz w:val="24"/>
          <w:highlight w:val="none"/>
          <w:lang w:eastAsia="zh-CN"/>
        </w:rPr>
        <w:t>开启</w:t>
      </w:r>
      <w:r>
        <w:rPr>
          <w:rFonts w:hint="eastAsia" w:ascii="宋体" w:hAnsi="宋体" w:eastAsia="宋体" w:cs="宋体"/>
          <w:color w:val="auto"/>
          <w:sz w:val="24"/>
          <w:highlight w:val="none"/>
        </w:rPr>
        <w:t>日期起遵循本</w:t>
      </w:r>
      <w:r>
        <w:rPr>
          <w:rFonts w:hint="eastAsia" w:ascii="宋体" w:hAnsi="宋体" w:eastAsia="宋体" w:cs="宋体"/>
          <w:color w:val="auto"/>
          <w:sz w:val="24"/>
          <w:highlight w:val="none"/>
          <w:lang w:eastAsia="zh-CN"/>
        </w:rPr>
        <w:t>文件</w:t>
      </w:r>
      <w:r>
        <w:rPr>
          <w:rFonts w:hint="eastAsia" w:ascii="宋体" w:hAnsi="宋体" w:eastAsia="宋体" w:cs="宋体"/>
          <w:color w:val="auto"/>
          <w:sz w:val="24"/>
          <w:highlight w:val="none"/>
        </w:rPr>
        <w:t>，并在</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lang w:eastAsia="zh-CN"/>
        </w:rPr>
        <w:t>文件</w:t>
      </w:r>
      <w:r>
        <w:rPr>
          <w:rFonts w:hint="eastAsia" w:ascii="宋体" w:hAnsi="宋体" w:eastAsia="宋体" w:cs="宋体"/>
          <w:color w:val="auto"/>
          <w:sz w:val="24"/>
          <w:highlight w:val="none"/>
        </w:rPr>
        <w:t>规定的</w:t>
      </w:r>
      <w:r>
        <w:rPr>
          <w:rFonts w:hint="eastAsia" w:ascii="宋体" w:hAnsi="宋体" w:eastAsia="宋体" w:cs="宋体"/>
          <w:color w:val="auto"/>
          <w:sz w:val="24"/>
          <w:highlight w:val="none"/>
          <w:lang w:val="en-US" w:eastAsia="zh-CN"/>
        </w:rPr>
        <w:t>响应文件</w:t>
      </w:r>
      <w:r>
        <w:rPr>
          <w:rFonts w:hint="eastAsia" w:ascii="宋体" w:hAnsi="宋体" w:eastAsia="宋体" w:cs="宋体"/>
          <w:color w:val="auto"/>
          <w:sz w:val="24"/>
          <w:highlight w:val="none"/>
          <w:lang w:eastAsia="zh-CN"/>
        </w:rPr>
        <w:t>有效期</w:t>
      </w:r>
      <w:r>
        <w:rPr>
          <w:rFonts w:hint="eastAsia" w:ascii="宋体" w:hAnsi="宋体" w:eastAsia="宋体" w:cs="宋体"/>
          <w:color w:val="auto"/>
          <w:sz w:val="24"/>
          <w:highlight w:val="none"/>
        </w:rPr>
        <w:t>之前均具有约束力。</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bookmarkStart w:id="32" w:name="_Hlk26474705"/>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w:t>
      </w:r>
      <w:bookmarkEnd w:id="32"/>
      <w:r>
        <w:rPr>
          <w:rFonts w:hint="eastAsia" w:ascii="宋体" w:hAnsi="宋体" w:eastAsia="宋体" w:cs="宋体"/>
          <w:color w:val="auto"/>
          <w:sz w:val="24"/>
          <w:highlight w:val="none"/>
        </w:rPr>
        <w:t>我方声明</w:t>
      </w:r>
      <w:r>
        <w:rPr>
          <w:rFonts w:hint="eastAsia" w:ascii="宋体" w:hAnsi="宋体" w:eastAsia="宋体" w:cs="宋体"/>
          <w:color w:val="auto"/>
          <w:sz w:val="24"/>
          <w:highlight w:val="none"/>
          <w:lang w:val="en-US" w:eastAsia="zh-CN"/>
        </w:rPr>
        <w:t>响应文件</w:t>
      </w:r>
      <w:r>
        <w:rPr>
          <w:rFonts w:hint="eastAsia" w:ascii="宋体" w:hAnsi="宋体" w:eastAsia="宋体" w:cs="宋体"/>
          <w:color w:val="auto"/>
          <w:sz w:val="24"/>
          <w:highlight w:val="none"/>
        </w:rPr>
        <w:t>所提供的一切资料均真实无误、及时、有效，企业运营正常。由于我方提供资料不实而造成的责任和后果由我方承担。我方同意按照贵方提出的要求，提供与</w:t>
      </w:r>
      <w:r>
        <w:rPr>
          <w:rFonts w:hint="eastAsia" w:ascii="宋体" w:hAnsi="宋体" w:eastAsia="宋体" w:cs="宋体"/>
          <w:color w:val="auto"/>
          <w:sz w:val="24"/>
          <w:highlight w:val="none"/>
          <w:lang w:val="en-US" w:eastAsia="zh-CN"/>
        </w:rPr>
        <w:t>申请</w:t>
      </w:r>
      <w:r>
        <w:rPr>
          <w:rFonts w:hint="eastAsia" w:ascii="宋体" w:hAnsi="宋体" w:eastAsia="宋体" w:cs="宋体"/>
          <w:color w:val="auto"/>
          <w:sz w:val="24"/>
          <w:highlight w:val="none"/>
        </w:rPr>
        <w:t>有关的任何证据、数据或资料。</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.我方接受</w:t>
      </w:r>
      <w:r>
        <w:rPr>
          <w:rFonts w:hint="eastAsia" w:ascii="宋体" w:hAnsi="宋体" w:eastAsia="宋体" w:cs="宋体"/>
          <w:color w:val="auto"/>
          <w:sz w:val="24"/>
          <w:highlight w:val="none"/>
          <w:lang w:val="en-US" w:eastAsia="zh-CN"/>
        </w:rPr>
        <w:t>本征集项目的</w:t>
      </w:r>
      <w:r>
        <w:rPr>
          <w:rFonts w:hint="eastAsia" w:ascii="宋体" w:hAnsi="宋体" w:eastAsia="宋体" w:cs="宋体"/>
          <w:color w:val="auto"/>
          <w:sz w:val="24"/>
          <w:highlight w:val="none"/>
        </w:rPr>
        <w:t>详细说明和要求规定的</w:t>
      </w:r>
      <w:r>
        <w:rPr>
          <w:rFonts w:hint="eastAsia" w:ascii="宋体" w:hAnsi="宋体" w:eastAsia="宋体" w:cs="宋体"/>
          <w:color w:val="auto"/>
          <w:sz w:val="24"/>
          <w:highlight w:val="none"/>
          <w:lang w:val="en-US" w:eastAsia="zh-CN"/>
        </w:rPr>
        <w:t>采购需求、费用结算及支付方式</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用户反馈和评价机制</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入围供应商的清退机制等相关</w:t>
      </w:r>
      <w:r>
        <w:rPr>
          <w:rFonts w:hint="eastAsia" w:ascii="宋体" w:hAnsi="宋体" w:eastAsia="宋体" w:cs="宋体"/>
          <w:color w:val="auto"/>
          <w:sz w:val="24"/>
          <w:highlight w:val="none"/>
        </w:rPr>
        <w:t>要求。</w:t>
      </w:r>
    </w:p>
    <w:p>
      <w:pPr>
        <w:spacing w:before="184" w:line="359" w:lineRule="auto"/>
        <w:ind w:left="1" w:right="48" w:firstLine="486"/>
        <w:rPr>
          <w:rFonts w:hint="eastAsia" w:ascii="宋体" w:hAnsi="宋体" w:eastAsia="宋体" w:cs="宋体"/>
          <w:spacing w:val="-4"/>
          <w:sz w:val="24"/>
          <w:szCs w:val="24"/>
          <w:lang w:eastAsia="zh-CN"/>
        </w:rPr>
      </w:pPr>
      <w:r>
        <w:rPr>
          <w:rFonts w:ascii="宋体" w:hAnsi="宋体" w:eastAsia="宋体" w:cs="宋体"/>
          <w:spacing w:val="-4"/>
          <w:sz w:val="24"/>
          <w:szCs w:val="24"/>
        </w:rPr>
        <w:t>7.</w:t>
      </w:r>
      <w:r>
        <w:rPr>
          <w:rFonts w:ascii="宋体" w:hAnsi="宋体" w:eastAsia="宋体" w:cs="宋体"/>
          <w:spacing w:val="-5"/>
          <w:sz w:val="24"/>
          <w:szCs w:val="24"/>
        </w:rPr>
        <w:t>我方愿意按照征集文件规定的各项要求，以</w:t>
      </w:r>
      <w:r>
        <w:rPr>
          <w:rFonts w:ascii="宋体" w:hAnsi="宋体" w:eastAsia="宋体" w:cs="宋体"/>
          <w:spacing w:val="-5"/>
          <w:sz w:val="23"/>
          <w:szCs w:val="23"/>
          <w:u w:val="single" w:color="000000"/>
          <w14:textOutline w14:w="4180" w14:cap="flat" w14:cmpd="sng">
            <w14:solidFill>
              <w14:srgbClr w14:val="000000"/>
            </w14:solidFill>
            <w14:prstDash w14:val="solid"/>
            <w14:miter w14:val="0"/>
          </w14:textOutline>
        </w:rPr>
        <w:t>工时费率按2020年《安徽省汽车维</w:t>
      </w:r>
      <w:r>
        <w:rPr>
          <w:rFonts w:ascii="宋体" w:hAnsi="宋体" w:eastAsia="宋体" w:cs="宋体"/>
          <w:sz w:val="23"/>
          <w:szCs w:val="23"/>
        </w:rPr>
        <w:t xml:space="preserve"> </w:t>
      </w:r>
      <w:r>
        <w:rPr>
          <w:rFonts w:ascii="宋体" w:hAnsi="宋体" w:eastAsia="宋体" w:cs="宋体"/>
          <w:spacing w:val="3"/>
          <w:sz w:val="23"/>
          <w:szCs w:val="23"/>
          <w:u w:val="single" w:color="000000"/>
          <w14:textOutline w14:w="4180" w14:cap="flat" w14:cmpd="sng">
            <w14:solidFill>
              <w14:srgbClr w14:val="000000"/>
            </w14:solidFill>
            <w14:prstDash w14:val="solid"/>
            <w14:miter w14:val="0"/>
          </w14:textOutline>
        </w:rPr>
        <w:t>修行业工时定额》规定标准的</w:t>
      </w:r>
      <w:r>
        <w:rPr>
          <w:rFonts w:ascii="宋体" w:hAnsi="宋体" w:eastAsia="宋体" w:cs="宋体"/>
          <w:spacing w:val="3"/>
          <w:sz w:val="23"/>
          <w:szCs w:val="23"/>
          <w:u w:val="single" w:color="auto"/>
        </w:rPr>
        <w:t xml:space="preserve"> </w:t>
      </w:r>
      <w:r>
        <w:rPr>
          <w:rFonts w:hint="eastAsia" w:ascii="宋体" w:hAnsi="宋体" w:eastAsia="宋体" w:cs="宋体"/>
          <w:spacing w:val="3"/>
          <w:sz w:val="23"/>
          <w:szCs w:val="23"/>
          <w:u w:val="single" w:color="000000"/>
          <w:lang w:val="en-US" w:eastAsia="zh-CN"/>
          <w14:textOutline w14:w="4180" w14:cap="flat" w14:cmpd="sng">
            <w14:solidFill>
              <w14:srgbClr w14:val="000000"/>
            </w14:solidFill>
            <w14:prstDash w14:val="solid"/>
            <w14:miter w14:val="0"/>
          </w14:textOutline>
        </w:rPr>
        <w:t xml:space="preserve">  %</w:t>
      </w:r>
      <w:r>
        <w:rPr>
          <w:rFonts w:ascii="宋体" w:hAnsi="宋体" w:eastAsia="宋体" w:cs="宋体"/>
          <w:spacing w:val="3"/>
          <w:sz w:val="23"/>
          <w:szCs w:val="23"/>
          <w:u w:val="single" w:color="000000"/>
          <w14:textOutline w14:w="4180" w14:cap="flat" w14:cmpd="sng">
            <w14:solidFill>
              <w14:srgbClr w14:val="000000"/>
            </w14:solidFill>
            <w14:prstDash w14:val="solid"/>
            <w14:miter w14:val="0"/>
          </w14:textOutline>
        </w:rPr>
        <w:t>取费；材料费率按维修企业市场售价的</w:t>
      </w:r>
      <w:r>
        <w:rPr>
          <w:rFonts w:ascii="宋体" w:hAnsi="宋体" w:eastAsia="宋体" w:cs="宋体"/>
          <w:spacing w:val="-22"/>
          <w:sz w:val="23"/>
          <w:szCs w:val="23"/>
          <w:u w:val="single" w:color="auto"/>
        </w:rPr>
        <w:t xml:space="preserve"> </w:t>
      </w:r>
      <w:r>
        <w:rPr>
          <w:rFonts w:hint="eastAsia" w:ascii="宋体" w:hAnsi="宋体" w:eastAsia="宋体" w:cs="宋体"/>
          <w:spacing w:val="-22"/>
          <w:sz w:val="23"/>
          <w:szCs w:val="23"/>
          <w:u w:val="single" w:color="auto"/>
          <w:lang w:val="en-US" w:eastAsia="zh-CN"/>
        </w:rPr>
        <w:t xml:space="preserve">  </w:t>
      </w:r>
      <w:r>
        <w:rPr>
          <w:rFonts w:ascii="宋体" w:hAnsi="宋体" w:eastAsia="宋体" w:cs="宋体"/>
          <w:spacing w:val="2"/>
          <w:sz w:val="23"/>
          <w:szCs w:val="23"/>
          <w:u w:val="single" w:color="000000"/>
          <w14:textOutline w14:w="4180" w14:cap="flat" w14:cmpd="sng">
            <w14:solidFill>
              <w14:srgbClr w14:val="000000"/>
            </w14:solidFill>
            <w14:prstDash w14:val="solid"/>
            <w14:miter w14:val="0"/>
          </w14:textOutline>
        </w:rPr>
        <w:t>%取费</w:t>
      </w:r>
      <w:r>
        <w:rPr>
          <w:rFonts w:ascii="宋体" w:hAnsi="宋体" w:eastAsia="宋体" w:cs="宋体"/>
          <w:spacing w:val="56"/>
          <w:sz w:val="23"/>
          <w:szCs w:val="23"/>
          <w:u w:val="single" w:color="auto"/>
        </w:rPr>
        <w:t xml:space="preserve"> </w:t>
      </w:r>
      <w:r>
        <w:rPr>
          <w:rFonts w:ascii="宋体" w:hAnsi="宋体" w:eastAsia="宋体" w:cs="宋体"/>
          <w:spacing w:val="2"/>
          <w:sz w:val="24"/>
          <w:szCs w:val="24"/>
        </w:rPr>
        <w:t>向采</w:t>
      </w:r>
      <w:r>
        <w:rPr>
          <w:rFonts w:ascii="宋体" w:hAnsi="宋体" w:eastAsia="宋体" w:cs="宋体"/>
          <w:spacing w:val="-4"/>
          <w:sz w:val="24"/>
          <w:szCs w:val="24"/>
        </w:rPr>
        <w:t>购方提供所需的服务</w:t>
      </w:r>
      <w:r>
        <w:rPr>
          <w:rFonts w:hint="eastAsia" w:ascii="宋体" w:hAnsi="宋体" w:eastAsia="宋体" w:cs="宋体"/>
          <w:spacing w:val="-4"/>
          <w:sz w:val="24"/>
          <w:szCs w:val="24"/>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64"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spacing w:val="-4"/>
          <w:sz w:val="24"/>
          <w:szCs w:val="24"/>
          <w:lang w:val="en-US" w:eastAsia="zh-CN"/>
        </w:rPr>
        <w:t>8.</w:t>
      </w:r>
      <w:r>
        <w:rPr>
          <w:rFonts w:hint="eastAsia" w:ascii="宋体" w:hAnsi="宋体" w:eastAsia="宋体" w:cs="宋体"/>
          <w:color w:val="auto"/>
          <w:sz w:val="24"/>
          <w:highlight w:val="none"/>
          <w:lang w:val="en-US" w:eastAsia="zh-CN"/>
        </w:rPr>
        <w:t>我方承诺不会出现以下情形：</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（1）未按照征集项目的详细说明和要求确定的事项进行履约；</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（2）将政府采购合同转包；</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（3）提供假冒伪劣产品；</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（4）擅自变更、中止或者终止框架协议和政府采购合同。</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highlight w:val="none"/>
          <w:lang w:val="en-US" w:eastAsia="zh-CN"/>
        </w:rPr>
      </w:pPr>
      <w:bookmarkStart w:id="33" w:name="_Toc3773"/>
      <w:bookmarkStart w:id="34" w:name="_Toc300210382"/>
      <w:bookmarkStart w:id="35" w:name="_Toc457768004"/>
      <w:bookmarkStart w:id="36" w:name="_Toc13022"/>
      <w:bookmarkStart w:id="37" w:name="_Toc520299348"/>
      <w:bookmarkStart w:id="38" w:name="_Hlk11701496"/>
      <w:bookmarkStart w:id="39" w:name="_Toc18279"/>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 xml:space="preserve">供应商名称（盖章）：            </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日    期：</w:t>
      </w:r>
      <w:r>
        <w:rPr>
          <w:rFonts w:hint="default" w:ascii="宋体" w:hAnsi="宋体" w:eastAsia="宋体" w:cs="宋体"/>
          <w:b/>
          <w:bCs/>
          <w:color w:val="auto"/>
          <w:sz w:val="24"/>
          <w:highlight w:val="none"/>
          <w:lang w:val="en" w:eastAsia="zh-CN"/>
        </w:rPr>
        <w:t>2024</w:t>
      </w:r>
      <w:r>
        <w:rPr>
          <w:rFonts w:hint="eastAsia" w:ascii="宋体" w:hAnsi="宋体" w:eastAsia="宋体" w:cs="宋体"/>
          <w:b/>
          <w:bCs/>
          <w:color w:val="auto"/>
          <w:sz w:val="24"/>
          <w:highlight w:val="none"/>
          <w:lang w:val="en-US" w:eastAsia="zh-CN"/>
        </w:rPr>
        <w:t>年   月   日</w:t>
      </w:r>
    </w:p>
    <w:p>
      <w:pPr>
        <w:jc w:val="center"/>
        <w:rPr>
          <w:rFonts w:hint="default" w:asciiTheme="minorEastAsia" w:hAnsiTheme="minorEastAsia" w:eastAsiaTheme="minorEastAsia"/>
          <w:sz w:val="24"/>
          <w:highlight w:val="none"/>
          <w:lang w:val="en-US" w:eastAsia="zh-CN"/>
        </w:rPr>
      </w:pPr>
      <w:r>
        <w:rPr>
          <w:rFonts w:hint="eastAsia" w:asciiTheme="minorEastAsia" w:hAnsiTheme="minorEastAsia" w:eastAsiaTheme="minorEastAsia"/>
          <w:b/>
          <w:color w:val="auto"/>
          <w:sz w:val="24"/>
          <w:highlight w:val="none"/>
          <w:lang w:val="en-US" w:eastAsia="zh-CN"/>
        </w:rPr>
        <w:br w:type="page"/>
      </w:r>
      <w:bookmarkStart w:id="40" w:name="_Toc5355"/>
      <w:r>
        <w:rPr>
          <w:rStyle w:val="23"/>
          <w:rFonts w:hint="eastAsia"/>
          <w:highlight w:val="none"/>
          <w:lang w:val="en-US" w:eastAsia="zh-CN"/>
        </w:rPr>
        <w:t>五</w:t>
      </w:r>
      <w:r>
        <w:rPr>
          <w:rStyle w:val="23"/>
          <w:rFonts w:hint="eastAsia"/>
          <w:highlight w:val="none"/>
        </w:rPr>
        <w:t>、</w:t>
      </w:r>
      <w:r>
        <w:rPr>
          <w:rStyle w:val="23"/>
          <w:rFonts w:hint="eastAsia"/>
          <w:highlight w:val="none"/>
          <w:lang w:val="en-US" w:eastAsia="zh-CN"/>
        </w:rPr>
        <w:t>供应商资格证明材料</w:t>
      </w:r>
      <w:bookmarkEnd w:id="40"/>
    </w:p>
    <w:p>
      <w:pPr>
        <w:spacing w:line="360" w:lineRule="auto"/>
        <w:ind w:firstLine="437"/>
        <w:rPr>
          <w:rFonts w:hint="eastAsia" w:asciiTheme="minorEastAsia" w:hAnsiTheme="minorEastAsia" w:eastAsiaTheme="minorEastAsia"/>
          <w:sz w:val="24"/>
          <w:highlight w:val="none"/>
          <w:lang w:val="en-US" w:eastAsia="zh-CN"/>
        </w:rPr>
      </w:pPr>
    </w:p>
    <w:p>
      <w:pPr>
        <w:spacing w:before="78" w:line="462" w:lineRule="auto"/>
        <w:ind w:left="8" w:firstLine="750"/>
        <w:jc w:val="both"/>
        <w:rPr>
          <w:rFonts w:hint="eastAsia" w:ascii="宋体" w:hAnsi="宋体" w:eastAsia="宋体" w:cs="宋体"/>
          <w:b/>
          <w:bCs/>
          <w:spacing w:val="3"/>
          <w:sz w:val="24"/>
          <w:szCs w:val="24"/>
        </w:rPr>
      </w:pPr>
      <w:r>
        <w:rPr>
          <w:rFonts w:hint="eastAsia" w:ascii="宋体" w:hAnsi="宋体" w:eastAsia="宋体" w:cs="宋体"/>
          <w:spacing w:val="3"/>
          <w:sz w:val="24"/>
          <w:szCs w:val="24"/>
        </w:rPr>
        <w:t>1.满足《中华人民共和国政府采购法》第二十二条规定</w:t>
      </w:r>
      <w:r>
        <w:rPr>
          <w:rFonts w:hint="eastAsia" w:ascii="宋体" w:hAnsi="宋体" w:eastAsia="宋体" w:cs="宋体"/>
          <w:b/>
          <w:bCs/>
          <w:spacing w:val="3"/>
          <w:sz w:val="24"/>
          <w:szCs w:val="24"/>
        </w:rPr>
        <w:t xml:space="preserve"> (响应文件中须提 供有效期内的营业执照 (或事业单位法人登记证书) 的清晰影印件或扫描件，否则申请无效) ；</w:t>
      </w:r>
    </w:p>
    <w:p>
      <w:pPr>
        <w:spacing w:before="78" w:line="462" w:lineRule="auto"/>
        <w:ind w:left="8" w:firstLine="750"/>
        <w:jc w:val="both"/>
        <w:rPr>
          <w:rFonts w:ascii="宋体" w:hAnsi="宋体" w:eastAsia="宋体" w:cs="宋体"/>
          <w:b/>
          <w:bCs/>
          <w:sz w:val="24"/>
          <w:szCs w:val="24"/>
        </w:rPr>
      </w:pPr>
      <w:r>
        <w:rPr>
          <w:rFonts w:hint="eastAsia" w:ascii="宋体" w:hAnsi="宋体" w:eastAsia="宋体" w:cs="宋体"/>
          <w:spacing w:val="3"/>
          <w:sz w:val="24"/>
          <w:szCs w:val="24"/>
        </w:rPr>
        <w:t xml:space="preserve">2.具有综合二类及以上维修资质 </w:t>
      </w:r>
      <w:r>
        <w:rPr>
          <w:rFonts w:hint="eastAsia" w:ascii="宋体" w:hAnsi="宋体" w:eastAsia="宋体" w:cs="宋体"/>
          <w:b/>
          <w:bCs/>
          <w:spacing w:val="3"/>
          <w:sz w:val="24"/>
          <w:szCs w:val="24"/>
        </w:rPr>
        <w:t>(响应文件中须提供维修资质证书的清晰影印件或扫描件，否则申请无效)；</w:t>
      </w:r>
    </w:p>
    <w:p>
      <w:pPr>
        <w:pStyle w:val="17"/>
        <w:rPr>
          <w:rFonts w:hint="eastAsia" w:asciiTheme="minorEastAsia" w:hAnsiTheme="minorEastAsia"/>
          <w:b w:val="0"/>
          <w:bCs/>
          <w:sz w:val="24"/>
          <w:highlight w:val="none"/>
          <w:lang w:val="en-US" w:eastAsia="zh-CN"/>
        </w:rPr>
      </w:pPr>
    </w:p>
    <w:p>
      <w:pPr>
        <w:rPr>
          <w:rFonts w:hint="eastAsia"/>
          <w:highlight w:val="none"/>
          <w:lang w:val="en-US" w:eastAsia="zh-CN"/>
        </w:rPr>
      </w:pPr>
    </w:p>
    <w:p>
      <w:pPr>
        <w:pStyle w:val="17"/>
        <w:rPr>
          <w:rFonts w:hint="eastAsia" w:asciiTheme="minorEastAsia" w:hAnsiTheme="minorEastAsia"/>
          <w:b w:val="0"/>
          <w:bCs/>
          <w:sz w:val="24"/>
          <w:highlight w:val="none"/>
          <w:lang w:val="en-US" w:eastAsia="zh-CN"/>
        </w:rPr>
      </w:pPr>
    </w:p>
    <w:p>
      <w:pPr>
        <w:pStyle w:val="17"/>
        <w:rPr>
          <w:rFonts w:hint="default" w:asciiTheme="minorEastAsia" w:hAnsiTheme="minorEastAsia" w:eastAsiaTheme="minorEastAsia"/>
          <w:b w:val="0"/>
          <w:bCs/>
          <w:sz w:val="24"/>
          <w:highlight w:val="none"/>
          <w:lang w:val="en-US" w:eastAsia="zh-CN"/>
        </w:rPr>
      </w:pPr>
      <w:r>
        <w:rPr>
          <w:rFonts w:hint="eastAsia" w:asciiTheme="minorEastAsia" w:hAnsiTheme="minorEastAsia"/>
          <w:b w:val="0"/>
          <w:bCs/>
          <w:sz w:val="24"/>
          <w:highlight w:val="none"/>
          <w:lang w:val="en-US" w:eastAsia="zh-CN"/>
        </w:rPr>
        <w:t>...</w:t>
      </w:r>
    </w:p>
    <w:p>
      <w:pPr>
        <w:pStyle w:val="16"/>
        <w:numPr>
          <w:ilvl w:val="0"/>
          <w:numId w:val="0"/>
        </w:numPr>
        <w:ind w:right="-21" w:rightChars="-10"/>
        <w:rPr>
          <w:rFonts w:hint="default"/>
          <w:highlight w:val="none"/>
          <w:lang w:val="en-US" w:eastAsia="zh-CN"/>
        </w:rPr>
      </w:pPr>
    </w:p>
    <w:p>
      <w:pPr>
        <w:spacing w:line="360" w:lineRule="auto"/>
        <w:rPr>
          <w:rFonts w:hint="eastAsia" w:asciiTheme="minorEastAsia" w:hAnsiTheme="minorEastAsia" w:eastAsiaTheme="minorEastAsia"/>
          <w:color w:val="auto"/>
          <w:sz w:val="24"/>
          <w:highlight w:val="none"/>
          <w:lang w:val="en-US" w:eastAsia="zh-CN"/>
        </w:rPr>
      </w:pPr>
    </w:p>
    <w:p>
      <w:pPr>
        <w:rPr>
          <w:rFonts w:hint="eastAsia"/>
          <w:highlight w:val="none"/>
          <w:lang w:val="en-US" w:eastAsia="zh-CN"/>
        </w:rPr>
      </w:pPr>
    </w:p>
    <w:p>
      <w:pPr>
        <w:pStyle w:val="16"/>
        <w:rPr>
          <w:rFonts w:hint="eastAsia"/>
          <w:highlight w:val="none"/>
          <w:lang w:val="en-US" w:eastAsia="zh-CN"/>
        </w:rPr>
      </w:pPr>
    </w:p>
    <w:p>
      <w:pPr>
        <w:pStyle w:val="16"/>
        <w:rPr>
          <w:rFonts w:hint="eastAsia"/>
          <w:highlight w:val="none"/>
          <w:lang w:val="en-US" w:eastAsia="zh-CN"/>
        </w:rPr>
      </w:pPr>
    </w:p>
    <w:p>
      <w:pPr>
        <w:keepNext w:val="0"/>
        <w:keepLines w:val="0"/>
        <w:pageBreakBefore w:val="0"/>
        <w:widowControl w:val="0"/>
        <w:kinsoku/>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 xml:space="preserve">供应商名称（盖章）：            </w:t>
      </w:r>
    </w:p>
    <w:p>
      <w:pPr>
        <w:keepNext w:val="0"/>
        <w:keepLines w:val="0"/>
        <w:pageBreakBefore w:val="0"/>
        <w:widowControl w:val="0"/>
        <w:kinsoku/>
        <w:overflowPunct/>
        <w:topLinePunct w:val="0"/>
        <w:autoSpaceDE/>
        <w:autoSpaceDN/>
        <w:bidi w:val="0"/>
        <w:adjustRightInd/>
        <w:snapToGrid/>
        <w:spacing w:line="560" w:lineRule="exact"/>
        <w:ind w:firstLine="482" w:firstLineChars="200"/>
        <w:textAlignment w:val="auto"/>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日    期：</w:t>
      </w:r>
      <w:r>
        <w:rPr>
          <w:rFonts w:hint="default" w:ascii="宋体" w:hAnsi="宋体" w:eastAsia="宋体" w:cs="宋体"/>
          <w:b/>
          <w:bCs/>
          <w:color w:val="auto"/>
          <w:sz w:val="24"/>
          <w:highlight w:val="none"/>
          <w:lang w:val="en" w:eastAsia="zh-CN"/>
        </w:rPr>
        <w:t>2024</w:t>
      </w:r>
      <w:r>
        <w:rPr>
          <w:rFonts w:hint="eastAsia" w:ascii="宋体" w:hAnsi="宋体" w:eastAsia="宋体" w:cs="宋体"/>
          <w:b/>
          <w:bCs/>
          <w:color w:val="auto"/>
          <w:sz w:val="24"/>
          <w:highlight w:val="none"/>
          <w:lang w:val="en-US" w:eastAsia="zh-CN"/>
        </w:rPr>
        <w:t>年   月   日</w:t>
      </w:r>
    </w:p>
    <w:p>
      <w:pPr>
        <w:rPr>
          <w:rFonts w:hint="eastAsia" w:asciiTheme="minorEastAsia" w:hAnsiTheme="minorEastAsia" w:eastAsiaTheme="minorEastAsia"/>
          <w:b/>
          <w:color w:val="auto"/>
          <w:sz w:val="28"/>
          <w:szCs w:val="28"/>
          <w:highlight w:val="none"/>
          <w:lang w:val="en-US" w:eastAsia="zh-CN"/>
        </w:rPr>
      </w:pPr>
    </w:p>
    <w:p>
      <w:pPr>
        <w:rPr>
          <w:rFonts w:hint="eastAsia" w:asciiTheme="minorEastAsia" w:hAnsiTheme="minorEastAsia" w:eastAsiaTheme="minorEastAsia"/>
          <w:b/>
          <w:color w:val="auto"/>
          <w:sz w:val="28"/>
          <w:szCs w:val="28"/>
          <w:highlight w:val="none"/>
          <w:lang w:val="en-US" w:eastAsia="zh-CN"/>
        </w:rPr>
      </w:pPr>
      <w:r>
        <w:rPr>
          <w:rFonts w:hint="eastAsia" w:asciiTheme="minorEastAsia" w:hAnsiTheme="minorEastAsia" w:eastAsiaTheme="minorEastAsia"/>
          <w:b/>
          <w:color w:val="auto"/>
          <w:sz w:val="28"/>
          <w:szCs w:val="28"/>
          <w:highlight w:val="none"/>
          <w:lang w:val="en-US" w:eastAsia="zh-CN"/>
        </w:rPr>
        <w:br w:type="page"/>
      </w:r>
    </w:p>
    <w:p>
      <w:pPr>
        <w:pStyle w:val="2"/>
        <w:bidi w:val="0"/>
        <w:rPr>
          <w:rFonts w:hint="default"/>
          <w:highlight w:val="none"/>
          <w:lang w:val="en-US" w:eastAsia="zh-CN"/>
        </w:rPr>
      </w:pPr>
      <w:bookmarkStart w:id="41" w:name="_Toc22094"/>
      <w:r>
        <w:rPr>
          <w:rFonts w:hint="eastAsia"/>
          <w:highlight w:val="none"/>
          <w:lang w:val="en-US" w:eastAsia="zh-CN"/>
        </w:rPr>
        <w:t>六</w:t>
      </w:r>
      <w:r>
        <w:rPr>
          <w:rFonts w:hint="eastAsia"/>
          <w:highlight w:val="none"/>
        </w:rPr>
        <w:t>、</w:t>
      </w:r>
      <w:bookmarkEnd w:id="33"/>
      <w:bookmarkEnd w:id="34"/>
      <w:bookmarkEnd w:id="35"/>
      <w:bookmarkEnd w:id="36"/>
      <w:bookmarkEnd w:id="37"/>
      <w:bookmarkEnd w:id="38"/>
      <w:bookmarkEnd w:id="39"/>
      <w:r>
        <w:rPr>
          <w:rFonts w:hint="eastAsia"/>
          <w:highlight w:val="none"/>
          <w:lang w:val="en-US" w:eastAsia="zh-CN"/>
        </w:rPr>
        <w:t>入围评审证明材料</w:t>
      </w:r>
      <w:bookmarkEnd w:id="41"/>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color w:val="auto"/>
          <w:sz w:val="24"/>
          <w:highlight w:val="none"/>
          <w:lang w:val="en-US" w:eastAsia="zh-CN"/>
        </w:rPr>
      </w:pPr>
      <w:r>
        <w:rPr>
          <w:rFonts w:hint="eastAsia" w:asciiTheme="minorEastAsia" w:hAnsiTheme="minorEastAsia" w:eastAsiaTheme="minorEastAsia"/>
          <w:color w:val="auto"/>
          <w:sz w:val="24"/>
          <w:highlight w:val="none"/>
        </w:rPr>
        <w:t>提供符合</w:t>
      </w:r>
      <w:r>
        <w:rPr>
          <w:rFonts w:hint="eastAsia" w:asciiTheme="minorEastAsia" w:hAnsiTheme="minorEastAsia"/>
          <w:color w:val="auto"/>
          <w:sz w:val="24"/>
          <w:highlight w:val="none"/>
          <w:lang w:val="en-US" w:eastAsia="zh-CN"/>
        </w:rPr>
        <w:t>本</w:t>
      </w:r>
      <w:r>
        <w:rPr>
          <w:rFonts w:hint="eastAsia" w:asciiTheme="minorEastAsia" w:hAnsiTheme="minorEastAsia" w:eastAsiaTheme="minorEastAsia"/>
          <w:color w:val="auto"/>
          <w:sz w:val="24"/>
          <w:highlight w:val="none"/>
          <w:lang w:eastAsia="zh-CN"/>
        </w:rPr>
        <w:t>征集</w:t>
      </w:r>
      <w:r>
        <w:rPr>
          <w:rFonts w:hint="eastAsia" w:asciiTheme="minorEastAsia" w:hAnsiTheme="minorEastAsia"/>
          <w:color w:val="auto"/>
          <w:sz w:val="24"/>
          <w:highlight w:val="none"/>
          <w:lang w:val="en-US" w:eastAsia="zh-CN"/>
        </w:rPr>
        <w:t>文件第一阶段入围评审办法-评审细则中要求的各项</w:t>
      </w:r>
      <w:r>
        <w:rPr>
          <w:rFonts w:asciiTheme="minorEastAsia" w:hAnsiTheme="minorEastAsia" w:eastAsiaTheme="minorEastAsia"/>
          <w:color w:val="auto"/>
          <w:sz w:val="24"/>
          <w:highlight w:val="none"/>
        </w:rPr>
        <w:t>证明</w:t>
      </w:r>
      <w:r>
        <w:rPr>
          <w:rFonts w:hint="eastAsia" w:asciiTheme="minorEastAsia" w:hAnsiTheme="minorEastAsia"/>
          <w:color w:val="auto"/>
          <w:sz w:val="24"/>
          <w:highlight w:val="none"/>
          <w:lang w:val="en-US" w:eastAsia="zh-CN"/>
        </w:rPr>
        <w:t>材料，按照投标文件制作工具上传栏目分别提交。</w:t>
      </w:r>
    </w:p>
    <w:p>
      <w:pPr>
        <w:rPr>
          <w:rFonts w:hint="eastAsia" w:asciiTheme="minorEastAsia" w:hAnsiTheme="minorEastAsia"/>
          <w:color w:val="auto"/>
          <w:sz w:val="24"/>
          <w:highlight w:val="none"/>
          <w:lang w:val="en-US" w:eastAsia="zh-CN"/>
        </w:rPr>
      </w:pPr>
      <w:r>
        <w:rPr>
          <w:rFonts w:hint="eastAsia" w:asciiTheme="minorEastAsia" w:hAnsiTheme="minorEastAsia"/>
          <w:color w:val="auto"/>
          <w:sz w:val="24"/>
          <w:highlight w:val="none"/>
          <w:lang w:val="en-US" w:eastAsia="zh-CN"/>
        </w:rPr>
        <w:br w:type="page"/>
      </w:r>
    </w:p>
    <w:p>
      <w:pPr>
        <w:pStyle w:val="2"/>
        <w:bidi w:val="0"/>
        <w:rPr>
          <w:rFonts w:hint="eastAsia"/>
          <w:highlight w:val="none"/>
        </w:rPr>
      </w:pPr>
      <w:bookmarkStart w:id="42" w:name="_Toc19301"/>
      <w:r>
        <w:rPr>
          <w:rFonts w:hint="eastAsia"/>
          <w:highlight w:val="none"/>
          <w:lang w:val="en-US" w:eastAsia="zh-CN"/>
        </w:rPr>
        <w:t>七</w:t>
      </w:r>
      <w:r>
        <w:rPr>
          <w:rFonts w:hint="eastAsia"/>
          <w:highlight w:val="none"/>
        </w:rPr>
        <w:t>、其他相关材料</w:t>
      </w:r>
      <w:bookmarkEnd w:id="42"/>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color w:val="auto"/>
          <w:sz w:val="24"/>
          <w:highlight w:val="none"/>
          <w:lang w:val="en-US" w:eastAsia="zh-CN"/>
        </w:rPr>
      </w:pPr>
      <w:r>
        <w:rPr>
          <w:rFonts w:hint="eastAsia" w:asciiTheme="minorEastAsia" w:hAnsiTheme="minorEastAsia"/>
          <w:color w:val="auto"/>
          <w:sz w:val="24"/>
          <w:highlight w:val="none"/>
          <w:lang w:val="en-US" w:eastAsia="zh-CN"/>
        </w:rPr>
        <w:t>自行上传供应商认为需要上传的与本项目相关的其他</w:t>
      </w:r>
      <w:r>
        <w:rPr>
          <w:rFonts w:asciiTheme="minorEastAsia" w:hAnsiTheme="minorEastAsia" w:eastAsiaTheme="minorEastAsia"/>
          <w:color w:val="auto"/>
          <w:sz w:val="24"/>
          <w:highlight w:val="none"/>
        </w:rPr>
        <w:t>资料</w:t>
      </w:r>
      <w:r>
        <w:rPr>
          <w:rFonts w:hint="eastAsia" w:asciiTheme="minorEastAsia" w:hAnsiTheme="minorEastAsia"/>
          <w:color w:val="auto"/>
          <w:sz w:val="24"/>
          <w:highlight w:val="none"/>
          <w:lang w:val="en-US" w:eastAsia="zh-CN"/>
        </w:rPr>
        <w:t>。</w:t>
      </w:r>
    </w:p>
    <w:p>
      <w:pPr>
        <w:pStyle w:val="16"/>
        <w:rPr>
          <w:rFonts w:hint="eastAsia"/>
          <w:lang w:val="en-US" w:eastAsia="zh-CN"/>
        </w:rPr>
      </w:pPr>
    </w:p>
    <w:p>
      <w:pPr>
        <w:rPr>
          <w:rFonts w:ascii="宋体" w:hAnsi="宋体" w:eastAsia="宋体"/>
          <w:bCs/>
          <w:color w:val="auto"/>
          <w:sz w:val="24"/>
          <w:highlight w:val="none"/>
        </w:rPr>
      </w:pPr>
    </w:p>
    <w:p/>
    <w:sectPr>
      <w:footerReference r:id="rId3" w:type="default"/>
      <w:pgSz w:w="11906" w:h="16838"/>
      <w:pgMar w:top="1440" w:right="1463" w:bottom="1440" w:left="1463"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1E1590"/>
    <w:multiLevelType w:val="singleLevel"/>
    <w:tmpl w:val="071E1590"/>
    <w:lvl w:ilvl="0" w:tentative="0">
      <w:start w:val="1"/>
      <w:numFmt w:val="decimalEnclosedCircleChinese"/>
      <w:suff w:val="space"/>
      <w:lvlText w:val="%1"/>
      <w:lvlJc w:val="left"/>
      <w:rPr>
        <w:rFonts w:hint="eastAsia"/>
      </w:rPr>
    </w:lvl>
  </w:abstractNum>
  <w:abstractNum w:abstractNumId="1">
    <w:nsid w:val="443DA81E"/>
    <w:multiLevelType w:val="singleLevel"/>
    <w:tmpl w:val="443DA81E"/>
    <w:lvl w:ilvl="0" w:tentative="0">
      <w:start w:val="1"/>
      <w:numFmt w:val="decimal"/>
      <w:suff w:val="nothing"/>
      <w:lvlText w:val="%1、"/>
      <w:lvlJc w:val="left"/>
    </w:lvl>
  </w:abstractNum>
  <w:abstractNum w:abstractNumId="2">
    <w:nsid w:val="614F642F"/>
    <w:multiLevelType w:val="singleLevel"/>
    <w:tmpl w:val="614F642F"/>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s>
  <w:rsids>
    <w:rsidRoot w:val="00000000"/>
    <w:rsid w:val="0185143C"/>
    <w:rsid w:val="02BA3F8E"/>
    <w:rsid w:val="03C739A9"/>
    <w:rsid w:val="058D7C16"/>
    <w:rsid w:val="063412A3"/>
    <w:rsid w:val="06DE368B"/>
    <w:rsid w:val="07921AE0"/>
    <w:rsid w:val="07E87FEB"/>
    <w:rsid w:val="095D2DF9"/>
    <w:rsid w:val="0A4703B1"/>
    <w:rsid w:val="0B242D41"/>
    <w:rsid w:val="0B522A01"/>
    <w:rsid w:val="0C0B6463"/>
    <w:rsid w:val="0D7D62E4"/>
    <w:rsid w:val="0D9D24E2"/>
    <w:rsid w:val="0E7E6264"/>
    <w:rsid w:val="0E85182B"/>
    <w:rsid w:val="0FAF8199"/>
    <w:rsid w:val="13572D93"/>
    <w:rsid w:val="15B0743B"/>
    <w:rsid w:val="15CF1FE9"/>
    <w:rsid w:val="16B02176"/>
    <w:rsid w:val="176D1177"/>
    <w:rsid w:val="17A52DD3"/>
    <w:rsid w:val="18B0330F"/>
    <w:rsid w:val="1A3D4031"/>
    <w:rsid w:val="1D67664B"/>
    <w:rsid w:val="218B6CDA"/>
    <w:rsid w:val="23072040"/>
    <w:rsid w:val="25482934"/>
    <w:rsid w:val="25F660D7"/>
    <w:rsid w:val="26E86000"/>
    <w:rsid w:val="28E57B75"/>
    <w:rsid w:val="2AE10E14"/>
    <w:rsid w:val="2BE677DE"/>
    <w:rsid w:val="2BEF4BB2"/>
    <w:rsid w:val="2D073D1B"/>
    <w:rsid w:val="2D541EEA"/>
    <w:rsid w:val="30197C97"/>
    <w:rsid w:val="329E499A"/>
    <w:rsid w:val="33BF1EDB"/>
    <w:rsid w:val="3480604D"/>
    <w:rsid w:val="34864516"/>
    <w:rsid w:val="34C379BA"/>
    <w:rsid w:val="351A0E7C"/>
    <w:rsid w:val="377970EB"/>
    <w:rsid w:val="39FB59AC"/>
    <w:rsid w:val="3B3F4A55"/>
    <w:rsid w:val="3BFFC25C"/>
    <w:rsid w:val="3CBC7FD9"/>
    <w:rsid w:val="3DEC7F5E"/>
    <w:rsid w:val="417C4AE8"/>
    <w:rsid w:val="41956F31"/>
    <w:rsid w:val="42663439"/>
    <w:rsid w:val="432702BD"/>
    <w:rsid w:val="464C3512"/>
    <w:rsid w:val="47EC15BE"/>
    <w:rsid w:val="48E77BEA"/>
    <w:rsid w:val="4A51546A"/>
    <w:rsid w:val="4A772E17"/>
    <w:rsid w:val="4A9C168F"/>
    <w:rsid w:val="4AA7053B"/>
    <w:rsid w:val="4ADA1E20"/>
    <w:rsid w:val="4B3044D5"/>
    <w:rsid w:val="4B3E1DFC"/>
    <w:rsid w:val="4BB97E25"/>
    <w:rsid w:val="4D423F31"/>
    <w:rsid w:val="4ED13B8A"/>
    <w:rsid w:val="4FC26BC9"/>
    <w:rsid w:val="50BF2F0A"/>
    <w:rsid w:val="52B92EE7"/>
    <w:rsid w:val="56981066"/>
    <w:rsid w:val="5765363E"/>
    <w:rsid w:val="580C5867"/>
    <w:rsid w:val="58E366D7"/>
    <w:rsid w:val="59E356F8"/>
    <w:rsid w:val="5A513A05"/>
    <w:rsid w:val="5B4D0671"/>
    <w:rsid w:val="5BCF06A9"/>
    <w:rsid w:val="5C360147"/>
    <w:rsid w:val="5C5907FE"/>
    <w:rsid w:val="5CE72297"/>
    <w:rsid w:val="5E1604F6"/>
    <w:rsid w:val="5F9745B0"/>
    <w:rsid w:val="61E07F14"/>
    <w:rsid w:val="6240283F"/>
    <w:rsid w:val="62467BC8"/>
    <w:rsid w:val="63EF8FAD"/>
    <w:rsid w:val="65AB70A8"/>
    <w:rsid w:val="67212E7F"/>
    <w:rsid w:val="673F1AF0"/>
    <w:rsid w:val="67AE2F9A"/>
    <w:rsid w:val="67C2748B"/>
    <w:rsid w:val="69092380"/>
    <w:rsid w:val="6AC40C9E"/>
    <w:rsid w:val="6AF29D2B"/>
    <w:rsid w:val="6B1538BA"/>
    <w:rsid w:val="6C6D73FD"/>
    <w:rsid w:val="6CE20DFE"/>
    <w:rsid w:val="6E593C44"/>
    <w:rsid w:val="6E985C4F"/>
    <w:rsid w:val="6FD131C7"/>
    <w:rsid w:val="723F1FDF"/>
    <w:rsid w:val="73CD1EF7"/>
    <w:rsid w:val="74BA56D1"/>
    <w:rsid w:val="74E27046"/>
    <w:rsid w:val="777F08B1"/>
    <w:rsid w:val="77AF2594"/>
    <w:rsid w:val="78C94AA4"/>
    <w:rsid w:val="79FE57F9"/>
    <w:rsid w:val="7C3001DA"/>
    <w:rsid w:val="7C567546"/>
    <w:rsid w:val="7C701FB9"/>
    <w:rsid w:val="7C7421B7"/>
    <w:rsid w:val="7E7C227A"/>
    <w:rsid w:val="7ED7AC13"/>
    <w:rsid w:val="7ED7D335"/>
    <w:rsid w:val="7EE822DB"/>
    <w:rsid w:val="7FDEB1A1"/>
    <w:rsid w:val="A3FFDB32"/>
    <w:rsid w:val="B089A07A"/>
    <w:rsid w:val="BFDEDF33"/>
    <w:rsid w:val="BFEDC8D9"/>
    <w:rsid w:val="CD5F6747"/>
    <w:rsid w:val="CD9D2C18"/>
    <w:rsid w:val="CF79DF37"/>
    <w:rsid w:val="CFFFEECA"/>
    <w:rsid w:val="D7BEAF2E"/>
    <w:rsid w:val="DB6F453B"/>
    <w:rsid w:val="DCB90A4F"/>
    <w:rsid w:val="DDAC586E"/>
    <w:rsid w:val="DEDF7662"/>
    <w:rsid w:val="F3BFDCDB"/>
    <w:rsid w:val="F3F7581A"/>
    <w:rsid w:val="F8CD855A"/>
    <w:rsid w:val="FDFF51CA"/>
    <w:rsid w:val="FF7B7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
    <w:autoRedefine/>
    <w:qFormat/>
    <w:uiPriority w:val="0"/>
    <w:pPr>
      <w:keepNext/>
      <w:keepLines/>
      <w:spacing w:before="120" w:beforeLines="0" w:beforeAutospacing="0" w:after="120" w:afterLines="0" w:afterAutospacing="0" w:line="560" w:lineRule="exact"/>
      <w:jc w:val="center"/>
      <w:outlineLvl w:val="0"/>
    </w:pPr>
    <w:rPr>
      <w:rFonts w:asciiTheme="minorAscii" w:hAnsiTheme="minorAscii"/>
      <w:b/>
      <w:kern w:val="44"/>
      <w:sz w:val="28"/>
    </w:rPr>
  </w:style>
  <w:style w:type="paragraph" w:styleId="3">
    <w:name w:val="heading 2"/>
    <w:basedOn w:val="1"/>
    <w:next w:val="1"/>
    <w:autoRedefine/>
    <w:qFormat/>
    <w:uiPriority w:val="0"/>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semiHidden/>
    <w:qFormat/>
    <w:uiPriority w:val="99"/>
    <w:pPr>
      <w:jc w:val="left"/>
    </w:pPr>
  </w:style>
  <w:style w:type="paragraph" w:styleId="6">
    <w:name w:val="Body Text"/>
    <w:basedOn w:val="1"/>
    <w:autoRedefine/>
    <w:qFormat/>
    <w:uiPriority w:val="0"/>
    <w:rPr>
      <w:rFonts w:ascii="宋体" w:hAnsi="Arial"/>
      <w:sz w:val="28"/>
    </w:rPr>
  </w:style>
  <w:style w:type="paragraph" w:styleId="7">
    <w:name w:val="Body Text Indent"/>
    <w:basedOn w:val="1"/>
    <w:next w:val="8"/>
    <w:autoRedefine/>
    <w:qFormat/>
    <w:uiPriority w:val="0"/>
    <w:pPr>
      <w:ind w:firstLine="555"/>
    </w:pPr>
  </w:style>
  <w:style w:type="paragraph" w:styleId="8">
    <w:name w:val="envelope return"/>
    <w:basedOn w:val="1"/>
    <w:autoRedefine/>
    <w:qFormat/>
    <w:uiPriority w:val="0"/>
    <w:pPr>
      <w:snapToGrid w:val="0"/>
    </w:pPr>
    <w:rPr>
      <w:rFonts w:ascii="Arial" w:hAnsi="Arial"/>
    </w:rPr>
  </w:style>
  <w:style w:type="paragraph" w:styleId="9">
    <w:name w:val="Plain Text"/>
    <w:basedOn w:val="1"/>
    <w:autoRedefine/>
    <w:qFormat/>
    <w:uiPriority w:val="0"/>
    <w:rPr>
      <w:rFonts w:ascii="宋体" w:hAnsi="Courier New"/>
    </w:rPr>
  </w:style>
  <w:style w:type="paragraph" w:styleId="10">
    <w:name w:val="Date"/>
    <w:basedOn w:val="1"/>
    <w:next w:val="1"/>
    <w:autoRedefine/>
    <w:qFormat/>
    <w:uiPriority w:val="0"/>
    <w:rPr>
      <w:rFonts w:ascii="Arial" w:hAnsi="Arial" w:eastAsia="宋体" w:cs="Arial"/>
      <w:b/>
      <w:sz w:val="28"/>
    </w:rPr>
  </w:style>
  <w:style w:type="paragraph" w:styleId="11">
    <w:name w:val="footer"/>
    <w:basedOn w:val="1"/>
    <w:autoRedefine/>
    <w:unhideWhenUsed/>
    <w:qFormat/>
    <w:uiPriority w:val="99"/>
    <w:pPr>
      <w:tabs>
        <w:tab w:val="center" w:pos="4153"/>
        <w:tab w:val="right" w:pos="8306"/>
      </w:tabs>
      <w:snapToGrid w:val="0"/>
      <w:jc w:val="left"/>
    </w:pPr>
    <w:rPr>
      <w:sz w:val="18"/>
      <w:szCs w:val="18"/>
    </w:rPr>
  </w:style>
  <w:style w:type="paragraph" w:styleId="12">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0"/>
  </w:style>
  <w:style w:type="paragraph" w:styleId="14">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5">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6">
    <w:name w:val="Body Text First Indent"/>
    <w:basedOn w:val="6"/>
    <w:autoRedefine/>
    <w:qFormat/>
    <w:uiPriority w:val="0"/>
    <w:pPr>
      <w:autoSpaceDE w:val="0"/>
      <w:autoSpaceDN w:val="0"/>
      <w:adjustRightInd w:val="0"/>
      <w:spacing w:line="360" w:lineRule="auto"/>
      <w:ind w:right="-24" w:rightChars="-10" w:firstLine="425" w:firstLineChars="225"/>
    </w:pPr>
    <w:rPr>
      <w:rFonts w:ascii="Arial" w:hAnsi="Arial" w:eastAsia="仿宋_GB2312" w:cs="Arial"/>
      <w:kern w:val="0"/>
      <w:sz w:val="24"/>
      <w:szCs w:val="32"/>
    </w:rPr>
  </w:style>
  <w:style w:type="paragraph" w:styleId="17">
    <w:name w:val="Body Text First Indent 2"/>
    <w:basedOn w:val="7"/>
    <w:next w:val="1"/>
    <w:autoRedefine/>
    <w:qFormat/>
    <w:uiPriority w:val="0"/>
    <w:pPr>
      <w:ind w:firstLine="420" w:firstLineChars="200"/>
    </w:pPr>
    <w:rPr>
      <w:rFonts w:ascii="Calibri" w:hAnsi="Calibri"/>
      <w:kern w:val="0"/>
      <w:sz w:val="20"/>
      <w:szCs w:val="24"/>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qFormat/>
    <w:uiPriority w:val="0"/>
    <w:rPr>
      <w:color w:val="0000FF"/>
      <w:u w:val="single"/>
    </w:rPr>
  </w:style>
  <w:style w:type="paragraph" w:customStyle="1" w:styleId="22">
    <w:name w:val="列出段落1"/>
    <w:basedOn w:val="1"/>
    <w:autoRedefine/>
    <w:unhideWhenUsed/>
    <w:qFormat/>
    <w:uiPriority w:val="99"/>
    <w:pPr>
      <w:ind w:firstLine="420" w:firstLineChars="200"/>
    </w:pPr>
  </w:style>
  <w:style w:type="character" w:customStyle="1" w:styleId="23">
    <w:name w:val="标题 1 Char"/>
    <w:link w:val="2"/>
    <w:autoRedefine/>
    <w:qFormat/>
    <w:uiPriority w:val="0"/>
    <w:rPr>
      <w:rFonts w:asciiTheme="minorAscii" w:hAnsiTheme="minorAscii"/>
      <w:b/>
      <w:kern w:val="44"/>
      <w:sz w:val="28"/>
    </w:rPr>
  </w:style>
  <w:style w:type="paragraph" w:customStyle="1" w:styleId="24">
    <w:name w:val="Table Paragraph"/>
    <w:basedOn w:val="1"/>
    <w:autoRedefine/>
    <w:qFormat/>
    <w:uiPriority w:val="1"/>
    <w:rPr>
      <w:rFonts w:ascii="宋体" w:hAnsi="宋体" w:eastAsia="宋体" w:cs="宋体"/>
      <w:lang w:val="en-US" w:eastAsia="zh-CN" w:bidi="ar-SA"/>
    </w:rPr>
  </w:style>
  <w:style w:type="paragraph" w:customStyle="1" w:styleId="25">
    <w:name w:val="Table Text"/>
    <w:basedOn w:val="1"/>
    <w:autoRedefine/>
    <w:semiHidden/>
    <w:qFormat/>
    <w:uiPriority w:val="0"/>
    <w:rPr>
      <w:rFonts w:ascii="宋体" w:hAnsi="宋体" w:eastAsia="宋体" w:cs="宋体"/>
      <w:sz w:val="24"/>
      <w:szCs w:val="24"/>
      <w:lang w:val="en-US" w:eastAsia="en-US" w:bidi="ar-SA"/>
    </w:rPr>
  </w:style>
  <w:style w:type="table" w:customStyle="1" w:styleId="2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7997</Words>
  <Characters>8463</Characters>
  <Lines>0</Lines>
  <Paragraphs>0</Paragraphs>
  <TotalTime>103</TotalTime>
  <ScaleCrop>false</ScaleCrop>
  <LinksUpToDate>false</LinksUpToDate>
  <CharactersWithSpaces>8896</CharactersWithSpaces>
  <Application>WPS Office_12.1.0.16704_F1E327BC-269C-435d-A152-05C5408002CA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2023-01-04T18:56:00Z</dcterms:created>
  <dc:creator>Administrator</dc:creator>
  <cp:lastModifiedBy>Administrator</cp:lastModifiedBy>
  <cp:lastPrinted>2024-04-03T08:50:35Z</cp:lastPrinted>
  <dcterms:modified xsi:type="dcterms:W3CDTF">2024-04-03T09:03:25Z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2052-12.1.0.16704</vt:lpwstr>
  </property>
  <property fmtid="{D5CDD505-2E9C-101B-9397-08002B2CF9AE}" pid="3" name="ICV">
    <vt:lpwstr>1C9281FB3CF644D4A37C642C684EB761_13</vt:lpwstr>
  </property>
</Properties>
</file>