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ind w:firstLine="0"/>
        <w:rPr>
          <w:highlight w:val="none"/>
        </w:rPr>
      </w:pPr>
    </w:p>
    <w:p>
      <w:pPr>
        <w:pStyle w:val="22"/>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10"/>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7"/>
                    <a:stretch>
                      <a:fillRect/>
                    </a:stretch>
                  </pic:blipFill>
                  <pic:spPr>
                    <a:xfrm>
                      <a:off x="0" y="0"/>
                      <a:ext cx="1961515" cy="1332230"/>
                    </a:xfrm>
                    <a:prstGeom prst="rect">
                      <a:avLst/>
                    </a:prstGeom>
                    <a:noFill/>
                    <a:ln>
                      <a:noFill/>
                    </a:ln>
                  </pic:spPr>
                </pic:pic>
              </a:graphicData>
            </a:graphic>
          </wp:inline>
        </w:drawing>
      </w:r>
    </w:p>
    <w:p>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23"/>
        <w:jc w:val="center"/>
        <w:rPr>
          <w:rFonts w:ascii="宋体" w:hAnsi="等线" w:cs="Times New Roman"/>
          <w:b/>
          <w:bCs/>
          <w:spacing w:val="20"/>
          <w:kern w:val="0"/>
          <w:sz w:val="32"/>
          <w:szCs w:val="32"/>
          <w:highlight w:val="none"/>
        </w:rPr>
      </w:pPr>
    </w:p>
    <w:p>
      <w:pPr>
        <w:pStyle w:val="23"/>
        <w:jc w:val="center"/>
        <w:rPr>
          <w:rFonts w:ascii="宋体" w:hAnsi="等线" w:cs="Times New Roman"/>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ind w:left="2244" w:leftChars="304" w:hanging="1606" w:hangingChars="500"/>
        <w:rPr>
          <w:rFonts w:hint="eastAsia" w:ascii="宋体" w:hAnsi="宋体" w:eastAsia="宋体" w:cs="宋体"/>
          <w:b/>
          <w:kern w:val="0"/>
          <w:sz w:val="32"/>
          <w:szCs w:val="32"/>
          <w:highlight w:val="none"/>
          <w:lang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霍山县市场监督管理局2024年度产品质量监督抽检项目</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DBSCG-2024-</w:t>
      </w:r>
      <w:r>
        <w:rPr>
          <w:rFonts w:hint="eastAsia" w:ascii="宋体" w:hAnsi="等线"/>
          <w:b/>
          <w:bCs/>
          <w:kern w:val="0"/>
          <w:sz w:val="32"/>
          <w:szCs w:val="32"/>
          <w:highlight w:val="none"/>
          <w:lang w:val="en-US" w:eastAsia="zh-CN"/>
        </w:rPr>
        <w:t>040</w:t>
      </w:r>
    </w:p>
    <w:p>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霍山县市场监督管理局</w:t>
      </w:r>
    </w:p>
    <w:p>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bCs/>
          <w:color w:val="000000"/>
          <w:sz w:val="36"/>
          <w:szCs w:val="36"/>
          <w:highlight w:val="none"/>
          <w:lang w:eastAsia="zh-CN"/>
        </w:rPr>
      </w:pPr>
      <w:r>
        <w:rPr>
          <w:rFonts w:hint="eastAsia" w:ascii="宋体" w:hAnsi="宋体" w:cs="宋体"/>
          <w:b/>
          <w:kern w:val="0"/>
          <w:sz w:val="32"/>
          <w:szCs w:val="32"/>
          <w:highlight w:val="none"/>
        </w:rPr>
        <w:t>采购时间：</w:t>
      </w:r>
      <w:bookmarkStart w:id="0" w:name="_Toc11428_WPSOffice_Type1"/>
      <w:bookmarkStart w:id="1" w:name="_Toc363199264"/>
      <w:bookmarkStart w:id="2" w:name="_Toc216158623"/>
      <w:r>
        <w:rPr>
          <w:rFonts w:hint="eastAsia" w:ascii="宋体" w:hAnsi="宋体" w:cs="宋体"/>
          <w:b/>
          <w:kern w:val="0"/>
          <w:sz w:val="32"/>
          <w:szCs w:val="32"/>
          <w:highlight w:val="none"/>
          <w:lang w:eastAsia="zh-CN"/>
        </w:rPr>
        <w:t>2024年4月</w:t>
      </w:r>
    </w:p>
    <w:p>
      <w:pPr>
        <w:rPr>
          <w:rFonts w:hint="eastAsia" w:ascii="宋体" w:hAnsi="宋体" w:cs="宋体"/>
          <w:b/>
          <w:bCs/>
          <w:color w:val="000000"/>
          <w:sz w:val="36"/>
          <w:szCs w:val="36"/>
          <w:highlight w:val="none"/>
        </w:rPr>
      </w:pPr>
      <w:r>
        <w:rPr>
          <w:rFonts w:hint="eastAsia" w:ascii="宋体" w:hAnsi="宋体" w:cs="宋体"/>
          <w:b/>
          <w:bCs/>
          <w:color w:val="000000"/>
          <w:sz w:val="36"/>
          <w:szCs w:val="36"/>
          <w:highlight w:val="none"/>
        </w:rPr>
        <w:br w:type="page"/>
      </w:r>
    </w:p>
    <w:p>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pPr>
        <w:pStyle w:val="55"/>
        <w:adjustRightInd w:val="0"/>
        <w:snapToGrid w:val="0"/>
        <w:spacing w:line="48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5"/>
        <w:adjustRightInd w:val="0"/>
        <w:snapToGrid w:val="0"/>
        <w:spacing w:line="48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pPr>
        <w:pStyle w:val="55"/>
        <w:adjustRightInd w:val="0"/>
        <w:snapToGrid w:val="0"/>
        <w:spacing w:line="48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5"/>
        <w:adjustRightInd w:val="0"/>
        <w:snapToGrid w:val="0"/>
        <w:spacing w:line="48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pPr>
        <w:pStyle w:val="55"/>
        <w:adjustRightInd w:val="0"/>
        <w:snapToGrid w:val="0"/>
        <w:spacing w:line="48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pPr>
        <w:pStyle w:val="55"/>
        <w:tabs>
          <w:tab w:val="left" w:pos="3472"/>
          <w:tab w:val="left" w:pos="5940"/>
        </w:tabs>
        <w:adjustRightInd w:val="0"/>
        <w:snapToGrid w:val="0"/>
        <w:spacing w:line="48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5"/>
        <w:tabs>
          <w:tab w:val="left" w:pos="3472"/>
          <w:tab w:val="left" w:pos="5940"/>
        </w:tabs>
        <w:adjustRightInd w:val="0"/>
        <w:snapToGrid w:val="0"/>
        <w:spacing w:line="48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安徽</w:t>
      </w:r>
      <w:r>
        <w:rPr>
          <w:rFonts w:hint="eastAsia" w:ascii="宋体" w:hAnsi="宋体" w:cs="宋体"/>
          <w:color w:val="000000"/>
          <w:szCs w:val="21"/>
          <w:highlight w:val="none"/>
          <w:lang w:val="en-US" w:eastAsia="zh-CN"/>
        </w:rPr>
        <w:t>霍山</w:t>
      </w:r>
      <w:r>
        <w:rPr>
          <w:rFonts w:hint="eastAsia" w:ascii="宋体" w:hAnsi="宋体" w:cs="宋体"/>
          <w:color w:val="000000"/>
          <w:szCs w:val="21"/>
          <w:highlight w:val="none"/>
          <w:lang w:eastAsia="zh-CN"/>
        </w:rPr>
        <w:t>国有资产投资(控股)集团有限公司</w:t>
      </w:r>
      <w:r>
        <w:rPr>
          <w:rFonts w:hint="eastAsia" w:ascii="宋体" w:hAnsi="宋体" w:cs="宋体"/>
          <w:color w:val="000000"/>
          <w:szCs w:val="21"/>
          <w:highlight w:val="none"/>
        </w:rPr>
        <w:t>网站（www.ahdmig.cn）。</w:t>
      </w:r>
    </w:p>
    <w:p>
      <w:pPr>
        <w:autoSpaceDE w:val="0"/>
        <w:autoSpaceDN w:val="0"/>
        <w:adjustRightInd w:val="0"/>
        <w:snapToGrid w:val="0"/>
        <w:spacing w:line="480" w:lineRule="exact"/>
        <w:ind w:firstLine="413" w:firstLineChars="196"/>
        <w:jc w:val="left"/>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pPr>
        <w:pStyle w:val="55"/>
        <w:tabs>
          <w:tab w:val="left" w:pos="3472"/>
          <w:tab w:val="left" w:pos="5940"/>
        </w:tabs>
        <w:adjustRightInd w:val="0"/>
        <w:snapToGrid w:val="0"/>
        <w:spacing w:line="480" w:lineRule="exact"/>
        <w:ind w:firstLine="422" w:firstLineChars="200"/>
        <w:jc w:val="left"/>
        <w:rPr>
          <w:rFonts w:hint="eastAsia"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p>
      <w:pPr>
        <w:rPr>
          <w:highlight w:val="none"/>
        </w:rPr>
      </w:pPr>
    </w:p>
    <w:p>
      <w:pPr>
        <w:rPr>
          <w:rFonts w:hint="eastAsia" w:ascii="宋体" w:hAnsi="宋体" w:cs="宋体"/>
          <w:b/>
          <w:bCs/>
          <w:color w:val="000000"/>
          <w:szCs w:val="21"/>
          <w:highlight w:val="none"/>
        </w:rPr>
      </w:pPr>
      <w:r>
        <w:rPr>
          <w:rFonts w:hint="eastAsia" w:ascii="宋体" w:hAnsi="宋体" w:cs="宋体"/>
          <w:b/>
          <w:bCs/>
          <w:color w:val="000000"/>
          <w:szCs w:val="21"/>
          <w:highlight w:val="none"/>
        </w:rPr>
        <w:br w:type="page"/>
      </w:r>
      <w:bookmarkEnd w:id="0"/>
      <w:bookmarkStart w:id="3" w:name="_Toc14824_WPSOffice_Level1"/>
    </w:p>
    <w:sdt>
      <w:sdtPr>
        <w:rPr>
          <w:rFonts w:ascii="宋体" w:hAnsi="宋体" w:eastAsia="宋体" w:cs="Times New Roman"/>
          <w:kern w:val="2"/>
          <w:sz w:val="21"/>
          <w:highlight w:val="none"/>
          <w:lang w:val="en-US" w:eastAsia="zh-CN" w:bidi="ar-SA"/>
        </w:rPr>
        <w:id w:val="147461397"/>
        <w15:color w:val="DBDBDB"/>
        <w:docPartObj>
          <w:docPartGallery w:val="Table of Contents"/>
          <w:docPartUnique/>
        </w:docPartObj>
      </w:sdtPr>
      <w:sdtEndPr>
        <w:rPr>
          <w:rFonts w:ascii="宋体" w:hAnsi="宋体" w:eastAsia="宋体" w:cs="Times New Roman"/>
          <w:kern w:val="2"/>
          <w:sz w:val="21"/>
          <w:highlight w:val="none"/>
          <w:lang w:val="en-US" w:eastAsia="zh-CN" w:bidi="ar-SA"/>
        </w:rPr>
      </w:sdtEndPr>
      <w:sdtContent>
        <w:p>
          <w:pPr>
            <w:spacing w:before="0" w:beforeLines="0" w:after="0" w:afterLines="0" w:line="240" w:lineRule="auto"/>
            <w:ind w:left="0" w:leftChars="0" w:right="0" w:rightChars="0" w:firstLine="0" w:firstLineChars="0"/>
            <w:jc w:val="center"/>
            <w:rPr>
              <w:b/>
              <w:bCs/>
              <w:sz w:val="32"/>
              <w:szCs w:val="32"/>
              <w:highlight w:val="none"/>
            </w:rPr>
          </w:pPr>
          <w:r>
            <w:rPr>
              <w:rFonts w:ascii="宋体" w:hAnsi="宋体" w:eastAsia="宋体"/>
              <w:b/>
              <w:bCs/>
              <w:sz w:val="32"/>
              <w:szCs w:val="32"/>
              <w:highlight w:val="none"/>
            </w:rPr>
            <w:t>目</w:t>
          </w:r>
          <w:r>
            <w:rPr>
              <w:rFonts w:hint="eastAsia" w:ascii="宋体" w:hAnsi="宋体" w:eastAsia="宋体"/>
              <w:b/>
              <w:bCs/>
              <w:sz w:val="32"/>
              <w:szCs w:val="32"/>
              <w:highlight w:val="none"/>
              <w:lang w:val="en-US" w:eastAsia="zh-CN"/>
            </w:rPr>
            <w:t xml:space="preserve">  </w:t>
          </w:r>
          <w:r>
            <w:rPr>
              <w:rFonts w:ascii="宋体" w:hAnsi="宋体" w:eastAsia="宋体"/>
              <w:b/>
              <w:bCs/>
              <w:sz w:val="32"/>
              <w:szCs w:val="32"/>
              <w:highlight w:val="none"/>
            </w:rPr>
            <w:t>录</w:t>
          </w:r>
        </w:p>
        <w:p>
          <w:pPr>
            <w:pStyle w:val="18"/>
            <w:tabs>
              <w:tab w:val="right" w:leader="dot" w:pos="9040"/>
            </w:tabs>
            <w:rPr>
              <w:rFonts w:hint="eastAsia" w:ascii="宋体" w:hAnsi="宋体" w:eastAsia="宋体" w:cs="宋体"/>
              <w:sz w:val="28"/>
              <w:szCs w:val="28"/>
              <w:highlight w:val="none"/>
            </w:rPr>
          </w:pPr>
          <w:r>
            <w:rPr>
              <w:highlight w:val="none"/>
            </w:rPr>
            <w:fldChar w:fldCharType="begin"/>
          </w:r>
          <w:r>
            <w:rPr>
              <w:highlight w:val="none"/>
            </w:rPr>
            <w:instrText xml:space="preserve">TOC \o "1-1" \h \u </w:instrText>
          </w:r>
          <w:r>
            <w:rPr>
              <w:highlight w:val="none"/>
            </w:rPr>
            <w:fldChar w:fldCharType="separate"/>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_Toc11781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_Toc11781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pPr>
            <w:pStyle w:val="18"/>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_Toc23817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_Toc23817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pPr>
            <w:pStyle w:val="18"/>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_Toc18883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_Toc18883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9</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pPr>
            <w:pStyle w:val="18"/>
            <w:tabs>
              <w:tab w:val="right" w:leader="dot" w:pos="9040"/>
            </w:tabs>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_Toc9199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_Toc9199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10</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pPr>
            <w:pStyle w:val="18"/>
            <w:tabs>
              <w:tab w:val="right" w:leader="dot" w:pos="9040"/>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\l _Toc19282 </w:instrText>
          </w:r>
          <w:r>
            <w:rPr>
              <w:rFonts w:hint="eastAsia" w:ascii="宋体" w:hAnsi="宋体" w:eastAsia="宋体" w:cs="宋体"/>
              <w:sz w:val="28"/>
              <w:szCs w:val="28"/>
              <w:highlight w:val="none"/>
            </w:rPr>
            <w:fldChar w:fldCharType="separate"/>
          </w:r>
          <w:r>
            <w:rPr>
              <w:rFonts w:hint="eastAsia" w:ascii="宋体" w:hAnsi="宋体" w:eastAsia="宋体" w:cs="宋体"/>
              <w:bCs/>
              <w:kern w:val="0"/>
              <w:sz w:val="28"/>
              <w:szCs w:val="28"/>
              <w:highlight w:val="none"/>
            </w:rPr>
            <w:t>第</w:t>
          </w:r>
          <w:r>
            <w:rPr>
              <w:rFonts w:hint="eastAsia" w:ascii="宋体" w:hAnsi="宋体" w:eastAsia="宋体" w:cs="宋体"/>
              <w:bCs/>
              <w:kern w:val="0"/>
              <w:sz w:val="28"/>
              <w:szCs w:val="28"/>
              <w:highlight w:val="none"/>
              <w:lang w:val="en-US" w:eastAsia="zh-CN"/>
            </w:rPr>
            <w:t>五</w:t>
          </w:r>
          <w:r>
            <w:rPr>
              <w:rFonts w:hint="eastAsia" w:ascii="宋体" w:hAnsi="宋体" w:eastAsia="宋体" w:cs="宋体"/>
              <w:bCs/>
              <w:kern w:val="0"/>
              <w:sz w:val="28"/>
              <w:szCs w:val="28"/>
              <w:highlight w:val="none"/>
            </w:rPr>
            <w:t>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_Toc19282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12</w:t>
          </w:r>
          <w:r>
            <w:rPr>
              <w:rFonts w:hint="eastAsia" w:ascii="宋体" w:hAnsi="宋体" w:eastAsia="宋体" w:cs="宋体"/>
              <w:sz w:val="28"/>
              <w:szCs w:val="28"/>
              <w:highlight w:val="none"/>
            </w:rPr>
            <w:fldChar w:fldCharType="end"/>
          </w:r>
          <w:r>
            <w:rPr>
              <w:rFonts w:hint="eastAsia" w:ascii="宋体" w:hAnsi="宋体" w:eastAsia="宋体" w:cs="宋体"/>
              <w:sz w:val="28"/>
              <w:szCs w:val="28"/>
              <w:highlight w:val="none"/>
            </w:rPr>
            <w:fldChar w:fldCharType="end"/>
          </w:r>
        </w:p>
        <w:p>
          <w:pPr>
            <w:rPr>
              <w:highlight w:val="none"/>
            </w:rPr>
          </w:pPr>
          <w:r>
            <w:rPr>
              <w:highlight w:val="none"/>
            </w:rPr>
            <w:fldChar w:fldCharType="end"/>
          </w:r>
        </w:p>
      </w:sdtContent>
    </w:sdt>
    <w:p>
      <w:pPr>
        <w:jc w:val="center"/>
        <w:outlineLvl w:val="0"/>
        <w:rPr>
          <w:rFonts w:hint="eastAsia" w:ascii="宋体" w:hAnsi="宋体" w:cs="宋体"/>
          <w:b/>
          <w:bCs/>
          <w:kern w:val="0"/>
          <w:sz w:val="30"/>
          <w:szCs w:val="30"/>
          <w:highlight w:val="none"/>
        </w:rPr>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pPr>
      <w:bookmarkStart w:id="4" w:name="_Toc11781"/>
    </w:p>
    <w:p>
      <w:pPr>
        <w:jc w:val="center"/>
        <w:outlineLvl w:val="0"/>
        <w:rPr>
          <w:rFonts w:ascii="宋体" w:hAnsi="宋体" w:cs="宋体"/>
          <w:b/>
          <w:bCs/>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pPr>
        <w:pStyle w:val="21"/>
        <w:widowControl/>
        <w:shd w:val="clear" w:color="auto" w:fill="FFFFFF"/>
        <w:spacing w:before="0" w:beforeAutospacing="0" w:after="0" w:afterAutospacing="0" w:line="360" w:lineRule="auto"/>
        <w:ind w:firstLine="420"/>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霍山县市场监督管理局</w:t>
      </w:r>
      <w:r>
        <w:rPr>
          <w:rFonts w:hint="eastAsia" w:ascii="宋体" w:hAnsi="宋体" w:cs="宋体"/>
          <w:kern w:val="2"/>
          <w:sz w:val="21"/>
          <w:szCs w:val="21"/>
          <w:highlight w:val="none"/>
        </w:rPr>
        <w:t>委托，代理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霍山县市场监督管理局2024年度产品质量监督抽检</w:t>
      </w:r>
      <w:r>
        <w:rPr>
          <w:rFonts w:hint="eastAsia" w:ascii="宋体" w:hAnsi="宋体" w:cs="宋体"/>
          <w:kern w:val="2"/>
          <w:sz w:val="21"/>
          <w:szCs w:val="21"/>
          <w:highlight w:val="none"/>
          <w:u w:val="single"/>
          <w:lang w:val="en-US" w:eastAsia="zh-CN"/>
        </w:rPr>
        <w:t xml:space="preserve"> </w:t>
      </w:r>
      <w:r>
        <w:rPr>
          <w:rFonts w:hint="eastAsia" w:ascii="宋体" w:hAnsi="宋体" w:cs="宋体"/>
          <w:kern w:val="2"/>
          <w:sz w:val="21"/>
          <w:szCs w:val="21"/>
          <w:highlight w:val="none"/>
          <w:u w:val="none"/>
          <w:lang w:eastAsia="zh-CN"/>
        </w:rPr>
        <w:t>项目</w:t>
      </w:r>
      <w:r>
        <w:rPr>
          <w:rFonts w:hint="eastAsia" w:ascii="宋体" w:hAnsi="宋体" w:cs="宋体"/>
          <w:kern w:val="2"/>
          <w:sz w:val="21"/>
          <w:szCs w:val="21"/>
          <w:highlight w:val="none"/>
        </w:rPr>
        <w:t>，根据《安徽省政府集中采购目录及标准(2024年版)》的通知，本项目为限额以下采购项目，现采用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方式采购，欢迎符合条件的国内的供应商参加。</w:t>
      </w:r>
    </w:p>
    <w:p>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pPr>
        <w:pStyle w:val="21"/>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霍山县市场监督管理局2024年度产品质量监督抽检项目</w:t>
      </w:r>
    </w:p>
    <w:p>
      <w:pPr>
        <w:pStyle w:val="21"/>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DBSCG-2024-</w:t>
      </w:r>
      <w:r>
        <w:rPr>
          <w:rFonts w:hint="eastAsia" w:ascii="宋体" w:hAnsi="宋体" w:cs="宋体"/>
          <w:sz w:val="21"/>
          <w:szCs w:val="21"/>
          <w:highlight w:val="none"/>
          <w:shd w:val="clear" w:color="auto" w:fill="FFFFFF"/>
          <w:lang w:val="en-US" w:eastAsia="zh-CN"/>
        </w:rPr>
        <w:t>040</w:t>
      </w:r>
    </w:p>
    <w:p>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w:t>
      </w:r>
      <w:r>
        <w:rPr>
          <w:rFonts w:hint="eastAsia" w:ascii="宋体" w:hAnsi="宋体" w:cs="宋体"/>
          <w:sz w:val="21"/>
          <w:szCs w:val="21"/>
          <w:highlight w:val="none"/>
          <w:shd w:val="clear" w:color="auto" w:fill="FFFFFF"/>
        </w:rPr>
        <w:t>类</w:t>
      </w:r>
    </w:p>
    <w:p>
      <w:pPr>
        <w:pStyle w:val="21"/>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霍山县市场监督管理局</w:t>
      </w:r>
    </w:p>
    <w:p>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172800.00</w:t>
      </w:r>
      <w:r>
        <w:rPr>
          <w:rFonts w:hint="eastAsia" w:ascii="宋体" w:hAnsi="宋体" w:cs="宋体"/>
          <w:sz w:val="21"/>
          <w:szCs w:val="21"/>
          <w:highlight w:val="none"/>
          <w:shd w:val="clear" w:color="auto" w:fill="FFFFFF"/>
        </w:rPr>
        <w:t>元</w:t>
      </w:r>
    </w:p>
    <w:p>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172800.00</w:t>
      </w:r>
      <w:r>
        <w:rPr>
          <w:rFonts w:hint="eastAsia" w:ascii="宋体" w:hAnsi="宋体" w:cs="宋体"/>
          <w:sz w:val="21"/>
          <w:szCs w:val="21"/>
          <w:highlight w:val="none"/>
          <w:shd w:val="clear" w:color="auto" w:fill="FFFFFF"/>
        </w:rPr>
        <w:t>元</w:t>
      </w:r>
      <w:r>
        <w:rPr>
          <w:rFonts w:hint="eastAsia" w:ascii="宋体" w:hAnsi="宋体" w:cs="宋体"/>
          <w:sz w:val="21"/>
          <w:szCs w:val="21"/>
          <w:highlight w:val="none"/>
          <w:shd w:val="clear" w:color="auto" w:fill="FFFFFF"/>
          <w:lang w:eastAsia="zh-CN"/>
        </w:rPr>
        <w:t>（</w:t>
      </w:r>
      <w:r>
        <w:rPr>
          <w:rFonts w:hint="eastAsia" w:ascii="宋体" w:hAnsi="宋体" w:cs="宋体"/>
          <w:sz w:val="21"/>
          <w:szCs w:val="21"/>
          <w:highlight w:val="none"/>
          <w:shd w:val="clear" w:color="auto" w:fill="FFFFFF"/>
        </w:rPr>
        <w:t>平均每组最高限价8</w:t>
      </w:r>
      <w:r>
        <w:rPr>
          <w:rFonts w:hint="eastAsia" w:ascii="宋体" w:hAnsi="宋体" w:cs="宋体"/>
          <w:sz w:val="21"/>
          <w:szCs w:val="21"/>
          <w:highlight w:val="none"/>
          <w:shd w:val="clear" w:color="auto" w:fill="FFFFFF"/>
          <w:lang w:val="en-US" w:eastAsia="zh-CN"/>
        </w:rPr>
        <w:t>00.00</w:t>
      </w:r>
      <w:r>
        <w:rPr>
          <w:rFonts w:hint="eastAsia" w:ascii="宋体" w:hAnsi="宋体" w:cs="宋体"/>
          <w:sz w:val="21"/>
          <w:szCs w:val="21"/>
          <w:highlight w:val="none"/>
          <w:shd w:val="clear" w:color="auto" w:fill="FFFFFF"/>
        </w:rPr>
        <w:t>元，含购样费）</w:t>
      </w:r>
    </w:p>
    <w:p>
      <w:pPr>
        <w:pStyle w:val="21"/>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rPr>
        <w:t>服务期：</w:t>
      </w:r>
      <w:r>
        <w:rPr>
          <w:rFonts w:hint="eastAsia" w:ascii="宋体" w:hAnsi="宋体"/>
          <w:sz w:val="21"/>
          <w:szCs w:val="21"/>
          <w:highlight w:val="none"/>
        </w:rPr>
        <w:t>2024年</w:t>
      </w:r>
      <w:r>
        <w:rPr>
          <w:rFonts w:hint="eastAsia" w:ascii="宋体" w:hAnsi="宋体"/>
          <w:sz w:val="21"/>
          <w:szCs w:val="21"/>
          <w:highlight w:val="none"/>
          <w:lang w:val="en-US" w:eastAsia="zh-CN"/>
        </w:rPr>
        <w:t>12</w:t>
      </w:r>
      <w:r>
        <w:rPr>
          <w:rFonts w:hint="eastAsia" w:ascii="宋体" w:hAnsi="宋体"/>
          <w:sz w:val="21"/>
          <w:szCs w:val="21"/>
          <w:highlight w:val="none"/>
        </w:rPr>
        <w:t>月</w:t>
      </w:r>
      <w:r>
        <w:rPr>
          <w:rFonts w:hint="eastAsia" w:ascii="宋体" w:hAnsi="宋体"/>
          <w:sz w:val="21"/>
          <w:szCs w:val="21"/>
          <w:highlight w:val="none"/>
          <w:lang w:val="en-US" w:eastAsia="zh-CN"/>
        </w:rPr>
        <w:t>10日前完成所有产品抽样检测工作，并提交检验检测报告。</w:t>
      </w:r>
    </w:p>
    <w:p>
      <w:pPr>
        <w:pStyle w:val="21"/>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val="en-US" w:eastAsia="zh-CN"/>
        </w:rPr>
        <w:t>为加强产品质量安全监管，进一步做好产品质量监督抽查工作，霍山县市场监督管理局拟委托一家专业检验检测机构，对霍山县生产流通领域的部分产品进行抽样检测。（详见采购需求）</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1、符合《中华人民共和国政府采购法》第二十二条规定；</w:t>
      </w:r>
    </w:p>
    <w:p>
      <w:pPr>
        <w:pStyle w:val="21"/>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2、供应商应具</w:t>
      </w:r>
      <w:r>
        <w:rPr>
          <w:rFonts w:hint="eastAsia" w:ascii="宋体" w:hAnsi="宋体"/>
          <w:color w:val="000000"/>
          <w:sz w:val="21"/>
          <w:szCs w:val="21"/>
          <w:highlight w:val="none"/>
          <w:lang w:val="en-US" w:eastAsia="zh-CN"/>
        </w:rPr>
        <w:t>有有效的营业执照</w:t>
      </w:r>
      <w:r>
        <w:rPr>
          <w:rFonts w:hint="eastAsia" w:ascii="宋体" w:hAnsi="宋体"/>
          <w:color w:val="000000"/>
          <w:sz w:val="21"/>
          <w:szCs w:val="21"/>
          <w:highlight w:val="none"/>
        </w:rPr>
        <w:t>；</w:t>
      </w:r>
    </w:p>
    <w:p>
      <w:pPr>
        <w:pStyle w:val="21"/>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3、供应商须具有检验检测机构资质认定证书（检验检测范围须包含本项目所需抽查35类商品中的20（含）类以上）；</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4</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pPr>
        <w:pStyle w:val="21"/>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2024年4月16日</w:t>
      </w:r>
    </w:p>
    <w:p>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pPr>
        <w:pStyle w:val="2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安徽</w:t>
      </w:r>
      <w:r>
        <w:rPr>
          <w:rFonts w:hint="eastAsia" w:ascii="宋体" w:hAnsi="宋体" w:cs="宋体"/>
          <w:sz w:val="21"/>
          <w:szCs w:val="21"/>
          <w:highlight w:val="none"/>
          <w:shd w:val="clear" w:color="auto" w:fill="FFFFFF"/>
          <w:lang w:val="en-US" w:eastAsia="zh-CN"/>
        </w:rPr>
        <w:t>霍山</w:t>
      </w:r>
      <w:r>
        <w:rPr>
          <w:rFonts w:hint="eastAsia" w:ascii="宋体" w:hAnsi="宋体" w:cs="宋体"/>
          <w:sz w:val="21"/>
          <w:szCs w:val="21"/>
          <w:highlight w:val="none"/>
          <w:shd w:val="clear" w:color="auto" w:fill="FFFFFF"/>
          <w:lang w:eastAsia="zh-CN"/>
        </w:rPr>
        <w:t>国有资产投资(控股)集团有限公司</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5"/>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pPr>
        <w:pStyle w:val="21"/>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2024年4月19日09时00分</w:t>
      </w:r>
      <w:r>
        <w:rPr>
          <w:rFonts w:hint="eastAsia" w:ascii="宋体" w:hAnsi="宋体" w:cs="宋体"/>
          <w:sz w:val="21"/>
          <w:szCs w:val="21"/>
          <w:highlight w:val="none"/>
          <w:u w:val="none"/>
          <w:shd w:val="clear" w:color="auto" w:fill="FFFFFF"/>
        </w:rPr>
        <w:t>。</w:t>
      </w:r>
    </w:p>
    <w:p>
      <w:pPr>
        <w:pStyle w:val="21"/>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pPr>
        <w:pStyle w:val="21"/>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2024年4月19日09时00分</w:t>
      </w:r>
    </w:p>
    <w:p>
      <w:pPr>
        <w:pStyle w:val="21"/>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pPr>
        <w:pStyle w:val="21"/>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霍山县市场监督管理局</w:t>
      </w:r>
    </w:p>
    <w:p>
      <w:pPr>
        <w:pStyle w:val="21"/>
        <w:widowControl/>
        <w:shd w:val="clear" w:color="auto" w:fill="FFFFFF"/>
        <w:spacing w:before="0" w:beforeAutospacing="0" w:after="0" w:afterAutospacing="0" w:line="360" w:lineRule="auto"/>
        <w:ind w:firstLine="1050" w:firstLineChars="5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霍山县政务区</w:t>
      </w:r>
    </w:p>
    <w:p>
      <w:pPr>
        <w:pStyle w:val="21"/>
        <w:widowControl/>
        <w:shd w:val="clear" w:color="auto" w:fill="FFFFFF"/>
        <w:spacing w:before="0" w:beforeAutospacing="0" w:after="0" w:afterAutospacing="0" w:line="360" w:lineRule="auto"/>
        <w:ind w:firstLine="1050" w:firstLineChars="5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缪先生</w:t>
      </w:r>
    </w:p>
    <w:p>
      <w:pPr>
        <w:pStyle w:val="21"/>
        <w:widowControl/>
        <w:shd w:val="clear" w:color="auto" w:fill="FFFFFF"/>
        <w:spacing w:before="0" w:beforeAutospacing="0" w:after="0" w:afterAutospacing="0" w:line="360" w:lineRule="auto"/>
        <w:ind w:firstLine="1050" w:firstLineChars="5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18919737515</w:t>
      </w:r>
    </w:p>
    <w:p>
      <w:pPr>
        <w:pStyle w:val="21"/>
        <w:widowControl/>
        <w:shd w:val="clear" w:color="auto" w:fill="FFFFFF"/>
        <w:spacing w:before="0" w:beforeAutospacing="0" w:after="0" w:afterAutospacing="0" w:line="360" w:lineRule="auto"/>
        <w:ind w:firstLine="420" w:firstLineChars="200"/>
        <w:jc w:val="both"/>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pPr>
        <w:pStyle w:val="21"/>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pPr>
        <w:pStyle w:val="21"/>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21"/>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pPr>
        <w:pStyle w:val="21"/>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pPr>
        <w:pStyle w:val="21"/>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pPr>
        <w:pStyle w:val="21"/>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霍山县市场监督管理局</w:t>
      </w:r>
    </w:p>
    <w:p>
      <w:pPr>
        <w:pStyle w:val="21"/>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pPr>
        <w:pStyle w:val="21"/>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2024年4月16日</w:t>
      </w:r>
    </w:p>
    <w:p>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3817"/>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pPr>
        <w:pStyle w:val="6"/>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4"/>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5"/>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pPr>
              <w:pStyle w:val="45"/>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pPr>
              <w:pStyle w:val="21"/>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霍山县市场监督管理局</w:t>
            </w:r>
          </w:p>
          <w:p>
            <w:pPr>
              <w:pStyle w:val="21"/>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霍山县政务区</w:t>
            </w:r>
          </w:p>
          <w:p>
            <w:pPr>
              <w:pStyle w:val="21"/>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缪先生</w:t>
            </w:r>
          </w:p>
          <w:p>
            <w:pPr>
              <w:pStyle w:val="21"/>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18919737515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pPr>
              <w:pStyle w:val="21"/>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pPr>
              <w:pStyle w:val="21"/>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21"/>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5"/>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pPr>
              <w:pStyle w:val="46"/>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霍山县市场监督管理局2024年度产品质量监督抽检项目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5"/>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pPr>
              <w:pStyle w:val="46"/>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Cs w:val="0"/>
                <w:kern w:val="2"/>
                <w:sz w:val="21"/>
                <w:szCs w:val="21"/>
                <w:highlight w:val="none"/>
                <w:lang w:eastAsia="zh-CN"/>
              </w:rPr>
              <w:t>DBSCG-2024-</w:t>
            </w:r>
            <w:r>
              <w:rPr>
                <w:rFonts w:hint="eastAsia" w:cs="宋体"/>
                <w:bCs w:val="0"/>
                <w:kern w:val="2"/>
                <w:sz w:val="21"/>
                <w:szCs w:val="21"/>
                <w:highlight w:val="none"/>
                <w:lang w:val="en-US" w:eastAsia="zh-CN"/>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pPr>
              <w:pStyle w:val="46"/>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sz w:val="21"/>
                <w:szCs w:val="21"/>
                <w:highlight w:val="none"/>
              </w:rPr>
              <w:t>172800.00元（平均每组最高限价800.00元，含购样费）</w:t>
            </w:r>
            <w:r>
              <w:rPr>
                <w:rFonts w:hint="eastAsia" w:cs="宋体"/>
                <w:sz w:val="21"/>
                <w:szCs w:val="21"/>
                <w:highlight w:val="none"/>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pPr>
              <w:autoSpaceDE w:val="0"/>
              <w:autoSpaceDN w:val="0"/>
              <w:adjustRightInd w:val="0"/>
              <w:jc w:val="left"/>
              <w:rPr>
                <w:rFonts w:ascii="宋体" w:hAnsi="宋体" w:cs="宋体"/>
                <w:szCs w:val="21"/>
                <w:highlight w:val="none"/>
              </w:rPr>
            </w:pPr>
            <w:r>
              <w:rPr>
                <w:rFonts w:hint="eastAsia" w:ascii="宋体" w:hAnsi="宋体" w:cs="宋体"/>
                <w:b/>
                <w:bCs/>
                <w:szCs w:val="21"/>
                <w:highlight w:val="none"/>
              </w:rPr>
              <w:t>合同完成验收合格后根据实际完成工作量一次性支付款项。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highlight w:val="none"/>
              </w:rPr>
            </w:pPr>
            <w:r>
              <w:rPr>
                <w:rFonts w:hint="eastAsia" w:ascii="宋体" w:hAnsi="宋体"/>
                <w:sz w:val="21"/>
                <w:szCs w:val="21"/>
                <w:highlight w:val="none"/>
              </w:rPr>
              <w:t>2024年</w:t>
            </w:r>
            <w:r>
              <w:rPr>
                <w:rFonts w:hint="eastAsia" w:ascii="宋体" w:hAnsi="宋体"/>
                <w:sz w:val="21"/>
                <w:szCs w:val="21"/>
                <w:highlight w:val="none"/>
                <w:lang w:val="en-US" w:eastAsia="zh-CN"/>
              </w:rPr>
              <w:t>12</w:t>
            </w:r>
            <w:r>
              <w:rPr>
                <w:rFonts w:hint="eastAsia" w:ascii="宋体" w:hAnsi="宋体"/>
                <w:sz w:val="21"/>
                <w:szCs w:val="21"/>
                <w:highlight w:val="none"/>
              </w:rPr>
              <w:t>月</w:t>
            </w:r>
            <w:r>
              <w:rPr>
                <w:rFonts w:hint="eastAsia" w:ascii="宋体" w:hAnsi="宋体"/>
                <w:sz w:val="21"/>
                <w:szCs w:val="21"/>
                <w:highlight w:val="none"/>
                <w:lang w:val="en-US" w:eastAsia="zh-CN"/>
              </w:rPr>
              <w:t>10日前完成所有产品抽样检测工作，并提交检验检测报告。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5"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bCs/>
                <w:color w:val="auto"/>
                <w:sz w:val="21"/>
                <w:szCs w:val="21"/>
                <w:highlight w:val="none"/>
                <w:u w:val="none"/>
                <w:shd w:val="clear" w:color="auto" w:fill="FFFFFF"/>
                <w:lang w:eastAsia="zh-CN"/>
              </w:rPr>
              <w:t>2024年4月19日09时00分</w:t>
            </w:r>
            <w:r>
              <w:rPr>
                <w:rFonts w:hint="eastAsia" w:ascii="宋体" w:hAnsi="宋体" w:cs="宋体"/>
                <w:b/>
                <w:szCs w:val="21"/>
                <w:highlight w:val="none"/>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pPr>
              <w:pStyle w:val="13"/>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pPr>
              <w:pStyle w:val="12"/>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安徽</w:t>
            </w:r>
            <w:r>
              <w:rPr>
                <w:rFonts w:hint="eastAsia" w:ascii="宋体" w:hAnsi="宋体" w:cs="宋体"/>
                <w:szCs w:val="21"/>
                <w:highlight w:val="none"/>
                <w:shd w:val="clear" w:color="auto" w:fill="FFFFFF"/>
                <w:lang w:val="en-US" w:eastAsia="zh-CN"/>
              </w:rPr>
              <w:t>霍山</w:t>
            </w:r>
            <w:r>
              <w:rPr>
                <w:rFonts w:hint="eastAsia" w:ascii="宋体" w:hAnsi="宋体" w:cs="宋体"/>
                <w:szCs w:val="21"/>
                <w:highlight w:val="none"/>
                <w:shd w:val="clear" w:color="auto" w:fill="FFFFFF"/>
                <w:lang w:eastAsia="zh-CN"/>
              </w:rPr>
              <w:t>国有资产投资(控股)集团有限公司</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5"/>
                <w:rFonts w:hint="eastAsia" w:ascii="宋体" w:hAnsi="宋体" w:cs="宋体"/>
                <w:kern w:val="0"/>
                <w:sz w:val="24"/>
                <w:highlight w:val="none"/>
                <w:shd w:val="clear" w:color="auto" w:fill="FFFFFF"/>
                <w:lang w:bidi="ar"/>
              </w:rPr>
              <w:t>www.ahdmig.cn。</w:t>
            </w:r>
            <w:r>
              <w:rPr>
                <w:rStyle w:val="35"/>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安徽</w:t>
            </w:r>
            <w:r>
              <w:rPr>
                <w:rFonts w:hint="eastAsia" w:ascii="宋体" w:hAnsi="宋体" w:cs="宋体"/>
                <w:szCs w:val="21"/>
                <w:highlight w:val="none"/>
                <w:shd w:val="clear" w:color="auto" w:fill="FFFFFF"/>
                <w:lang w:val="en-US" w:eastAsia="zh-CN"/>
              </w:rPr>
              <w:t>霍山</w:t>
            </w:r>
            <w:r>
              <w:rPr>
                <w:rFonts w:hint="eastAsia" w:ascii="宋体" w:hAnsi="宋体" w:cs="宋体"/>
                <w:szCs w:val="21"/>
                <w:highlight w:val="none"/>
                <w:shd w:val="clear" w:color="auto" w:fill="FFFFFF"/>
                <w:lang w:eastAsia="zh-CN"/>
              </w:rPr>
              <w:t>国有资产投资(控股)集团有限公司</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5"/>
                <w:rFonts w:hint="eastAsia" w:ascii="宋体" w:hAnsi="宋体" w:cs="宋体"/>
                <w:kern w:val="0"/>
                <w:sz w:val="24"/>
                <w:highlight w:val="none"/>
                <w:shd w:val="clear" w:color="auto" w:fill="FFFFFF"/>
                <w:lang w:bidi="ar"/>
              </w:rPr>
              <w:t>www.ahdmig.cn。</w:t>
            </w:r>
            <w:r>
              <w:rPr>
                <w:rStyle w:val="35"/>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pPr>
              <w:pStyle w:val="47"/>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pPr>
              <w:pStyle w:val="47"/>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pPr>
              <w:pStyle w:val="47"/>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highlight w:val="none"/>
              </w:rPr>
            </w:pP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pPr>
              <w:pStyle w:val="47"/>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8" w:hRule="atLeast"/>
          <w:jc w:val="center"/>
        </w:trPr>
        <w:tc>
          <w:tcPr>
            <w:tcW w:w="10163" w:type="dxa"/>
            <w:gridSpan w:val="3"/>
            <w:vAlign w:val="center"/>
          </w:tcPr>
          <w:p>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pPr>
              <w:pStyle w:val="2"/>
              <w:keepNext w:val="0"/>
              <w:keepLines w:val="0"/>
              <w:pageBreakBefore w:val="0"/>
              <w:kinsoku/>
              <w:wordWrap/>
              <w:overflowPunct/>
              <w:topLinePunct w:val="0"/>
              <w:autoSpaceDE/>
              <w:autoSpaceDN/>
              <w:bidi w:val="0"/>
              <w:spacing w:beforeLines="0" w:after="0" w:line="240" w:lineRule="auto"/>
              <w:ind w:firstLine="0" w:firstLineChars="0"/>
              <w:textAlignment w:val="auto"/>
              <w:rPr>
                <w:rFonts w:hint="eastAsia" w:ascii="Times New Roman" w:hAnsi="Times New Roman" w:eastAsia="宋体" w:cs="Times New Roman"/>
                <w:kern w:val="2"/>
                <w:sz w:val="21"/>
                <w:highlight w:val="none"/>
                <w:lang w:val="en-US" w:eastAsia="zh-CN" w:bidi="ar-SA"/>
              </w:rPr>
            </w:pPr>
            <w:r>
              <w:rPr>
                <w:rFonts w:hint="eastAsia" w:ascii="Times New Roman" w:hAnsi="Times New Roman" w:eastAsia="宋体" w:cs="Times New Roman"/>
                <w:kern w:val="2"/>
                <w:sz w:val="21"/>
                <w:highlight w:val="none"/>
                <w:lang w:val="en-US" w:eastAsia="zh-CN" w:bidi="ar-SA"/>
              </w:rPr>
              <w:t>账号：20010048352066600000012</w:t>
            </w:r>
          </w:p>
          <w:p>
            <w:pPr>
              <w:keepNext w:val="0"/>
              <w:keepLines w:val="0"/>
              <w:pageBreakBefore w:val="0"/>
              <w:numPr>
                <w:ilvl w:val="0"/>
                <w:numId w:val="1"/>
              </w:numPr>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pPr>
        <w:pStyle w:val="6"/>
        <w:numPr>
          <w:ilvl w:val="0"/>
          <w:numId w:val="2"/>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sz w:val="28"/>
          <w:szCs w:val="28"/>
          <w:highlight w:val="none"/>
        </w:rPr>
        <w:t>供应商资格</w:t>
      </w:r>
      <w:bookmarkEnd w:id="8"/>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highlight w:val="none"/>
        </w:rPr>
      </w:pPr>
      <w:r>
        <w:rPr>
          <w:rFonts w:hint="eastAsia" w:ascii="宋体" w:hAnsi="宋体" w:eastAsia="宋体" w:cs="宋体"/>
          <w:b/>
          <w:color w:val="000000"/>
          <w:kern w:val="10"/>
          <w:sz w:val="24"/>
          <w:szCs w:val="24"/>
          <w:highlight w:val="none"/>
        </w:rPr>
        <w:t>评审办法前附表一（资格审查指标表）</w:t>
      </w:r>
    </w:p>
    <w:tbl>
      <w:tblPr>
        <w:tblStyle w:val="24"/>
        <w:tblW w:w="9799" w:type="dxa"/>
        <w:jc w:val="center"/>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jc w:val="center"/>
        </w:trPr>
        <w:tc>
          <w:tcPr>
            <w:tcW w:w="82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2411"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评审因素</w:t>
            </w:r>
          </w:p>
        </w:tc>
        <w:tc>
          <w:tcPr>
            <w:tcW w:w="6566"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highlight w:val="none"/>
              </w:rPr>
            </w:pPr>
            <w:r>
              <w:rPr>
                <w:rFonts w:hint="eastAsia" w:ascii="宋体" w:hAnsi="宋体" w:cs="宋体"/>
                <w:color w:val="000000"/>
                <w:szCs w:val="21"/>
                <w:highlight w:val="none"/>
              </w:rPr>
              <w:t>投标资格评审标准</w:t>
            </w:r>
          </w:p>
        </w:tc>
      </w:tr>
      <w:tr>
        <w:tblPrEx>
          <w:tblCellMar>
            <w:top w:w="0" w:type="dxa"/>
            <w:left w:w="108" w:type="dxa"/>
            <w:bottom w:w="0" w:type="dxa"/>
            <w:right w:w="108" w:type="dxa"/>
          </w:tblCellMar>
        </w:tblPrEx>
        <w:trPr>
          <w:trHeight w:val="106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24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法人授权委托书及</w:t>
            </w:r>
          </w:p>
          <w:p>
            <w:pPr>
              <w:adjustRightInd w:val="0"/>
              <w:snapToGrid w:val="0"/>
              <w:spacing w:line="260" w:lineRule="exact"/>
              <w:jc w:val="center"/>
              <w:rPr>
                <w:rFonts w:ascii="宋体" w:hAnsi="宋体" w:cs="宋体"/>
                <w:color w:val="000000"/>
                <w:szCs w:val="21"/>
                <w:highlight w:val="none"/>
              </w:rPr>
            </w:pPr>
            <w:r>
              <w:rPr>
                <w:rFonts w:hint="eastAsia" w:ascii="宋体" w:hAnsi="宋体" w:cs="宋体"/>
                <w:color w:val="000000"/>
                <w:szCs w:val="21"/>
                <w:highlight w:val="none"/>
              </w:rPr>
              <w:t>代理人身份证</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both"/>
              <w:rPr>
                <w:rFonts w:ascii="宋体" w:hAnsi="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会则需查验法人授权委托书、代理人居民身份证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highlight w:val="none"/>
              </w:rPr>
            </w:pPr>
            <w:r>
              <w:rPr>
                <w:rFonts w:hint="eastAsia" w:ascii="宋体" w:hAnsi="宋体" w:cs="宋体"/>
                <w:color w:val="000000"/>
                <w:spacing w:val="-2"/>
                <w:szCs w:val="21"/>
                <w:highlight w:val="none"/>
              </w:rPr>
              <w:t>2</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highlight w:val="none"/>
              </w:rPr>
            </w:pPr>
            <w:r>
              <w:rPr>
                <w:rFonts w:hint="eastAsia" w:ascii="宋体" w:hAnsi="宋体" w:cs="宋体"/>
                <w:color w:val="000000"/>
                <w:spacing w:val="-2"/>
                <w:szCs w:val="21"/>
                <w:highlight w:val="none"/>
              </w:rPr>
              <w:t>供应商应具有有效的营业执照</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宋体" w:hAnsi="宋体" w:cs="宋体"/>
                <w:color w:val="000000"/>
                <w:spacing w:val="-2"/>
                <w:szCs w:val="21"/>
                <w:highlight w:val="none"/>
              </w:rPr>
            </w:pPr>
            <w:r>
              <w:rPr>
                <w:rFonts w:hint="eastAsia" w:ascii="宋体" w:hAnsi="宋体" w:cs="宋体"/>
                <w:color w:val="000000"/>
                <w:spacing w:val="-2"/>
                <w:szCs w:val="21"/>
                <w:highlight w:val="none"/>
              </w:rPr>
              <w:t>营业执照正本或副本（</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tblPrEx>
          <w:tblCellMar>
            <w:top w:w="0" w:type="dxa"/>
            <w:left w:w="108" w:type="dxa"/>
            <w:bottom w:w="0" w:type="dxa"/>
            <w:right w:w="108" w:type="dxa"/>
          </w:tblCellMar>
        </w:tblPrEx>
        <w:trPr>
          <w:trHeight w:val="167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000000"/>
                <w:spacing w:val="-2"/>
                <w:szCs w:val="21"/>
                <w:highlight w:val="none"/>
                <w:lang w:val="en-US" w:eastAsia="zh-CN"/>
              </w:rPr>
            </w:pPr>
            <w:r>
              <w:rPr>
                <w:rFonts w:hint="eastAsia" w:ascii="宋体" w:hAnsi="宋体" w:cs="宋体"/>
                <w:color w:val="000000"/>
                <w:spacing w:val="-2"/>
                <w:szCs w:val="21"/>
                <w:highlight w:val="none"/>
                <w:lang w:val="en-US" w:eastAsia="zh-CN"/>
              </w:rPr>
              <w:t>3</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highlight w:val="none"/>
              </w:rPr>
            </w:pPr>
            <w:r>
              <w:rPr>
                <w:rFonts w:hint="eastAsia" w:ascii="宋体" w:hAnsi="宋体" w:cs="宋体"/>
                <w:color w:val="000000"/>
                <w:spacing w:val="-2"/>
                <w:szCs w:val="21"/>
                <w:highlight w:val="none"/>
              </w:rPr>
              <w:t>供应商须具有检验检测机构资质认定证书（检验检测范围须包含本项目所需抽查35类商品中的20（含）类以上）</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hint="eastAsia" w:ascii="宋体" w:hAnsi="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须提供</w:t>
            </w:r>
            <w:r>
              <w:rPr>
                <w:rFonts w:hint="eastAsia" w:ascii="宋体" w:hAnsi="宋体" w:cs="宋体"/>
                <w:color w:val="000000"/>
                <w:spacing w:val="-2"/>
                <w:szCs w:val="21"/>
                <w:highlight w:val="none"/>
              </w:rPr>
              <w:t>检验检测机构资质认定证书</w:t>
            </w:r>
            <w:r>
              <w:rPr>
                <w:rFonts w:hint="eastAsia" w:ascii="宋体" w:hAnsi="宋体" w:cs="宋体"/>
                <w:color w:val="000000"/>
                <w:spacing w:val="-2"/>
                <w:szCs w:val="21"/>
                <w:highlight w:val="none"/>
                <w:lang w:val="en-US" w:eastAsia="zh-CN"/>
              </w:rPr>
              <w:t>及检验检测范围附表</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p>
        </w:tc>
      </w:tr>
      <w:tr>
        <w:tblPrEx>
          <w:tblCellMar>
            <w:top w:w="0" w:type="dxa"/>
            <w:left w:w="108" w:type="dxa"/>
            <w:bottom w:w="0" w:type="dxa"/>
            <w:right w:w="108" w:type="dxa"/>
          </w:tblCellMar>
        </w:tblPrEx>
        <w:trPr>
          <w:trHeight w:val="461" w:hRule="atLeast"/>
          <w:jc w:val="center"/>
        </w:trPr>
        <w:tc>
          <w:tcPr>
            <w:tcW w:w="97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s="宋体"/>
                <w:bCs/>
                <w:color w:val="000000"/>
                <w:szCs w:val="21"/>
                <w:highlight w:val="none"/>
              </w:rPr>
            </w:pPr>
            <w:r>
              <w:rPr>
                <w:rFonts w:hint="eastAsia" w:ascii="宋体" w:hAnsi="宋体" w:cs="宋体"/>
                <w:b/>
                <w:bCs w:val="0"/>
                <w:color w:val="000000"/>
                <w:szCs w:val="21"/>
                <w:highlight w:val="none"/>
              </w:rPr>
              <w:t>未通过或缺少任何一项需提交的材料的，资格审查不合格，按无效投标处理。</w:t>
            </w:r>
          </w:p>
        </w:tc>
      </w:tr>
      <w:bookmarkEnd w:id="9"/>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bookmarkStart w:id="12" w:name="_Toc216158625"/>
      <w:bookmarkStart w:id="13" w:name="_Toc363199266"/>
      <w:bookmarkStart w:id="14" w:name="_Toc12806"/>
      <w:bookmarkStart w:id="15" w:name="_Toc438648662"/>
      <w:r>
        <w:rPr>
          <w:rFonts w:hint="eastAsia" w:ascii="宋体" w:hAnsi="宋体" w:eastAsia="宋体" w:cs="宋体"/>
          <w:b/>
          <w:color w:val="000000"/>
          <w:kern w:val="10"/>
          <w:sz w:val="24"/>
          <w:szCs w:val="24"/>
          <w:highlight w:val="none"/>
        </w:rPr>
        <w:t>评审办法前附表二（初步评审指标表）</w:t>
      </w:r>
    </w:p>
    <w:tbl>
      <w:tblPr>
        <w:tblStyle w:val="24"/>
        <w:tblW w:w="0" w:type="auto"/>
        <w:jc w:val="center"/>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w:t>
            </w:r>
          </w:p>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w:t>
            </w:r>
          </w:p>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w:t>
            </w:r>
          </w:p>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both"/>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center"/>
        <w:textAlignment w:val="auto"/>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4"/>
        <w:tblW w:w="9787" w:type="dxa"/>
        <w:jc w:val="center"/>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服务内容响应情况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应符合</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p>
        </w:tc>
      </w:tr>
      <w:tr>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tbl>
    <w:p>
      <w:pPr>
        <w:pStyle w:val="6"/>
        <w:snapToGrid w:val="0"/>
        <w:spacing w:before="100" w:after="100" w:line="360" w:lineRule="exact"/>
        <w:jc w:val="center"/>
        <w:rPr>
          <w:rFonts w:ascii="宋体" w:hAnsi="宋体" w:cs="宋体"/>
          <w:szCs w:val="21"/>
          <w:highlight w:val="none"/>
        </w:rPr>
      </w:pPr>
      <w:r>
        <w:rPr>
          <w:rFonts w:hint="eastAsia" w:ascii="宋体" w:hAnsi="宋体" w:eastAsia="宋体" w:cs="宋体"/>
          <w:bCs/>
          <w:sz w:val="28"/>
          <w:szCs w:val="28"/>
          <w:highlight w:val="none"/>
        </w:rPr>
        <w:t>（三）供应商必须提交的响应文件内容</w:t>
      </w:r>
      <w:bookmarkEnd w:id="12"/>
      <w:bookmarkEnd w:id="13"/>
      <w:bookmarkEnd w:id="14"/>
      <w:bookmarkEnd w:id="15"/>
    </w:p>
    <w:p>
      <w:pPr>
        <w:widowControl/>
        <w:shd w:val="solid" w:color="FFFFFF" w:fill="auto"/>
        <w:adjustRightInd w:val="0"/>
        <w:snapToGrid w:val="0"/>
        <w:spacing w:line="360" w:lineRule="exact"/>
        <w:ind w:firstLine="420" w:firstLineChars="200"/>
        <w:jc w:val="left"/>
        <w:rPr>
          <w:rFonts w:ascii="宋体" w:hAnsi="宋体" w:cs="宋体"/>
          <w:kern w:val="0"/>
          <w:szCs w:val="21"/>
          <w:highlight w:val="none"/>
          <w:shd w:val="clear" w:color="auto" w:fill="FFFFFF"/>
        </w:rPr>
      </w:pPr>
      <w:r>
        <w:rPr>
          <w:rFonts w:hint="eastAsia" w:ascii="宋体" w:hAnsi="宋体" w:cs="宋体"/>
          <w:kern w:val="0"/>
          <w:szCs w:val="21"/>
          <w:highlight w:val="none"/>
          <w:shd w:val="clear" w:color="auto" w:fill="FFFFFF"/>
        </w:rPr>
        <w:t>1、供应商基本信息；</w:t>
      </w:r>
    </w:p>
    <w:p>
      <w:pPr>
        <w:widowControl/>
        <w:shd w:val="solid" w:color="FFFFFF" w:fill="auto"/>
        <w:adjustRightInd w:val="0"/>
        <w:snapToGrid w:val="0"/>
        <w:spacing w:line="360" w:lineRule="exact"/>
        <w:ind w:firstLine="420" w:firstLineChars="200"/>
        <w:jc w:val="left"/>
        <w:rPr>
          <w:rFonts w:ascii="宋体" w:hAnsi="宋体" w:cs="宋体"/>
          <w:kern w:val="0"/>
          <w:szCs w:val="21"/>
          <w:highlight w:val="none"/>
          <w:shd w:val="clear" w:color="auto" w:fill="FFFFFF"/>
        </w:rPr>
      </w:pPr>
      <w:r>
        <w:rPr>
          <w:rFonts w:hint="eastAsia" w:ascii="宋体" w:hAnsi="宋体" w:cs="宋体"/>
          <w:kern w:val="0"/>
          <w:szCs w:val="21"/>
          <w:highlight w:val="none"/>
          <w:shd w:val="clear" w:color="auto" w:fill="FFFFFF"/>
        </w:rPr>
        <w:t>2、响应授权书；</w:t>
      </w:r>
    </w:p>
    <w:p>
      <w:pPr>
        <w:widowControl/>
        <w:shd w:val="solid" w:color="FFFFFF" w:fill="auto"/>
        <w:adjustRightInd w:val="0"/>
        <w:snapToGrid w:val="0"/>
        <w:spacing w:line="360" w:lineRule="exact"/>
        <w:ind w:firstLine="420" w:firstLineChars="200"/>
        <w:jc w:val="left"/>
        <w:rPr>
          <w:szCs w:val="21"/>
          <w:highlight w:val="none"/>
        </w:rPr>
      </w:pPr>
      <w:r>
        <w:rPr>
          <w:rFonts w:hint="eastAsia" w:ascii="宋体" w:hAnsi="宋体" w:cs="宋体"/>
          <w:kern w:val="0"/>
          <w:szCs w:val="21"/>
          <w:highlight w:val="none"/>
          <w:shd w:val="clear" w:color="auto" w:fill="FFFFFF"/>
        </w:rPr>
        <w:t>3、</w:t>
      </w:r>
      <w:r>
        <w:rPr>
          <w:rFonts w:hint="eastAsia"/>
          <w:szCs w:val="21"/>
          <w:highlight w:val="none"/>
        </w:rPr>
        <w:t>响应函；</w:t>
      </w:r>
    </w:p>
    <w:p>
      <w:pPr>
        <w:widowControl/>
        <w:shd w:val="solid" w:color="FFFFFF" w:fill="auto"/>
        <w:adjustRightInd w:val="0"/>
        <w:snapToGrid w:val="0"/>
        <w:spacing w:line="360" w:lineRule="exact"/>
        <w:ind w:firstLine="420" w:firstLineChars="200"/>
        <w:jc w:val="left"/>
        <w:rPr>
          <w:rFonts w:ascii="宋体" w:hAnsi="宋体"/>
          <w:szCs w:val="21"/>
          <w:highlight w:val="none"/>
        </w:rPr>
      </w:pPr>
      <w:r>
        <w:rPr>
          <w:rFonts w:hint="eastAsia"/>
          <w:szCs w:val="21"/>
          <w:highlight w:val="none"/>
        </w:rPr>
        <w:t>4、</w:t>
      </w:r>
      <w:r>
        <w:rPr>
          <w:rFonts w:hint="eastAsia" w:ascii="宋体" w:hAnsi="宋体"/>
          <w:szCs w:val="21"/>
          <w:highlight w:val="none"/>
        </w:rPr>
        <w:t>无重大违法记录声明函、无不良信用记录承诺函；</w:t>
      </w:r>
    </w:p>
    <w:p>
      <w:pPr>
        <w:widowControl/>
        <w:shd w:val="solid" w:color="FFFFFF" w:fill="auto"/>
        <w:adjustRightInd w:val="0"/>
        <w:snapToGrid w:val="0"/>
        <w:spacing w:line="360" w:lineRule="exact"/>
        <w:ind w:firstLine="420" w:firstLineChars="200"/>
        <w:jc w:val="left"/>
        <w:rPr>
          <w:rFonts w:ascii="宋体" w:hAnsi="宋体"/>
          <w:szCs w:val="21"/>
          <w:highlight w:val="none"/>
        </w:rPr>
      </w:pPr>
      <w:r>
        <w:rPr>
          <w:rFonts w:hint="eastAsia" w:ascii="宋体" w:hAnsi="宋体"/>
          <w:szCs w:val="21"/>
          <w:highlight w:val="none"/>
        </w:rPr>
        <w:t>5、</w:t>
      </w:r>
      <w:r>
        <w:rPr>
          <w:rFonts w:hint="eastAsia" w:ascii="Tahoma" w:hAnsi="Tahoma"/>
          <w:szCs w:val="21"/>
          <w:highlight w:val="none"/>
          <w:lang w:val="zh-CN"/>
        </w:rPr>
        <w:t>询价响应表；</w:t>
      </w:r>
    </w:p>
    <w:p>
      <w:pPr>
        <w:widowControl/>
        <w:shd w:val="solid" w:color="FFFFFF" w:fill="auto"/>
        <w:adjustRightInd w:val="0"/>
        <w:snapToGrid w:val="0"/>
        <w:spacing w:line="360" w:lineRule="exact"/>
        <w:ind w:firstLine="420" w:firstLineChars="200"/>
        <w:jc w:val="left"/>
        <w:rPr>
          <w:szCs w:val="21"/>
          <w:highlight w:val="none"/>
        </w:rPr>
      </w:pPr>
      <w:r>
        <w:rPr>
          <w:rFonts w:hint="eastAsia"/>
          <w:szCs w:val="21"/>
          <w:highlight w:val="none"/>
        </w:rPr>
        <w:t>6、响应报价书；</w:t>
      </w:r>
    </w:p>
    <w:p>
      <w:pPr>
        <w:widowControl/>
        <w:shd w:val="solid" w:color="FFFFFF" w:fill="auto"/>
        <w:adjustRightInd w:val="0"/>
        <w:snapToGrid w:val="0"/>
        <w:spacing w:line="360" w:lineRule="exact"/>
        <w:ind w:firstLine="420" w:firstLineChars="200"/>
        <w:jc w:val="left"/>
        <w:rPr>
          <w:szCs w:val="21"/>
          <w:highlight w:val="none"/>
        </w:rPr>
      </w:pPr>
      <w:r>
        <w:rPr>
          <w:rFonts w:hint="eastAsia"/>
          <w:szCs w:val="21"/>
          <w:highlight w:val="none"/>
        </w:rPr>
        <w:t>7、相关服务承诺函；</w:t>
      </w:r>
    </w:p>
    <w:p>
      <w:pPr>
        <w:widowControl/>
        <w:shd w:val="solid" w:color="FFFFFF" w:fill="auto"/>
        <w:adjustRightInd w:val="0"/>
        <w:snapToGrid w:val="0"/>
        <w:spacing w:line="360" w:lineRule="exact"/>
        <w:ind w:firstLine="420" w:firstLineChars="200"/>
        <w:jc w:val="left"/>
        <w:rPr>
          <w:rFonts w:ascii="宋体" w:hAnsi="宋体"/>
          <w:szCs w:val="21"/>
          <w:highlight w:val="none"/>
        </w:rPr>
      </w:pPr>
      <w:r>
        <w:rPr>
          <w:rFonts w:hint="eastAsia" w:ascii="宋体" w:hAnsi="宋体"/>
          <w:szCs w:val="21"/>
          <w:highlight w:val="none"/>
        </w:rPr>
        <w:t>8、询价文件要求和供应商认为需要提供的其它说明和资料。</w:t>
      </w:r>
    </w:p>
    <w:p>
      <w:pPr>
        <w:pStyle w:val="6"/>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pPr>
        <w:pStyle w:val="6"/>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pPr>
        <w:adjustRightInd w:val="0"/>
        <w:snapToGrid w:val="0"/>
        <w:spacing w:line="360" w:lineRule="exact"/>
        <w:ind w:firstLine="409" w:firstLineChars="195"/>
        <w:rPr>
          <w:rFonts w:hAnsi="宋体" w:cs="宋体"/>
          <w:b/>
          <w:bCs/>
          <w:highlight w:val="none"/>
        </w:rPr>
      </w:pPr>
      <w:r>
        <w:rPr>
          <w:rFonts w:hint="eastAsia" w:ascii="宋体" w:hAnsi="宋体" w:cs="宋体"/>
          <w:highlight w:val="none"/>
          <w:lang w:eastAsia="zh-CN"/>
        </w:rPr>
        <w:t>供应商</w:t>
      </w:r>
      <w:r>
        <w:rPr>
          <w:rFonts w:hint="eastAsia" w:ascii="宋体" w:hAnsi="宋体" w:cs="宋体"/>
          <w:highlight w:val="none"/>
        </w:rPr>
        <w:t>应将纸质响应性文件的正本和副本分别密封（正本一个封套，副本共一个封套），并在封袋上注明</w:t>
      </w:r>
      <w:r>
        <w:rPr>
          <w:rFonts w:hint="eastAsia" w:ascii="宋体" w:cs="宋体"/>
          <w:highlight w:val="none"/>
        </w:rPr>
        <w:t>“</w:t>
      </w:r>
      <w:r>
        <w:rPr>
          <w:rFonts w:hint="eastAsia" w:ascii="宋体" w:hAnsi="宋体" w:cs="宋体"/>
          <w:highlight w:val="none"/>
        </w:rPr>
        <w:t>正本</w:t>
      </w:r>
      <w:r>
        <w:rPr>
          <w:rFonts w:hint="eastAsia" w:ascii="宋体" w:cs="宋体"/>
          <w:highlight w:val="none"/>
        </w:rPr>
        <w:t>”</w:t>
      </w:r>
      <w:r>
        <w:rPr>
          <w:rFonts w:hint="eastAsia" w:ascii="宋体" w:hAnsi="宋体" w:cs="宋体"/>
          <w:highlight w:val="none"/>
        </w:rPr>
        <w:t>或</w:t>
      </w:r>
      <w:r>
        <w:rPr>
          <w:rFonts w:hint="eastAsia" w:ascii="宋体" w:cs="宋体"/>
          <w:highlight w:val="none"/>
        </w:rPr>
        <w:t>“</w:t>
      </w:r>
      <w:r>
        <w:rPr>
          <w:rFonts w:hint="eastAsia" w:ascii="宋体" w:hAnsi="宋体" w:cs="宋体"/>
          <w:highlight w:val="none"/>
        </w:rPr>
        <w:t>副本</w:t>
      </w:r>
      <w:r>
        <w:rPr>
          <w:rFonts w:hint="eastAsia" w:ascii="宋体" w:cs="宋体"/>
          <w:highlight w:val="none"/>
        </w:rPr>
        <w:t>”</w:t>
      </w:r>
      <w:r>
        <w:rPr>
          <w:rFonts w:hint="eastAsia" w:ascii="宋体" w:hAnsi="宋体" w:cs="宋体"/>
          <w:highlight w:val="none"/>
        </w:rPr>
        <w:t>，响应文件份数为一式叁份（正本一份，副本二份）。在骑缝处和封条上加盖响应人公章或法定代表人（或授权代理人）签字或盖章</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pPr>
        <w:pStyle w:val="6"/>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备注：1、</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只有两家供应商的，现场转为竞争性谈判；仅有一家供应商的，可直接转为单一来源。）</w:t>
      </w:r>
    </w:p>
    <w:p>
      <w:pPr>
        <w:pStyle w:val="20"/>
        <w:rPr>
          <w:highlight w:val="none"/>
        </w:rPr>
      </w:pPr>
    </w:p>
    <w:p>
      <w:pPr>
        <w:pStyle w:val="6"/>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pPr>
        <w:adjustRightInd w:val="0"/>
        <w:snapToGrid w:val="0"/>
        <w:spacing w:line="320" w:lineRule="exact"/>
        <w:rPr>
          <w:rFonts w:eastAsia="仿宋_GB2312"/>
          <w:highlight w:val="none"/>
        </w:rPr>
      </w:pPr>
      <w:r>
        <w:rPr>
          <w:rFonts w:hint="eastAsia" w:ascii="宋体" w:hAnsi="宋体"/>
          <w:szCs w:val="21"/>
          <w:highlight w:val="none"/>
        </w:rPr>
        <w:t>由其自行承担。</w:t>
      </w:r>
    </w:p>
    <w:p>
      <w:pPr>
        <w:pStyle w:val="6"/>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pPr>
        <w:pStyle w:val="6"/>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pPr>
        <w:pStyle w:val="6"/>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pPr>
        <w:pStyle w:val="6"/>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霍山县市场监督管理局</w:t>
      </w:r>
      <w:r>
        <w:rPr>
          <w:rFonts w:hint="eastAsia" w:ascii="宋体" w:hAnsi="宋体"/>
          <w:bCs/>
          <w:szCs w:val="21"/>
          <w:highlight w:val="none"/>
        </w:rPr>
        <w:t>予以处理。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pPr>
        <w:rPr>
          <w:highlight w:val="none"/>
        </w:rPr>
      </w:pPr>
    </w:p>
    <w:bookmarkEnd w:id="18"/>
    <w:p>
      <w:pPr>
        <w:pStyle w:val="48"/>
        <w:tabs>
          <w:tab w:val="left" w:pos="1978"/>
          <w:tab w:val="center" w:pos="4482"/>
        </w:tabs>
        <w:jc w:val="center"/>
        <w:outlineLvl w:val="0"/>
        <w:rPr>
          <w:rFonts w:cs="宋体"/>
          <w:bCs/>
          <w:sz w:val="30"/>
          <w:szCs w:val="30"/>
          <w:highlight w:val="none"/>
        </w:rPr>
      </w:pPr>
      <w:bookmarkStart w:id="31" w:name="_Toc18883"/>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pPr>
        <w:pStyle w:val="48"/>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pPr>
        <w:pStyle w:val="22"/>
        <w:jc w:val="center"/>
        <w:rPr>
          <w:rFonts w:cs="宋体"/>
          <w:b/>
          <w:kern w:val="0"/>
          <w:sz w:val="32"/>
          <w:szCs w:val="32"/>
          <w:highlight w:val="none"/>
        </w:rPr>
      </w:pPr>
      <w:r>
        <w:rPr>
          <w:rFonts w:hint="eastAsia" w:cs="宋体"/>
          <w:b/>
          <w:kern w:val="0"/>
          <w:sz w:val="32"/>
          <w:szCs w:val="32"/>
          <w:highlight w:val="none"/>
        </w:rPr>
        <w:tab/>
      </w:r>
    </w:p>
    <w:p>
      <w:pPr>
        <w:rPr>
          <w:rFonts w:cs="宋体"/>
          <w:b/>
          <w:kern w:val="0"/>
          <w:sz w:val="32"/>
          <w:szCs w:val="32"/>
          <w:highlight w:val="none"/>
        </w:rPr>
      </w:pPr>
      <w:r>
        <w:rPr>
          <w:rFonts w:hint="eastAsia" w:cs="宋体"/>
          <w:b/>
          <w:kern w:val="0"/>
          <w:sz w:val="32"/>
          <w:szCs w:val="32"/>
          <w:highlight w:val="none"/>
        </w:rPr>
        <w:br w:type="page"/>
      </w:r>
    </w:p>
    <w:bookmarkEnd w:id="32"/>
    <w:bookmarkEnd w:id="33"/>
    <w:p>
      <w:pPr>
        <w:jc w:val="center"/>
        <w:outlineLvl w:val="0"/>
        <w:rPr>
          <w:rFonts w:ascii="宋体" w:hAnsi="宋体" w:cs="宋体"/>
          <w:b/>
          <w:bCs/>
          <w:kern w:val="0"/>
          <w:sz w:val="30"/>
          <w:szCs w:val="30"/>
          <w:highlight w:val="none"/>
        </w:rPr>
      </w:pPr>
      <w:bookmarkStart w:id="35" w:name="_Toc9199"/>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pPr>
        <w:pStyle w:val="23"/>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cs="宋体"/>
          <w:kern w:val="2"/>
          <w:sz w:val="21"/>
          <w:szCs w:val="21"/>
          <w:highlight w:val="none"/>
          <w:lang w:val="en-US" w:eastAsia="zh-CN" w:bidi="ar-SA"/>
        </w:rPr>
      </w:pPr>
    </w:p>
    <w:p>
      <w:pPr>
        <w:pStyle w:val="23"/>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outlineLvl w:val="9"/>
        <w:rPr>
          <w:rFonts w:hint="eastAsia" w:ascii="宋体" w:hAnsi="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为加强产品质量安全监管，进一步做好产品质量监督抽查工作，霍山县市场监督管理局拟委托一家专业检验检测机构，对霍山县生产流通领域的部分产品进行抽样检测。具体情况如下：</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highlight w:val="none"/>
          <w:lang w:val="en-US" w:eastAsia="zh-CN"/>
        </w:rPr>
      </w:pPr>
      <w:r>
        <w:rPr>
          <w:rFonts w:hint="eastAsia" w:ascii="宋体" w:hAnsi="宋体" w:cs="宋体"/>
          <w:kern w:val="2"/>
          <w:sz w:val="21"/>
          <w:szCs w:val="21"/>
          <w:highlight w:val="none"/>
          <w:lang w:val="en-US" w:eastAsia="zh-CN" w:bidi="ar-SA"/>
        </w:rPr>
        <w:t>一、生产领域产品质量监督抽查计划表</w:t>
      </w:r>
    </w:p>
    <w:tbl>
      <w:tblPr>
        <w:tblStyle w:val="24"/>
        <w:tblW w:w="91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0"/>
        <w:gridCol w:w="2658"/>
        <w:gridCol w:w="1169"/>
        <w:gridCol w:w="2201"/>
        <w:gridCol w:w="2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序号</w:t>
            </w:r>
          </w:p>
        </w:tc>
        <w:tc>
          <w:tcPr>
            <w:tcW w:w="26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产品名称</w:t>
            </w:r>
          </w:p>
        </w:tc>
        <w:tc>
          <w:tcPr>
            <w:tcW w:w="116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抽查数（组）</w:t>
            </w:r>
          </w:p>
        </w:tc>
        <w:tc>
          <w:tcPr>
            <w:tcW w:w="22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抽查领域</w:t>
            </w:r>
          </w:p>
        </w:tc>
        <w:tc>
          <w:tcPr>
            <w:tcW w:w="2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检测检验指标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食品相关产品</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竹、木地板</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3</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商品混凝土</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4</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抽纸</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新型墙体材料</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纤维制品（羽绒、服装等）</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儿童家具</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《儿童家具通用技术条件》GB28007-2011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家居（家具）</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9</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混凝土排水管</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10</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灯具</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11</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汽车零部件(刹车片)</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12</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建筑玻璃</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13</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r>
              <w:rPr>
                <w:rFonts w:hint="eastAsia" w:ascii="宋体" w:hAnsi="宋体"/>
                <w:color w:val="auto"/>
                <w:sz w:val="21"/>
                <w:szCs w:val="21"/>
                <w:highlight w:val="none"/>
                <w:lang w:val="en-US" w:eastAsia="zh-CN"/>
              </w:rPr>
              <w:t>香、烛</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《蜡烛·防火安全规范》GB/T42385-2023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14</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一次性非医用口罩</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15</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竹筷（竹签）</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生产领域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合计</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center"/>
              <w:textAlignment w:val="auto"/>
              <w:outlineLvl w:val="9"/>
              <w:rPr>
                <w:rFonts w:hint="default" w:ascii="宋体" w:hAnsi="宋体"/>
                <w:color w:val="auto"/>
                <w:sz w:val="21"/>
                <w:szCs w:val="21"/>
                <w:highlight w:val="none"/>
              </w:rPr>
            </w:pP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31</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center"/>
              <w:textAlignment w:val="auto"/>
              <w:outlineLvl w:val="9"/>
              <w:rPr>
                <w:rFonts w:hint="default" w:ascii="宋体" w:hAnsi="宋体"/>
                <w:color w:val="auto"/>
                <w:sz w:val="21"/>
                <w:szCs w:val="21"/>
                <w:highlight w:val="none"/>
              </w:rPr>
            </w:pP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center"/>
              <w:textAlignment w:val="auto"/>
              <w:outlineLvl w:val="9"/>
              <w:rPr>
                <w:rFonts w:hint="default" w:ascii="宋体" w:hAnsi="宋体"/>
                <w:color w:val="auto"/>
                <w:sz w:val="21"/>
                <w:szCs w:val="21"/>
                <w:highlight w:val="none"/>
              </w:rPr>
            </w:pPr>
          </w:p>
        </w:tc>
      </w:tr>
    </w:tbl>
    <w:p>
      <w:pPr>
        <w:pStyle w:val="23"/>
        <w:keepNext w:val="0"/>
        <w:keepLines w:val="0"/>
        <w:pageBreakBefore w:val="0"/>
        <w:widowControl w:val="0"/>
        <w:numPr>
          <w:ilvl w:val="0"/>
          <w:numId w:val="0"/>
        </w:numPr>
        <w:kinsoku/>
        <w:wordWrap/>
        <w:overflowPunct/>
        <w:topLinePunct w:val="0"/>
        <w:autoSpaceDE/>
        <w:autoSpaceDN/>
        <w:bidi w:val="0"/>
        <w:adjustRightInd w:val="0"/>
        <w:snapToGrid w:val="0"/>
        <w:spacing w:before="313" w:beforeLines="100" w:after="157" w:afterLines="50"/>
        <w:ind w:left="0" w:leftChars="0" w:firstLine="0" w:firstLineChars="0"/>
        <w:jc w:val="center"/>
        <w:textAlignment w:val="auto"/>
        <w:rPr>
          <w:rFonts w:hint="eastAsia" w:ascii="宋体" w:hAnsi="宋体" w:eastAsia="宋体" w:cs="宋体"/>
          <w:kern w:val="2"/>
          <w:sz w:val="21"/>
          <w:szCs w:val="21"/>
          <w:highlight w:val="none"/>
          <w:lang w:val="en-US" w:eastAsia="zh-CN" w:bidi="ar-SA"/>
        </w:rPr>
      </w:pPr>
    </w:p>
    <w:p>
      <w:pPr>
        <w:pStyle w:val="23"/>
        <w:keepNext w:val="0"/>
        <w:keepLines w:val="0"/>
        <w:pageBreakBefore w:val="0"/>
        <w:widowControl w:val="0"/>
        <w:numPr>
          <w:ilvl w:val="0"/>
          <w:numId w:val="0"/>
        </w:numPr>
        <w:kinsoku/>
        <w:wordWrap/>
        <w:overflowPunct/>
        <w:topLinePunct w:val="0"/>
        <w:autoSpaceDE/>
        <w:autoSpaceDN/>
        <w:bidi w:val="0"/>
        <w:adjustRightInd w:val="0"/>
        <w:snapToGrid w:val="0"/>
        <w:spacing w:before="313" w:beforeLines="100" w:after="157" w:afterLines="50"/>
        <w:ind w:left="0" w:leftChars="0" w:firstLine="0" w:firstLineChars="0"/>
        <w:jc w:val="center"/>
        <w:textAlignment w:val="auto"/>
        <w:rPr>
          <w:rFonts w:hint="eastAsia" w:ascii="宋体" w:hAnsi="宋体" w:eastAsia="宋体" w:cs="宋体"/>
          <w:kern w:val="2"/>
          <w:sz w:val="21"/>
          <w:szCs w:val="21"/>
          <w:highlight w:val="none"/>
          <w:lang w:val="en-US" w:eastAsia="zh-CN" w:bidi="ar-SA"/>
        </w:rPr>
      </w:pPr>
    </w:p>
    <w:p>
      <w:pPr>
        <w:pStyle w:val="23"/>
        <w:keepNext w:val="0"/>
        <w:keepLines w:val="0"/>
        <w:pageBreakBefore w:val="0"/>
        <w:widowControl w:val="0"/>
        <w:numPr>
          <w:ilvl w:val="0"/>
          <w:numId w:val="0"/>
        </w:numPr>
        <w:kinsoku/>
        <w:wordWrap/>
        <w:overflowPunct/>
        <w:topLinePunct w:val="0"/>
        <w:autoSpaceDE/>
        <w:autoSpaceDN/>
        <w:bidi w:val="0"/>
        <w:adjustRightInd w:val="0"/>
        <w:snapToGrid w:val="0"/>
        <w:spacing w:before="313" w:beforeLines="100" w:after="157" w:afterLines="50"/>
        <w:ind w:left="0" w:leftChars="0" w:firstLine="0" w:firstLineChars="0"/>
        <w:jc w:val="center"/>
        <w:textAlignment w:val="auto"/>
        <w:rPr>
          <w:rFonts w:hint="eastAsia" w:ascii="宋体" w:hAnsi="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w:t>
      </w:r>
      <w:r>
        <w:rPr>
          <w:rFonts w:hint="eastAsia" w:ascii="宋体" w:hAnsi="宋体" w:cs="宋体"/>
          <w:kern w:val="2"/>
          <w:sz w:val="21"/>
          <w:szCs w:val="21"/>
          <w:highlight w:val="none"/>
          <w:lang w:val="en-US" w:eastAsia="zh-CN" w:bidi="ar-SA"/>
        </w:rPr>
        <w:t>流通领域产品质量监督抽查计划表</w:t>
      </w:r>
    </w:p>
    <w:bookmarkEnd w:id="34"/>
    <w:tbl>
      <w:tblPr>
        <w:tblStyle w:val="24"/>
        <w:tblW w:w="91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0"/>
        <w:gridCol w:w="2658"/>
        <w:gridCol w:w="1169"/>
        <w:gridCol w:w="2201"/>
        <w:gridCol w:w="2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序号</w:t>
            </w:r>
          </w:p>
        </w:tc>
        <w:tc>
          <w:tcPr>
            <w:tcW w:w="26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产品名称</w:t>
            </w:r>
          </w:p>
        </w:tc>
        <w:tc>
          <w:tcPr>
            <w:tcW w:w="116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抽查数（组）</w:t>
            </w:r>
          </w:p>
        </w:tc>
        <w:tc>
          <w:tcPr>
            <w:tcW w:w="22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抽查领域</w:t>
            </w:r>
          </w:p>
        </w:tc>
        <w:tc>
          <w:tcPr>
            <w:tcW w:w="2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检测检验指标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尿素</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成品油</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3</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农资</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4</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服装</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鞋子</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婴幼儿用品（含儿童玩具）</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5</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老年人用品</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小家电</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5</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9</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消防产品</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10</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电动自行车及相关产品</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30</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11</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燃煤</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12</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液化气等气体</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8</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13</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电线电缆</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8</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14</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燃气灶具及相关产品</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（含配件）</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55</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15</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劳保用品</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16</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烟花爆竹</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17</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钢筋</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18</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装饰装修材料</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（含坐便器、水龙头）</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19</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醇基燃料</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20</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电焊机</w:t>
            </w: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10</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流通领域</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合计</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center"/>
              <w:textAlignment w:val="auto"/>
              <w:outlineLvl w:val="9"/>
              <w:rPr>
                <w:rFonts w:hint="default" w:ascii="宋体" w:hAnsi="宋体"/>
                <w:color w:val="auto"/>
                <w:sz w:val="21"/>
                <w:szCs w:val="21"/>
                <w:highlight w:val="none"/>
              </w:rPr>
            </w:pP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185</w:t>
            </w: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center"/>
              <w:textAlignment w:val="auto"/>
              <w:outlineLvl w:val="9"/>
              <w:rPr>
                <w:rFonts w:hint="default" w:ascii="宋体" w:hAnsi="宋体"/>
                <w:color w:val="auto"/>
                <w:sz w:val="21"/>
                <w:szCs w:val="21"/>
                <w:highlight w:val="none"/>
              </w:rPr>
            </w:pP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center"/>
              <w:textAlignment w:val="auto"/>
              <w:outlineLvl w:val="9"/>
              <w:rPr>
                <w:rFonts w:hint="default" w:ascii="宋体" w:hAnsi="宋体"/>
                <w:color w:val="auto"/>
                <w:sz w:val="21"/>
                <w:szCs w:val="21"/>
                <w:highlight w:val="none"/>
              </w:rPr>
            </w:pPr>
          </w:p>
        </w:tc>
      </w:tr>
    </w:tbl>
    <w:p>
      <w:pPr>
        <w:pStyle w:val="2"/>
        <w:ind w:left="0" w:leftChars="0" w:firstLine="0" w:firstLineChars="0"/>
        <w:rPr>
          <w:rFonts w:hint="default"/>
          <w:sz w:val="21"/>
          <w:szCs w:val="21"/>
          <w:highlight w:val="none"/>
          <w:lang w:val="en-US" w:eastAsia="zh-CN"/>
        </w:rPr>
      </w:pPr>
      <w:r>
        <w:rPr>
          <w:rFonts w:hint="eastAsia" w:ascii="宋体" w:hAnsi="宋体" w:cs="宋体"/>
          <w:b/>
          <w:color w:val="auto"/>
          <w:sz w:val="21"/>
          <w:szCs w:val="21"/>
          <w:highlight w:val="none"/>
          <w:u w:val="none"/>
          <w:lang w:val="en-US" w:eastAsia="zh-CN"/>
        </w:rPr>
        <w:t>备注：以上须检测产品，如受托单位不具备检测资质，须委托具备检测资质的单位进行检测并对检测结果承担法律责任。</w:t>
      </w:r>
    </w:p>
    <w:p>
      <w:pPr>
        <w:rPr>
          <w:rFonts w:hint="eastAsia" w:ascii="宋体" w:hAnsi="宋体" w:eastAsia="宋体" w:cs="宋体"/>
          <w:b/>
          <w:color w:val="auto"/>
          <w:sz w:val="32"/>
          <w:highlight w:val="none"/>
          <w:u w:val="none"/>
          <w:lang w:eastAsia="zh-CN"/>
        </w:rPr>
      </w:pPr>
      <w:r>
        <w:rPr>
          <w:rFonts w:hint="eastAsia" w:ascii="宋体" w:hAnsi="宋体" w:eastAsia="宋体" w:cs="宋体"/>
          <w:b/>
          <w:color w:val="auto"/>
          <w:sz w:val="32"/>
          <w:highlight w:val="none"/>
          <w:u w:val="none"/>
          <w:lang w:eastAsia="zh-CN"/>
        </w:rPr>
        <w:br w:type="page"/>
      </w:r>
    </w:p>
    <w:p>
      <w:pPr>
        <w:spacing w:line="500" w:lineRule="exact"/>
        <w:jc w:val="center"/>
        <w:outlineLvl w:val="0"/>
        <w:rPr>
          <w:rFonts w:hint="eastAsia" w:ascii="宋体" w:hAnsi="宋体" w:eastAsia="宋体" w:cs="宋体"/>
          <w:b/>
          <w:color w:val="auto"/>
          <w:sz w:val="32"/>
          <w:highlight w:val="none"/>
          <w:u w:val="none"/>
          <w:lang w:eastAsia="zh-CN"/>
        </w:rPr>
      </w:pPr>
      <w:bookmarkStart w:id="36" w:name="_Toc19282"/>
      <w:r>
        <w:rPr>
          <w:rFonts w:hint="eastAsia" w:ascii="宋体" w:hAnsi="宋体" w:cs="宋体"/>
          <w:b/>
          <w:bCs/>
          <w:kern w:val="0"/>
          <w:sz w:val="30"/>
          <w:szCs w:val="30"/>
          <w:highlight w:val="none"/>
        </w:rPr>
        <w:t>第</w:t>
      </w:r>
      <w:r>
        <w:rPr>
          <w:rFonts w:hint="eastAsia" w:ascii="宋体" w:hAnsi="宋体" w:cs="宋体"/>
          <w:b/>
          <w:bCs/>
          <w:kern w:val="0"/>
          <w:sz w:val="30"/>
          <w:szCs w:val="30"/>
          <w:highlight w:val="none"/>
          <w:lang w:val="en-US" w:eastAsia="zh-CN"/>
        </w:rPr>
        <w:t>五</w:t>
      </w:r>
      <w:r>
        <w:rPr>
          <w:rFonts w:hint="eastAsia" w:ascii="宋体" w:hAnsi="宋体" w:cs="宋体"/>
          <w:b/>
          <w:bCs/>
          <w:kern w:val="0"/>
          <w:sz w:val="30"/>
          <w:szCs w:val="30"/>
          <w:highlight w:val="none"/>
        </w:rPr>
        <w:t>章</w:t>
      </w:r>
      <w:r>
        <w:rPr>
          <w:rFonts w:hint="eastAsia" w:ascii="宋体" w:hAnsi="宋体" w:cs="宋体"/>
          <w:b/>
          <w:color w:val="auto"/>
          <w:sz w:val="32"/>
          <w:highlight w:val="none"/>
          <w:u w:val="none"/>
          <w:lang w:val="en-US" w:eastAsia="zh-CN"/>
        </w:rPr>
        <w:t xml:space="preserve">  </w:t>
      </w:r>
      <w:r>
        <w:rPr>
          <w:rFonts w:hint="eastAsia" w:ascii="宋体" w:hAnsi="宋体" w:eastAsia="宋体" w:cs="宋体"/>
          <w:b/>
          <w:color w:val="auto"/>
          <w:sz w:val="32"/>
          <w:highlight w:val="none"/>
          <w:u w:val="none"/>
          <w:lang w:eastAsia="zh-CN"/>
        </w:rPr>
        <w:t>响应文件格式</w:t>
      </w:r>
      <w:bookmarkEnd w:id="36"/>
    </w:p>
    <w:p>
      <w:pPr>
        <w:spacing w:line="500" w:lineRule="exact"/>
        <w:jc w:val="center"/>
        <w:rPr>
          <w:rFonts w:hint="eastAsia" w:ascii="宋体" w:hAnsi="宋体" w:eastAsia="宋体" w:cs="宋体"/>
          <w:b/>
          <w:color w:val="auto"/>
          <w:sz w:val="32"/>
          <w:highlight w:val="none"/>
          <w:u w:val="single"/>
        </w:rPr>
      </w:pPr>
    </w:p>
    <w:p>
      <w:pPr>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u w:val="single"/>
        </w:rPr>
        <w:t>　　　　　　　　　</w:t>
      </w:r>
      <w:bookmarkStart w:id="37" w:name="_Toc6546_WPSOffice_Level1"/>
      <w:r>
        <w:rPr>
          <w:rFonts w:hint="eastAsia" w:ascii="宋体" w:hAnsi="宋体" w:eastAsia="宋体" w:cs="宋体"/>
          <w:b/>
          <w:color w:val="auto"/>
          <w:sz w:val="32"/>
          <w:highlight w:val="none"/>
        </w:rPr>
        <w:t>采购</w:t>
      </w:r>
      <w:r>
        <w:rPr>
          <w:rFonts w:hint="eastAsia" w:ascii="宋体" w:hAnsi="宋体" w:cs="宋体"/>
          <w:b/>
          <w:color w:val="auto"/>
          <w:sz w:val="32"/>
          <w:highlight w:val="none"/>
          <w:lang w:eastAsia="zh-CN"/>
        </w:rPr>
        <w:t>项目</w:t>
      </w:r>
      <w:bookmarkEnd w:id="37"/>
      <w:r>
        <w:rPr>
          <w:rFonts w:hint="eastAsia" w:ascii="宋体" w:hAnsi="宋体" w:eastAsia="宋体" w:cs="宋体"/>
          <w:b/>
          <w:color w:val="auto"/>
          <w:sz w:val="32"/>
          <w:highlight w:val="none"/>
        </w:rPr>
        <w:t xml:space="preserve"> </w:t>
      </w:r>
    </w:p>
    <w:p>
      <w:pPr>
        <w:spacing w:line="900" w:lineRule="exact"/>
        <w:rPr>
          <w:rFonts w:hint="eastAsia" w:ascii="宋体" w:hAnsi="宋体" w:eastAsia="宋体" w:cs="宋体"/>
          <w:b/>
          <w:color w:val="auto"/>
          <w:sz w:val="72"/>
          <w:highlight w:val="none"/>
        </w:rPr>
      </w:pPr>
    </w:p>
    <w:p>
      <w:pPr>
        <w:spacing w:line="900" w:lineRule="exact"/>
        <w:jc w:val="center"/>
        <w:rPr>
          <w:rFonts w:hint="eastAsia" w:ascii="宋体" w:hAnsi="宋体" w:eastAsia="宋体" w:cs="宋体"/>
          <w:b/>
          <w:color w:val="auto"/>
          <w:sz w:val="44"/>
          <w:szCs w:val="44"/>
          <w:highlight w:val="none"/>
        </w:rPr>
      </w:pPr>
      <w:bookmarkStart w:id="38" w:name="_Toc12631_WPSOffice_Level1"/>
      <w:r>
        <w:rPr>
          <w:rFonts w:hint="eastAsia" w:ascii="宋体" w:hAnsi="宋体" w:eastAsia="宋体" w:cs="宋体"/>
          <w:b/>
          <w:color w:val="auto"/>
          <w:sz w:val="44"/>
          <w:szCs w:val="44"/>
          <w:highlight w:val="none"/>
        </w:rPr>
        <w:t>响</w:t>
      </w:r>
      <w:bookmarkEnd w:id="38"/>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39" w:name="_Toc13194_WPSOffice_Level1"/>
      <w:r>
        <w:rPr>
          <w:rFonts w:hint="eastAsia" w:ascii="宋体" w:hAnsi="宋体" w:eastAsia="宋体" w:cs="宋体"/>
          <w:b/>
          <w:color w:val="auto"/>
          <w:sz w:val="44"/>
          <w:szCs w:val="44"/>
          <w:highlight w:val="none"/>
        </w:rPr>
        <w:t>应</w:t>
      </w:r>
      <w:bookmarkEnd w:id="39"/>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0" w:name="_Toc28638_WPSOffice_Level1"/>
      <w:r>
        <w:rPr>
          <w:rFonts w:hint="eastAsia" w:ascii="宋体" w:hAnsi="宋体" w:eastAsia="宋体" w:cs="宋体"/>
          <w:b/>
          <w:color w:val="auto"/>
          <w:sz w:val="44"/>
          <w:szCs w:val="44"/>
          <w:highlight w:val="none"/>
        </w:rPr>
        <w:t>文</w:t>
      </w:r>
      <w:bookmarkEnd w:id="40"/>
    </w:p>
    <w:p>
      <w:pPr>
        <w:spacing w:line="900" w:lineRule="exact"/>
        <w:jc w:val="center"/>
        <w:rPr>
          <w:rFonts w:hint="eastAsia" w:ascii="宋体" w:hAnsi="宋体" w:eastAsia="宋体" w:cs="宋体"/>
          <w:b/>
          <w:color w:val="auto"/>
          <w:sz w:val="44"/>
          <w:szCs w:val="44"/>
          <w:highlight w:val="none"/>
        </w:rPr>
      </w:pPr>
    </w:p>
    <w:p>
      <w:pPr>
        <w:jc w:val="center"/>
        <w:rPr>
          <w:rFonts w:hint="eastAsia" w:ascii="宋体" w:hAnsi="宋体" w:eastAsia="宋体" w:cs="宋体"/>
          <w:b/>
          <w:color w:val="auto"/>
          <w:sz w:val="44"/>
          <w:szCs w:val="44"/>
          <w:highlight w:val="none"/>
        </w:rPr>
      </w:pPr>
      <w:bookmarkStart w:id="41" w:name="_Toc21450_WPSOffice_Level1"/>
      <w:r>
        <w:rPr>
          <w:rFonts w:hint="eastAsia" w:ascii="宋体" w:hAnsi="宋体" w:eastAsia="宋体" w:cs="宋体"/>
          <w:b/>
          <w:color w:val="auto"/>
          <w:sz w:val="44"/>
          <w:szCs w:val="44"/>
          <w:highlight w:val="none"/>
        </w:rPr>
        <w:t>件</w:t>
      </w:r>
      <w:bookmarkEnd w:id="41"/>
    </w:p>
    <w:p>
      <w:pPr>
        <w:pStyle w:val="10"/>
        <w:jc w:val="center"/>
        <w:rPr>
          <w:rFonts w:ascii="黑体"/>
          <w:color w:val="auto"/>
          <w:sz w:val="44"/>
          <w:highlight w:val="none"/>
          <w:u w:val="single"/>
        </w:rPr>
      </w:pPr>
      <w:bookmarkStart w:id="42" w:name="_Toc30778_WPSOffice_Level1"/>
      <w:r>
        <w:rPr>
          <w:rFonts w:hint="eastAsia" w:ascii="黑体" w:hAnsi="Times New Roman" w:eastAsia="黑体"/>
          <w:color w:val="auto"/>
          <w:kern w:val="2"/>
          <w:sz w:val="32"/>
          <w:szCs w:val="22"/>
          <w:highlight w:val="none"/>
          <w:u w:val="single"/>
        </w:rPr>
        <w:t>正本（副本）</w:t>
      </w:r>
      <w:bookmarkEnd w:id="42"/>
    </w:p>
    <w:p>
      <w:pPr>
        <w:spacing w:afterLines="50" w:line="500" w:lineRule="exact"/>
        <w:ind w:firstLine="2479" w:firstLineChars="343"/>
        <w:rPr>
          <w:rFonts w:hint="eastAsia" w:ascii="宋体" w:hAnsi="宋体" w:eastAsia="宋体" w:cs="宋体"/>
          <w:b/>
          <w:color w:val="auto"/>
          <w:sz w:val="72"/>
          <w:highlight w:val="none"/>
        </w:rPr>
      </w:pPr>
    </w:p>
    <w:p>
      <w:pPr>
        <w:spacing w:afterLines="50" w:line="500" w:lineRule="exact"/>
        <w:ind w:firstLine="2409" w:firstLineChars="800"/>
        <w:jc w:val="both"/>
        <w:rPr>
          <w:rFonts w:hint="default" w:ascii="宋体" w:hAnsi="宋体" w:eastAsia="宋体" w:cs="宋体"/>
          <w:b/>
          <w:color w:val="auto"/>
          <w:sz w:val="30"/>
          <w:szCs w:val="30"/>
          <w:highlight w:val="none"/>
          <w:lang w:val="en-US"/>
        </w:rPr>
      </w:pPr>
      <w:bookmarkStart w:id="43" w:name="_Toc2436_WPSOffice_Level1"/>
      <w:r>
        <w:rPr>
          <w:rFonts w:hint="eastAsia" w:ascii="宋体" w:hAnsi="宋体" w:cs="宋体"/>
          <w:b/>
          <w:color w:val="auto"/>
          <w:sz w:val="30"/>
          <w:szCs w:val="30"/>
          <w:highlight w:val="none"/>
          <w:lang w:eastAsia="zh-CN"/>
        </w:rPr>
        <w:t>项目</w:t>
      </w:r>
      <w:r>
        <w:rPr>
          <w:rFonts w:hint="eastAsia" w:ascii="宋体" w:hAnsi="宋体" w:eastAsia="宋体" w:cs="宋体"/>
          <w:b/>
          <w:color w:val="auto"/>
          <w:sz w:val="30"/>
          <w:szCs w:val="30"/>
          <w:highlight w:val="none"/>
        </w:rPr>
        <w:t>编号：</w:t>
      </w:r>
      <w:bookmarkEnd w:id="43"/>
    </w:p>
    <w:p>
      <w:pPr>
        <w:spacing w:afterLines="50" w:line="500" w:lineRule="exact"/>
        <w:jc w:val="center"/>
        <w:rPr>
          <w:rFonts w:hint="eastAsia" w:ascii="宋体" w:hAnsi="宋体" w:eastAsia="宋体" w:cs="宋体"/>
          <w:b/>
          <w:color w:val="auto"/>
          <w:sz w:val="28"/>
          <w:szCs w:val="28"/>
          <w:highlight w:val="none"/>
        </w:rPr>
      </w:pPr>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4" w:name="_Toc19527_WPSOffice_Level1"/>
      <w:r>
        <w:rPr>
          <w:rFonts w:hint="eastAsia" w:ascii="宋体" w:hAnsi="宋体" w:cs="宋体"/>
          <w:b/>
          <w:color w:val="auto"/>
          <w:sz w:val="28"/>
          <w:szCs w:val="28"/>
          <w:highlight w:val="none"/>
          <w:lang w:eastAsia="zh-CN"/>
        </w:rPr>
        <w:t>供应商</w:t>
      </w:r>
      <w:r>
        <w:rPr>
          <w:rFonts w:hint="eastAsia" w:ascii="宋体" w:hAnsi="宋体" w:eastAsia="宋体" w:cs="宋体"/>
          <w:b/>
          <w:color w:val="auto"/>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 xml:space="preserve">  　　　　　　（盖单位章）</w:t>
      </w:r>
      <w:bookmarkEnd w:id="44"/>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5" w:name="_Toc2247_WPSOffice_Level1"/>
      <w:r>
        <w:rPr>
          <w:rFonts w:hint="eastAsia" w:ascii="宋体" w:hAnsi="宋体" w:eastAsia="宋体" w:cs="宋体"/>
          <w:b/>
          <w:color w:val="auto"/>
          <w:spacing w:val="0"/>
          <w:kern w:val="0"/>
          <w:sz w:val="28"/>
          <w:szCs w:val="28"/>
          <w:highlight w:val="none"/>
        </w:rPr>
        <w:t>法定代表人或委托代理人</w:t>
      </w:r>
      <w:r>
        <w:rPr>
          <w:rFonts w:hint="eastAsia" w:ascii="宋体" w:hAnsi="宋体" w:eastAsia="宋体" w:cs="宋体"/>
          <w:b/>
          <w:color w:val="auto"/>
          <w:spacing w:val="20"/>
          <w:kern w:val="0"/>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eastAsia="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（签字或盖章）</w:t>
      </w:r>
      <w:bookmarkEnd w:id="45"/>
      <w:r>
        <w:rPr>
          <w:rFonts w:hint="eastAsia" w:ascii="宋体" w:hAnsi="宋体" w:eastAsia="宋体" w:cs="宋体"/>
          <w:b/>
          <w:color w:val="auto"/>
          <w:spacing w:val="20"/>
          <w:kern w:val="0"/>
          <w:sz w:val="28"/>
          <w:szCs w:val="28"/>
          <w:highlight w:val="none"/>
          <w:u w:val="single"/>
        </w:rPr>
        <w:t>　</w:t>
      </w:r>
      <w:bookmarkStart w:id="46" w:name="_Toc19164_WPSOffice_Level1"/>
    </w:p>
    <w:p>
      <w:pPr>
        <w:spacing w:afterLines="50" w:line="500" w:lineRule="exact"/>
        <w:ind w:firstLine="642" w:firstLineChars="200"/>
        <w:rPr>
          <w:rFonts w:hint="eastAsia" w:ascii="宋体" w:hAnsi="宋体" w:eastAsia="宋体" w:cs="宋体"/>
          <w:b/>
          <w:color w:val="auto"/>
          <w:spacing w:val="20"/>
          <w:kern w:val="0"/>
          <w:sz w:val="28"/>
          <w:szCs w:val="28"/>
          <w:highlight w:val="none"/>
        </w:rPr>
      </w:pPr>
      <w:r>
        <w:rPr>
          <w:rFonts w:hint="eastAsia" w:ascii="宋体" w:hAnsi="宋体" w:eastAsia="宋体" w:cs="宋体"/>
          <w:b/>
          <w:color w:val="auto"/>
          <w:spacing w:val="20"/>
          <w:kern w:val="0"/>
          <w:sz w:val="28"/>
          <w:szCs w:val="28"/>
          <w:highlight w:val="none"/>
        </w:rPr>
        <w:t>日  期：　　　　</w:t>
      </w:r>
      <w:r>
        <w:rPr>
          <w:rFonts w:hint="eastAsia" w:ascii="宋体" w:hAnsi="宋体" w:eastAsia="宋体" w:cs="宋体"/>
          <w:b/>
          <w:color w:val="auto"/>
          <w:sz w:val="28"/>
          <w:szCs w:val="28"/>
          <w:highlight w:val="none"/>
        </w:rPr>
        <w:t>年    月    日</w:t>
      </w:r>
      <w:bookmarkEnd w:id="46"/>
    </w:p>
    <w:p>
      <w:pPr>
        <w:jc w:val="center"/>
        <w:rPr>
          <w:rFonts w:hint="eastAsia"/>
          <w:b/>
          <w:bCs/>
          <w:color w:val="auto"/>
          <w:sz w:val="28"/>
          <w:szCs w:val="28"/>
          <w:highlight w:val="none"/>
        </w:rPr>
      </w:pPr>
      <w:bookmarkStart w:id="47" w:name="_Toc19469_WPSOffice_Level1"/>
    </w:p>
    <w:p>
      <w:pPr>
        <w:jc w:val="center"/>
        <w:rPr>
          <w:rFonts w:hint="eastAsia"/>
          <w:b/>
          <w:bCs/>
          <w:color w:val="auto"/>
          <w:sz w:val="28"/>
          <w:szCs w:val="28"/>
          <w:highlight w:val="none"/>
        </w:rPr>
      </w:pPr>
    </w:p>
    <w:p>
      <w:pPr>
        <w:jc w:val="center"/>
        <w:outlineLvl w:val="1"/>
        <w:rPr>
          <w:rFonts w:hint="eastAsia"/>
          <w:b/>
          <w:bCs/>
          <w:color w:val="auto"/>
          <w:sz w:val="28"/>
          <w:szCs w:val="28"/>
          <w:highlight w:val="none"/>
        </w:rPr>
      </w:pPr>
      <w:r>
        <w:rPr>
          <w:rFonts w:hint="eastAsia"/>
          <w:b/>
          <w:bCs/>
          <w:color w:val="auto"/>
          <w:sz w:val="28"/>
          <w:szCs w:val="28"/>
          <w:highlight w:val="none"/>
        </w:rPr>
        <w:t>响应文件资料清单</w:t>
      </w:r>
      <w:bookmarkEnd w:id="47"/>
    </w:p>
    <w:p>
      <w:pPr>
        <w:adjustRightInd w:val="0"/>
        <w:snapToGrid w:val="0"/>
        <w:spacing w:line="240" w:lineRule="exact"/>
        <w:jc w:val="center"/>
        <w:rPr>
          <w:rFonts w:hint="eastAsia" w:ascii="宋体" w:hAnsi="宋体" w:eastAsia="宋体" w:cs="宋体"/>
          <w:b/>
          <w:color w:val="auto"/>
          <w:sz w:val="24"/>
          <w:highlight w:val="none"/>
        </w:rPr>
      </w:pPr>
    </w:p>
    <w:tbl>
      <w:tblPr>
        <w:tblStyle w:val="24"/>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r>
              <w:rPr>
                <w:rFonts w:hint="eastAsia" w:ascii="Tahoma" w:hAnsi="Tahoma"/>
                <w:color w:val="auto"/>
                <w:sz w:val="21"/>
                <w:szCs w:val="21"/>
                <w:highlight w:val="none"/>
                <w:lang w:eastAsia="zh-CN"/>
              </w:rPr>
              <w:t>（</w:t>
            </w:r>
            <w:r>
              <w:rPr>
                <w:rFonts w:hint="eastAsia" w:ascii="Tahoma" w:hAnsi="Tahoma"/>
                <w:color w:val="auto"/>
                <w:sz w:val="21"/>
                <w:szCs w:val="21"/>
                <w:highlight w:val="none"/>
                <w:lang w:val="en-US" w:eastAsia="zh-CN"/>
              </w:rPr>
              <w:t>营业执照等</w:t>
            </w:r>
            <w:r>
              <w:rPr>
                <w:rFonts w:hint="eastAsia" w:ascii="Tahoma" w:hAnsi="Tahoma"/>
                <w:color w:val="auto"/>
                <w:sz w:val="21"/>
                <w:szCs w:val="21"/>
                <w:highlight w:val="none"/>
                <w:lang w:eastAsia="zh-CN"/>
              </w:rPr>
              <w:t>）</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企业营业执照等相关证明材料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pPr>
              <w:pStyle w:val="49"/>
              <w:rPr>
                <w:rFonts w:hint="eastAsia" w:ascii="宋体" w:hAnsi="宋体" w:eastAsia="宋体" w:cs="宋体"/>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法人授权委托书</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三</w:t>
            </w:r>
          </w:p>
        </w:tc>
        <w:tc>
          <w:tcPr>
            <w:tcW w:w="5460" w:type="dxa"/>
            <w:noWrap w:val="0"/>
            <w:vAlign w:val="center"/>
          </w:tcPr>
          <w:p>
            <w:pPr>
              <w:pStyle w:val="49"/>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lang w:val="en-US" w:eastAsia="zh-CN"/>
              </w:rPr>
              <w:t>其他</w:t>
            </w:r>
            <w:r>
              <w:rPr>
                <w:rFonts w:hint="eastAsia" w:ascii="宋体" w:hAnsi="宋体"/>
                <w:color w:val="auto"/>
                <w:sz w:val="21"/>
                <w:szCs w:val="21"/>
                <w:highlight w:val="none"/>
              </w:rPr>
              <w:t>资料</w:t>
            </w:r>
          </w:p>
        </w:tc>
        <w:tc>
          <w:tcPr>
            <w:tcW w:w="2625" w:type="dxa"/>
            <w:noWrap w:val="0"/>
            <w:vAlign w:val="center"/>
          </w:tcPr>
          <w:p>
            <w:pPr>
              <w:spacing w:line="360" w:lineRule="auto"/>
              <w:rPr>
                <w:rFonts w:hint="eastAsia" w:ascii="宋体" w:hAnsi="宋体" w:eastAsia="宋体" w:cs="宋体"/>
                <w:b/>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pPr>
              <w:jc w:val="center"/>
              <w:rPr>
                <w:rFonts w:hint="eastAsia" w:ascii="宋体" w:hAnsi="宋体" w:eastAsia="宋体" w:cs="宋体"/>
                <w:color w:val="auto"/>
                <w:szCs w:val="21"/>
                <w:highlight w:val="none"/>
                <w:lang w:eastAsia="zh-CN"/>
              </w:rPr>
            </w:pPr>
          </w:p>
        </w:tc>
        <w:tc>
          <w:tcPr>
            <w:tcW w:w="5460" w:type="dxa"/>
            <w:noWrap w:val="0"/>
            <w:vAlign w:val="center"/>
          </w:tcPr>
          <w:p>
            <w:pPr>
              <w:rPr>
                <w:rFonts w:hint="default" w:ascii="宋体" w:hAnsi="宋体" w:eastAsia="宋体" w:cs="宋体"/>
                <w:color w:val="auto"/>
                <w:szCs w:val="21"/>
                <w:highlight w:val="none"/>
                <w:lang w:val="en-US" w:eastAsia="zh-CN"/>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pPr>
              <w:jc w:val="center"/>
              <w:rPr>
                <w:rFonts w:hint="eastAsia" w:ascii="宋体" w:hAnsi="宋体" w:eastAsia="宋体" w:cs="宋体"/>
                <w:color w:val="auto"/>
                <w:szCs w:val="21"/>
                <w:highlight w:val="none"/>
              </w:rPr>
            </w:pPr>
          </w:p>
        </w:tc>
        <w:tc>
          <w:tcPr>
            <w:tcW w:w="5460" w:type="dxa"/>
            <w:noWrap w:val="0"/>
            <w:vAlign w:val="center"/>
          </w:tcPr>
          <w:p>
            <w:pPr>
              <w:rPr>
                <w:rFonts w:hint="eastAsia" w:ascii="宋体" w:hAnsi="宋体" w:eastAsia="宋体" w:cs="宋体"/>
                <w:color w:val="auto"/>
                <w:szCs w:val="21"/>
                <w:highlight w:val="none"/>
              </w:rPr>
            </w:pPr>
          </w:p>
        </w:tc>
        <w:tc>
          <w:tcPr>
            <w:tcW w:w="2625" w:type="dxa"/>
            <w:noWrap w:val="0"/>
            <w:vAlign w:val="center"/>
          </w:tcPr>
          <w:p>
            <w:pPr>
              <w:spacing w:line="360" w:lineRule="auto"/>
              <w:rPr>
                <w:rFonts w:hint="eastAsia" w:ascii="宋体" w:hAnsi="宋体" w:eastAsia="宋体" w:cs="宋体"/>
                <w:b/>
                <w:color w:val="auto"/>
                <w:szCs w:val="21"/>
                <w:highlight w:val="none"/>
              </w:rPr>
            </w:pPr>
          </w:p>
        </w:tc>
      </w:tr>
    </w:tbl>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pStyle w:val="22"/>
        <w:rPr>
          <w:rFonts w:hint="eastAsia"/>
          <w:highlight w:val="none"/>
        </w:rPr>
      </w:pPr>
    </w:p>
    <w:p>
      <w:pPr>
        <w:pStyle w:val="19"/>
        <w:rPr>
          <w:rFonts w:hint="eastAsia"/>
          <w:highlight w:val="none"/>
        </w:rPr>
      </w:pPr>
    </w:p>
    <w:p>
      <w:pPr>
        <w:rPr>
          <w:rFonts w:hint="eastAsia"/>
          <w:highlight w:val="none"/>
        </w:rPr>
      </w:pPr>
    </w:p>
    <w:p>
      <w:pPr>
        <w:spacing w:line="360" w:lineRule="auto"/>
        <w:jc w:val="center"/>
        <w:rPr>
          <w:rFonts w:hint="eastAsia" w:ascii="宋体" w:hAnsi="宋体" w:eastAsia="宋体" w:cs="宋体"/>
          <w:b/>
          <w:color w:val="auto"/>
          <w:sz w:val="24"/>
          <w:highlight w:val="none"/>
        </w:rPr>
      </w:pPr>
    </w:p>
    <w:p>
      <w:pPr>
        <w:pStyle w:val="7"/>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48" w:name="_Toc471299103"/>
      <w:bookmarkStart w:id="49" w:name="_Toc5932"/>
      <w:r>
        <w:rPr>
          <w:rFonts w:hint="eastAsia" w:ascii="宋体" w:hAnsi="宋体" w:eastAsia="宋体" w:cs="宋体"/>
          <w:color w:val="auto"/>
          <w:sz w:val="21"/>
          <w:szCs w:val="21"/>
          <w:highlight w:val="none"/>
        </w:rPr>
        <w:t>附件</w:t>
      </w:r>
      <w:bookmarkEnd w:id="48"/>
      <w:bookmarkEnd w:id="49"/>
      <w:r>
        <w:rPr>
          <w:rFonts w:hint="eastAsia" w:ascii="宋体" w:hAnsi="宋体" w:cs="宋体"/>
          <w:color w:val="auto"/>
          <w:sz w:val="21"/>
          <w:szCs w:val="21"/>
          <w:highlight w:val="none"/>
          <w:lang w:eastAsia="zh-CN"/>
        </w:rPr>
        <w:t>一</w:t>
      </w:r>
    </w:p>
    <w:p>
      <w:pPr>
        <w:jc w:val="center"/>
        <w:rPr>
          <w:rFonts w:hint="eastAsia"/>
          <w:b/>
          <w:bCs/>
          <w:color w:val="auto"/>
          <w:sz w:val="28"/>
          <w:szCs w:val="28"/>
          <w:highlight w:val="none"/>
        </w:rPr>
      </w:pPr>
      <w:bookmarkStart w:id="50" w:name="_Toc10142_WPSOffice_Level1"/>
      <w:r>
        <w:rPr>
          <w:rFonts w:hint="eastAsia"/>
          <w:b/>
          <w:bCs/>
          <w:color w:val="auto"/>
          <w:sz w:val="28"/>
          <w:szCs w:val="28"/>
          <w:highlight w:val="none"/>
        </w:rPr>
        <w:t>供应商基本信息</w:t>
      </w:r>
      <w:bookmarkEnd w:id="50"/>
      <w:r>
        <w:rPr>
          <w:rFonts w:hint="eastAsia"/>
          <w:b/>
          <w:bCs/>
          <w:color w:val="auto"/>
          <w:sz w:val="28"/>
          <w:szCs w:val="28"/>
          <w:highlight w:val="none"/>
        </w:rPr>
        <w:t>（营业执照等）</w:t>
      </w:r>
    </w:p>
    <w:p>
      <w:pPr>
        <w:pStyle w:val="22"/>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pPr>
        <w:jc w:val="center"/>
        <w:rPr>
          <w:rFonts w:hint="eastAsia" w:eastAsia="宋体"/>
          <w:b/>
          <w:bCs/>
          <w:color w:val="auto"/>
          <w:sz w:val="28"/>
          <w:szCs w:val="28"/>
          <w:highlight w:val="none"/>
          <w:lang w:eastAsia="zh-CN"/>
        </w:rPr>
      </w:pPr>
      <w:bookmarkStart w:id="51" w:name="_Toc5936_WPSOffice_Level1"/>
      <w:r>
        <w:rPr>
          <w:rFonts w:hint="eastAsia"/>
          <w:b/>
          <w:bCs/>
          <w:color w:val="auto"/>
          <w:sz w:val="28"/>
          <w:szCs w:val="28"/>
          <w:highlight w:val="none"/>
          <w:lang w:eastAsia="zh-CN"/>
        </w:rPr>
        <w:t>（格式自拟）</w:t>
      </w:r>
      <w:bookmarkEnd w:id="51"/>
    </w:p>
    <w:p>
      <w:pPr>
        <w:pStyle w:val="7"/>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2" w:name="_Toc471299104"/>
      <w:bookmarkStart w:id="53"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2"/>
      <w:bookmarkEnd w:id="53"/>
      <w:r>
        <w:rPr>
          <w:rFonts w:hint="eastAsia" w:ascii="宋体" w:hAnsi="宋体" w:cs="宋体"/>
          <w:color w:val="auto"/>
          <w:sz w:val="21"/>
          <w:szCs w:val="21"/>
          <w:highlight w:val="none"/>
          <w:lang w:eastAsia="zh-CN"/>
        </w:rPr>
        <w:t>二</w:t>
      </w:r>
    </w:p>
    <w:p>
      <w:pPr>
        <w:jc w:val="center"/>
        <w:rPr>
          <w:rFonts w:hint="eastAsia"/>
          <w:b/>
          <w:bCs/>
          <w:color w:val="auto"/>
          <w:sz w:val="28"/>
          <w:szCs w:val="28"/>
          <w:highlight w:val="none"/>
        </w:rPr>
      </w:pPr>
      <w:bookmarkStart w:id="54" w:name="_Toc471299105"/>
      <w:r>
        <w:rPr>
          <w:rFonts w:hint="eastAsia"/>
          <w:b/>
          <w:bCs/>
          <w:color w:val="auto"/>
          <w:sz w:val="28"/>
          <w:szCs w:val="28"/>
          <w:highlight w:val="none"/>
          <w:lang w:eastAsia="zh-CN"/>
        </w:rPr>
        <w:t>法人授权委托书</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pPr>
        <w:pStyle w:val="2"/>
        <w:rPr>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pPr>
        <w:pStyle w:val="2"/>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pPr>
        <w:pStyle w:val="7"/>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三</w:t>
      </w:r>
    </w:p>
    <w:p>
      <w:pPr>
        <w:jc w:val="center"/>
        <w:rPr>
          <w:rFonts w:hint="eastAsia"/>
          <w:b/>
          <w:bCs/>
          <w:color w:val="auto"/>
          <w:sz w:val="28"/>
          <w:szCs w:val="28"/>
          <w:highlight w:val="none"/>
        </w:rPr>
      </w:pPr>
      <w:bookmarkStart w:id="56" w:name="_Toc148501698"/>
      <w:bookmarkStart w:id="57" w:name="_Toc516969098"/>
      <w:bookmarkStart w:id="58" w:name="_Toc3858_WPSOffice_Level1"/>
      <w:r>
        <w:rPr>
          <w:rFonts w:hint="eastAsia"/>
          <w:b/>
          <w:bCs/>
          <w:color w:val="auto"/>
          <w:sz w:val="28"/>
          <w:szCs w:val="28"/>
          <w:highlight w:val="none"/>
        </w:rPr>
        <w:t>响应函</w:t>
      </w:r>
      <w:bookmarkEnd w:id="56"/>
      <w:bookmarkEnd w:id="57"/>
      <w:bookmarkEnd w:id="58"/>
    </w:p>
    <w:p>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single"/>
          <w:lang w:val="en-US" w:eastAsia="zh-CN"/>
        </w:rPr>
        <w:t xml:space="preserve">代理人（被授权人）姓名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pStyle w:val="22"/>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pPr>
        <w:spacing w:line="360" w:lineRule="auto"/>
        <w:rPr>
          <w:rFonts w:ascii="宋体" w:hAnsi="宋体"/>
          <w:color w:val="auto"/>
          <w:sz w:val="24"/>
          <w:highlight w:val="none"/>
          <w:u w:val="single"/>
        </w:rPr>
      </w:pPr>
    </w:p>
    <w:p>
      <w:pPr>
        <w:pStyle w:val="7"/>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9" w:name="_Toc30711"/>
      <w:bookmarkStart w:id="60" w:name="_Toc471299106"/>
      <w:bookmarkStart w:id="61" w:name="_Toc417045478"/>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9"/>
      <w:bookmarkEnd w:id="60"/>
      <w:bookmarkEnd w:id="61"/>
      <w:r>
        <w:rPr>
          <w:rFonts w:hint="eastAsia" w:ascii="宋体" w:hAnsi="宋体" w:cs="宋体"/>
          <w:color w:val="auto"/>
          <w:sz w:val="21"/>
          <w:szCs w:val="21"/>
          <w:highlight w:val="none"/>
          <w:lang w:eastAsia="zh-CN"/>
        </w:rPr>
        <w:t>四</w:t>
      </w:r>
    </w:p>
    <w:p>
      <w:pPr>
        <w:jc w:val="center"/>
        <w:rPr>
          <w:rFonts w:hint="eastAsia"/>
          <w:b/>
          <w:bCs/>
          <w:color w:val="auto"/>
          <w:sz w:val="28"/>
          <w:szCs w:val="28"/>
          <w:highlight w:val="none"/>
          <w:lang w:val="zh-CN"/>
        </w:rPr>
      </w:pPr>
      <w:bookmarkStart w:id="62" w:name="_Toc1513_WPSOffice_Level1"/>
      <w:r>
        <w:rPr>
          <w:rFonts w:hint="eastAsia"/>
          <w:b/>
          <w:bCs/>
          <w:color w:val="auto"/>
          <w:sz w:val="28"/>
          <w:szCs w:val="28"/>
          <w:highlight w:val="none"/>
          <w:lang w:val="zh-CN"/>
        </w:rPr>
        <w:t>无重大违法记录声明函</w:t>
      </w:r>
      <w:bookmarkEnd w:id="62"/>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pPr>
        <w:jc w:val="center"/>
        <w:rPr>
          <w:rFonts w:hint="eastAsia"/>
          <w:b/>
          <w:bCs/>
          <w:color w:val="auto"/>
          <w:sz w:val="28"/>
          <w:szCs w:val="28"/>
          <w:highlight w:val="none"/>
          <w:lang w:val="zh-CN"/>
        </w:rPr>
      </w:pPr>
      <w:bookmarkStart w:id="63" w:name="_Toc29566_WPSOffice_Level1"/>
    </w:p>
    <w:p>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4" w:name="_Toc363199274"/>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5" w:name="_Toc471299107"/>
      <w:r>
        <w:rPr>
          <w:rFonts w:hint="eastAsia"/>
          <w:color w:val="auto"/>
          <w:sz w:val="24"/>
          <w:szCs w:val="24"/>
          <w:highlight w:val="none"/>
        </w:rPr>
        <w:br w:type="page"/>
      </w:r>
      <w:bookmarkStart w:id="66" w:name="_Toc3574"/>
      <w:r>
        <w:rPr>
          <w:rFonts w:hint="eastAsia" w:ascii="宋体" w:hAnsi="宋体" w:eastAsia="宋体" w:cs="宋体"/>
          <w:color w:val="auto"/>
          <w:sz w:val="21"/>
          <w:szCs w:val="21"/>
          <w:highlight w:val="none"/>
        </w:rPr>
        <w:t>附件</w:t>
      </w:r>
      <w:bookmarkEnd w:id="64"/>
      <w:bookmarkEnd w:id="65"/>
      <w:bookmarkEnd w:id="66"/>
      <w:r>
        <w:rPr>
          <w:rFonts w:hint="eastAsia" w:ascii="宋体" w:hAnsi="宋体" w:cs="宋体"/>
          <w:color w:val="auto"/>
          <w:sz w:val="21"/>
          <w:szCs w:val="21"/>
          <w:highlight w:val="none"/>
          <w:lang w:eastAsia="zh-CN"/>
        </w:rPr>
        <w:t>五</w:t>
      </w:r>
    </w:p>
    <w:p>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7" w:name="_Toc25238"/>
      <w:bookmarkStart w:id="68" w:name="_Toc30075"/>
      <w:bookmarkStart w:id="69" w:name="_Toc18402"/>
      <w:bookmarkStart w:id="70" w:name="_Toc27567"/>
      <w:bookmarkStart w:id="71"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7"/>
      <w:bookmarkEnd w:id="68"/>
      <w:bookmarkEnd w:id="69"/>
    </w:p>
    <w:p>
      <w:pPr>
        <w:jc w:val="center"/>
        <w:rPr>
          <w:rFonts w:ascii="宋体" w:hAnsi="宋体" w:cs="宋体"/>
          <w:bCs/>
          <w:color w:val="auto"/>
          <w:sz w:val="24"/>
          <w:szCs w:val="24"/>
          <w:highlight w:val="none"/>
          <w:lang w:val="zh-CN"/>
        </w:rPr>
      </w:pP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pPr>
              <w:rPr>
                <w:rFonts w:ascii="宋体" w:hAnsi="宋体" w:cs="宋体"/>
                <w:color w:val="auto"/>
                <w:sz w:val="24"/>
                <w:szCs w:val="24"/>
                <w:highlight w:val="none"/>
              </w:rPr>
            </w:pPr>
          </w:p>
        </w:tc>
        <w:tc>
          <w:tcPr>
            <w:tcW w:w="2222" w:type="dxa"/>
            <w:noWrap w:val="0"/>
            <w:vAlign w:val="center"/>
          </w:tcPr>
          <w:p>
            <w:pPr>
              <w:rPr>
                <w:rFonts w:ascii="宋体" w:hAnsi="宋体" w:cs="宋体"/>
                <w:color w:val="auto"/>
                <w:sz w:val="24"/>
                <w:szCs w:val="24"/>
                <w:highlight w:val="none"/>
              </w:rPr>
            </w:pPr>
          </w:p>
        </w:tc>
        <w:tc>
          <w:tcPr>
            <w:tcW w:w="1978" w:type="dxa"/>
            <w:noWrap w:val="0"/>
            <w:vAlign w:val="center"/>
          </w:tcPr>
          <w:p>
            <w:pPr>
              <w:rPr>
                <w:rFonts w:ascii="宋体" w:hAnsi="宋体" w:cs="宋体"/>
                <w:color w:val="auto"/>
                <w:sz w:val="24"/>
                <w:szCs w:val="24"/>
                <w:highlight w:val="none"/>
              </w:rPr>
            </w:pPr>
          </w:p>
        </w:tc>
      </w:tr>
    </w:tbl>
    <w:p>
      <w:pPr>
        <w:snapToGrid w:val="0"/>
        <w:spacing w:line="360" w:lineRule="auto"/>
        <w:rPr>
          <w:rFonts w:ascii="宋体" w:hAnsi="宋体" w:cs="宋体"/>
          <w:color w:val="auto"/>
          <w:sz w:val="24"/>
          <w:szCs w:val="24"/>
          <w:highlight w:val="none"/>
        </w:rPr>
      </w:pPr>
    </w:p>
    <w:p>
      <w:pPr>
        <w:snapToGrid w:val="0"/>
        <w:spacing w:line="460" w:lineRule="exact"/>
        <w:rPr>
          <w:rFonts w:ascii="宋体" w:hAnsi="宋体" w:cs="宋体"/>
          <w:b/>
          <w:bCs/>
          <w:color w:val="auto"/>
          <w:sz w:val="24"/>
          <w:szCs w:val="24"/>
          <w:highlight w:val="none"/>
        </w:rPr>
      </w:pPr>
    </w:p>
    <w:p>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pPr>
        <w:spacing w:line="460" w:lineRule="exact"/>
        <w:rPr>
          <w:rFonts w:ascii="宋体" w:hAnsi="宋体" w:cs="宋体"/>
          <w:color w:val="auto"/>
          <w:sz w:val="24"/>
          <w:szCs w:val="24"/>
          <w:highlight w:val="none"/>
        </w:rPr>
      </w:pPr>
    </w:p>
    <w:p>
      <w:pPr>
        <w:jc w:val="left"/>
        <w:rPr>
          <w:rFonts w:hint="eastAsia" w:ascii="宋体" w:hAnsi="宋体" w:cs="宋体"/>
          <w:b/>
          <w:bCs/>
          <w:color w:val="auto"/>
          <w:kern w:val="2"/>
          <w:sz w:val="21"/>
          <w:szCs w:val="21"/>
          <w:highlight w:val="none"/>
          <w:lang w:val="en-US" w:eastAsia="zh-CN" w:bidi="ar-SA"/>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0"/>
      <w:bookmarkEnd w:id="71"/>
      <w:r>
        <w:rPr>
          <w:rFonts w:hint="eastAsia" w:ascii="宋体" w:hAnsi="宋体" w:eastAsia="宋体" w:cs="宋体"/>
          <w:b/>
          <w:bCs/>
          <w:color w:val="auto"/>
          <w:kern w:val="2"/>
          <w:sz w:val="21"/>
          <w:szCs w:val="21"/>
          <w:highlight w:val="none"/>
          <w:lang w:val="en-US" w:eastAsia="zh-CN" w:bidi="ar-SA"/>
        </w:rPr>
        <w:t>六</w:t>
      </w:r>
      <w:bookmarkStart w:id="72" w:name="_Toc32017"/>
    </w:p>
    <w:p>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4"/>
        <w:tblW w:w="91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6"/>
        <w:gridCol w:w="2632"/>
        <w:gridCol w:w="1165"/>
        <w:gridCol w:w="2182"/>
        <w:gridCol w:w="22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4" w:hRule="atLeast"/>
          <w:jc w:val="center"/>
        </w:trPr>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序号</w:t>
            </w:r>
          </w:p>
        </w:tc>
        <w:tc>
          <w:tcPr>
            <w:tcW w:w="26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产品名称</w:t>
            </w:r>
          </w:p>
        </w:tc>
        <w:tc>
          <w:tcPr>
            <w:tcW w:w="116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抽查数（组）</w:t>
            </w:r>
          </w:p>
        </w:tc>
        <w:tc>
          <w:tcPr>
            <w:tcW w:w="22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单价</w:t>
            </w:r>
          </w:p>
          <w:p>
            <w:pPr>
              <w:pStyle w:val="2"/>
              <w:keepNext w:val="0"/>
              <w:keepLines w:val="0"/>
              <w:pageBreakBefore w:val="0"/>
              <w:widowControl w:val="0"/>
              <w:kinsoku/>
              <w:wordWrap/>
              <w:overflowPunct/>
              <w:topLinePunct w:val="0"/>
              <w:autoSpaceDE/>
              <w:autoSpaceDN/>
              <w:bidi w:val="0"/>
              <w:spacing w:beforeLines="0" w:after="0"/>
              <w:ind w:firstLine="0" w:firstLineChars="0"/>
              <w:jc w:val="center"/>
              <w:textAlignment w:val="auto"/>
              <w:rPr>
                <w:rFonts w:hint="default"/>
                <w:highlight w:val="none"/>
                <w:lang w:val="en-US" w:eastAsia="zh-CN"/>
              </w:rPr>
            </w:pPr>
            <w:r>
              <w:rPr>
                <w:rFonts w:hint="eastAsia" w:ascii="宋体" w:hAnsi="宋体"/>
                <w:color w:val="auto"/>
                <w:sz w:val="21"/>
                <w:szCs w:val="21"/>
                <w:highlight w:val="none"/>
                <w:lang w:val="en-US" w:eastAsia="zh-CN"/>
              </w:rPr>
              <w:t>（元/组）</w:t>
            </w:r>
          </w:p>
        </w:tc>
        <w:tc>
          <w:tcPr>
            <w:tcW w:w="2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小计</w:t>
            </w:r>
          </w:p>
          <w:p>
            <w:pPr>
              <w:pStyle w:val="2"/>
              <w:keepNext w:val="0"/>
              <w:keepLines w:val="0"/>
              <w:pageBreakBefore w:val="0"/>
              <w:widowControl w:val="0"/>
              <w:kinsoku/>
              <w:wordWrap/>
              <w:overflowPunct/>
              <w:topLinePunct w:val="0"/>
              <w:autoSpaceDE/>
              <w:autoSpaceDN/>
              <w:bidi w:val="0"/>
              <w:spacing w:beforeLines="0" w:after="0"/>
              <w:ind w:firstLine="0" w:firstLineChars="0"/>
              <w:jc w:val="center"/>
              <w:textAlignment w:val="auto"/>
              <w:rPr>
                <w:rFonts w:hint="default"/>
                <w:highlight w:val="none"/>
                <w:lang w:val="en-US" w:eastAsia="zh-CN"/>
              </w:rPr>
            </w:pPr>
            <w:r>
              <w:rPr>
                <w:rFonts w:hint="eastAsia" w:ascii="宋体" w:hAnsi="宋体"/>
                <w:color w:val="auto"/>
                <w:sz w:val="21"/>
                <w:szCs w:val="21"/>
                <w:highlight w:val="none"/>
                <w:lang w:val="en-US" w:eastAsia="zh-CN"/>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3</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firstLine="210" w:firstLineChars="1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lang w:val="en-US" w:eastAsia="zh-CN"/>
              </w:rPr>
              <w:t>4</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w:t>
            </w:r>
          </w:p>
        </w:tc>
        <w:tc>
          <w:tcPr>
            <w:tcW w:w="2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0" w:firstLineChars="0"/>
              <w:jc w:val="center"/>
              <w:textAlignment w:val="auto"/>
              <w:outlineLvl w:val="9"/>
              <w:rPr>
                <w:rFonts w:hint="eastAsia" w:ascii="宋体" w:hAnsi="宋体" w:eastAsia="宋体" w:cs="Times New Roman"/>
                <w:color w:val="auto"/>
                <w:kern w:val="2"/>
                <w:sz w:val="21"/>
                <w:szCs w:val="21"/>
                <w:highlight w:val="none"/>
                <w:lang w:val="en-US" w:eastAsia="zh-CN" w:bidi="ar-SA"/>
              </w:rPr>
            </w:pPr>
          </w:p>
        </w:tc>
        <w:tc>
          <w:tcPr>
            <w:tcW w:w="1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eastAsia="宋体"/>
                <w:color w:val="auto"/>
                <w:sz w:val="21"/>
                <w:szCs w:val="21"/>
                <w:highlight w:val="none"/>
                <w:lang w:val="en-US" w:eastAsia="zh-CN"/>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rPr>
            </w:pP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eastAsia" w:ascii="宋体" w:hAnsi="宋体"/>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8" w:hRule="atLeast"/>
          <w:jc w:val="center"/>
        </w:trPr>
        <w:tc>
          <w:tcPr>
            <w:tcW w:w="68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2" w:firstLineChars="200"/>
              <w:jc w:val="center"/>
              <w:textAlignment w:val="auto"/>
              <w:outlineLvl w:val="9"/>
              <w:rPr>
                <w:rFonts w:hint="eastAsia" w:ascii="宋体" w:hAnsi="宋体" w:eastAsia="宋体"/>
                <w:b/>
                <w:bCs/>
                <w:color w:val="auto"/>
                <w:sz w:val="21"/>
                <w:szCs w:val="21"/>
                <w:highlight w:val="none"/>
                <w:lang w:val="en-US" w:eastAsia="zh-CN"/>
              </w:rPr>
            </w:pPr>
            <w:r>
              <w:rPr>
                <w:rFonts w:hint="eastAsia" w:ascii="宋体" w:hAnsi="宋体"/>
                <w:b/>
                <w:bCs/>
                <w:color w:val="auto"/>
                <w:sz w:val="21"/>
                <w:szCs w:val="21"/>
                <w:highlight w:val="none"/>
                <w:lang w:val="en-US" w:eastAsia="zh-CN"/>
              </w:rPr>
              <w:t>总计</w:t>
            </w:r>
          </w:p>
        </w:tc>
        <w:tc>
          <w:tcPr>
            <w:tcW w:w="2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360" w:lineRule="exact"/>
              <w:ind w:right="0" w:rightChars="0"/>
              <w:jc w:val="both"/>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大写：</w:t>
            </w:r>
          </w:p>
          <w:p>
            <w:pPr>
              <w:pStyle w:val="2"/>
              <w:keepNext w:val="0"/>
              <w:keepLines w:val="0"/>
              <w:pageBreakBefore w:val="0"/>
              <w:widowControl w:val="0"/>
              <w:kinsoku/>
              <w:wordWrap/>
              <w:overflowPunct/>
              <w:topLinePunct w:val="0"/>
              <w:autoSpaceDE/>
              <w:autoSpaceDN/>
              <w:bidi w:val="0"/>
              <w:adjustRightInd/>
              <w:snapToGrid/>
              <w:spacing w:beforeLines="0" w:after="0"/>
              <w:textAlignment w:val="auto"/>
              <w:rPr>
                <w:rFonts w:hint="eastAsia"/>
                <w:sz w:val="10"/>
                <w:szCs w:val="10"/>
                <w:highlight w:val="none"/>
                <w:lang w:val="en-US" w:eastAsia="zh-CN"/>
              </w:rPr>
            </w:pPr>
          </w:p>
          <w:p>
            <w:pPr>
              <w:pStyle w:val="2"/>
              <w:ind w:left="0" w:leftChars="0" w:firstLine="0" w:firstLineChars="0"/>
              <w:rPr>
                <w:rFonts w:hint="default"/>
                <w:b/>
                <w:bCs/>
                <w:highlight w:val="none"/>
                <w:lang w:val="en-US" w:eastAsia="zh-CN"/>
              </w:rPr>
            </w:pPr>
            <w:r>
              <w:rPr>
                <w:rFonts w:hint="eastAsia" w:ascii="宋体" w:hAnsi="宋体"/>
                <w:b/>
                <w:bCs/>
                <w:color w:val="auto"/>
                <w:sz w:val="21"/>
                <w:szCs w:val="21"/>
                <w:highlight w:val="none"/>
                <w:lang w:val="en-US" w:eastAsia="zh-CN"/>
              </w:rPr>
              <w:t>小写：</w:t>
            </w:r>
          </w:p>
        </w:tc>
      </w:tr>
    </w:tbl>
    <w:p>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w:t>
      </w:r>
      <w:r>
        <w:rPr>
          <w:rFonts w:hint="eastAsia" w:ascii="宋体" w:hAnsi="宋体" w:cs="宋体"/>
          <w:bCs/>
          <w:color w:val="auto"/>
          <w:szCs w:val="21"/>
          <w:highlight w:val="none"/>
          <w:lang w:val="en-US" w:eastAsia="zh-CN"/>
        </w:rPr>
        <w:t>检测产品</w:t>
      </w:r>
      <w:r>
        <w:rPr>
          <w:rFonts w:hint="eastAsia" w:ascii="宋体" w:hAnsi="宋体" w:eastAsia="宋体" w:cs="宋体"/>
          <w:bCs/>
          <w:color w:val="auto"/>
          <w:szCs w:val="21"/>
          <w:highlight w:val="none"/>
        </w:rPr>
        <w:t>购样费</w:t>
      </w:r>
      <w:r>
        <w:rPr>
          <w:rFonts w:hint="eastAsia" w:ascii="宋体" w:hAnsi="宋体" w:cs="宋体"/>
          <w:bCs/>
          <w:color w:val="auto"/>
          <w:szCs w:val="21"/>
          <w:highlight w:val="none"/>
          <w:lang w:val="en-US" w:eastAsia="zh-CN"/>
        </w:rPr>
        <w:t>在内的</w:t>
      </w:r>
      <w:r>
        <w:rPr>
          <w:rFonts w:hint="eastAsia" w:ascii="宋体" w:hAnsi="宋体" w:eastAsia="宋体" w:cs="宋体"/>
          <w:bCs/>
          <w:color w:val="auto"/>
          <w:szCs w:val="21"/>
          <w:highlight w:val="none"/>
        </w:rPr>
        <w:t>所有费用</w:t>
      </w:r>
      <w:r>
        <w:rPr>
          <w:rFonts w:hint="eastAsia" w:ascii="宋体" w:hAnsi="宋体" w:eastAsia="宋体" w:cs="宋体"/>
          <w:bCs/>
          <w:color w:val="auto"/>
          <w:szCs w:val="21"/>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须以大写金额为准进行修正；总价金额与依据单价计算出的结果不一致的，须以单价金额为准进行修正，除单价金额小数点有明显错误。</w:t>
      </w:r>
    </w:p>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auto"/>
          <w:szCs w:val="21"/>
          <w:highlight w:val="none"/>
          <w:lang w:eastAsia="zh-CN"/>
        </w:rPr>
      </w:pPr>
    </w:p>
    <w:p>
      <w:pPr>
        <w:adjustRightInd w:val="0"/>
        <w:snapToGrid w:val="0"/>
        <w:spacing w:line="400" w:lineRule="exact"/>
        <w:rPr>
          <w:rFonts w:hint="eastAsia" w:ascii="宋体" w:hAnsi="宋体" w:cs="宋体"/>
          <w:color w:val="auto"/>
          <w:szCs w:val="21"/>
          <w:highlight w:val="none"/>
          <w:lang w:eastAsia="zh-CN"/>
        </w:rPr>
      </w:pPr>
    </w:p>
    <w:p>
      <w:pPr>
        <w:adjustRightInd w:val="0"/>
        <w:snapToGrid w:val="0"/>
        <w:spacing w:line="400" w:lineRule="exact"/>
        <w:rPr>
          <w:rFonts w:hint="eastAsia" w:ascii="宋体" w:hAnsi="宋体" w:cs="宋体"/>
          <w:color w:val="auto"/>
          <w:szCs w:val="21"/>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2"/>
    <w:p>
      <w:pPr>
        <w:jc w:val="right"/>
        <w:rPr>
          <w:rFonts w:hint="eastAsia" w:ascii="宋体" w:hAnsi="宋体" w:eastAsia="宋体" w:cs="宋体"/>
          <w:color w:val="auto"/>
          <w:sz w:val="21"/>
          <w:szCs w:val="21"/>
          <w:highlight w:val="none"/>
        </w:rPr>
      </w:pPr>
      <w:bookmarkStart w:id="73" w:name="_Toc27705"/>
    </w:p>
    <w:p>
      <w:pPr>
        <w:rPr>
          <w:rFonts w:hint="eastAsia"/>
          <w:highlight w:val="none"/>
        </w:rPr>
      </w:pPr>
    </w:p>
    <w:bookmarkEnd w:id="73"/>
    <w:p>
      <w:pPr>
        <w:jc w:val="both"/>
        <w:rPr>
          <w:rFonts w:hint="eastAsia"/>
          <w:b/>
          <w:bCs/>
          <w:color w:val="auto"/>
          <w:sz w:val="28"/>
          <w:szCs w:val="28"/>
          <w:highlight w:val="none"/>
          <w:lang w:val="zh-CN"/>
        </w:rPr>
      </w:pPr>
      <w:bookmarkStart w:id="74" w:name="_Toc1950_WPSOffice_Level1"/>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4"/>
      <w:r>
        <w:rPr>
          <w:rFonts w:hint="eastAsia"/>
          <w:b w:val="0"/>
          <w:bCs w:val="0"/>
          <w:color w:val="auto"/>
          <w:sz w:val="28"/>
          <w:szCs w:val="28"/>
          <w:highlight w:val="none"/>
          <w:lang w:val="zh-CN"/>
        </w:rPr>
        <w:t>。）</w:t>
      </w:r>
      <w:bookmarkStart w:id="75" w:name="_GoBack"/>
      <w:bookmarkEnd w:id="75"/>
    </w:p>
    <w:p>
      <w:pPr>
        <w:rPr>
          <w:highlight w:val="none"/>
        </w:rPr>
      </w:pPr>
    </w:p>
    <w:sectPr>
      <w:footerReference r:id="rId5" w:type="default"/>
      <w:pgSz w:w="11906" w:h="16838"/>
      <w:pgMar w:top="1134" w:right="1449" w:bottom="1134" w:left="1417" w:header="567"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126B38"/>
    <w:rsid w:val="00292389"/>
    <w:rsid w:val="006C38AC"/>
    <w:rsid w:val="008437C8"/>
    <w:rsid w:val="00847D88"/>
    <w:rsid w:val="00A35759"/>
    <w:rsid w:val="00A82174"/>
    <w:rsid w:val="00B03C56"/>
    <w:rsid w:val="00B17BC8"/>
    <w:rsid w:val="00B77B32"/>
    <w:rsid w:val="00EF4568"/>
    <w:rsid w:val="00F96E61"/>
    <w:rsid w:val="021B0238"/>
    <w:rsid w:val="02432F6E"/>
    <w:rsid w:val="02792B6C"/>
    <w:rsid w:val="027A38DD"/>
    <w:rsid w:val="029114A1"/>
    <w:rsid w:val="02A91D81"/>
    <w:rsid w:val="02AA1EE6"/>
    <w:rsid w:val="02D6062C"/>
    <w:rsid w:val="02E515F7"/>
    <w:rsid w:val="03150F8F"/>
    <w:rsid w:val="032062EF"/>
    <w:rsid w:val="03F43648"/>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EDD019F"/>
    <w:rsid w:val="0F2B7E44"/>
    <w:rsid w:val="0F343190"/>
    <w:rsid w:val="0F550FDD"/>
    <w:rsid w:val="0F5A2EA7"/>
    <w:rsid w:val="11013491"/>
    <w:rsid w:val="116457F1"/>
    <w:rsid w:val="117874EE"/>
    <w:rsid w:val="117C2E11"/>
    <w:rsid w:val="11BE4368"/>
    <w:rsid w:val="12005DF9"/>
    <w:rsid w:val="12256160"/>
    <w:rsid w:val="122B4561"/>
    <w:rsid w:val="123E3000"/>
    <w:rsid w:val="129A3494"/>
    <w:rsid w:val="12E67A2B"/>
    <w:rsid w:val="1324544C"/>
    <w:rsid w:val="13315BA7"/>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E8B38FB"/>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E223573"/>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811DDB"/>
    <w:rsid w:val="33BA231E"/>
    <w:rsid w:val="33CA487F"/>
    <w:rsid w:val="33D44972"/>
    <w:rsid w:val="340E6C58"/>
    <w:rsid w:val="3475759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8D49A1"/>
    <w:rsid w:val="37AB5678"/>
    <w:rsid w:val="37C5249A"/>
    <w:rsid w:val="38312E6C"/>
    <w:rsid w:val="38377AA2"/>
    <w:rsid w:val="383A14EF"/>
    <w:rsid w:val="38A42C8E"/>
    <w:rsid w:val="38B45EFC"/>
    <w:rsid w:val="38CD16AE"/>
    <w:rsid w:val="38CF23B3"/>
    <w:rsid w:val="38D036A4"/>
    <w:rsid w:val="38FC1F15"/>
    <w:rsid w:val="38FF78F0"/>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173EA"/>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7857A2"/>
    <w:rsid w:val="47AD1197"/>
    <w:rsid w:val="47E710FB"/>
    <w:rsid w:val="47ED349E"/>
    <w:rsid w:val="48641D5A"/>
    <w:rsid w:val="48B84099"/>
    <w:rsid w:val="48D30C8F"/>
    <w:rsid w:val="48F93679"/>
    <w:rsid w:val="49151A34"/>
    <w:rsid w:val="493E0515"/>
    <w:rsid w:val="49485B51"/>
    <w:rsid w:val="49665DCB"/>
    <w:rsid w:val="49710222"/>
    <w:rsid w:val="49974E74"/>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0D02B1"/>
    <w:rsid w:val="4E126F73"/>
    <w:rsid w:val="4E3C3076"/>
    <w:rsid w:val="4E5410D2"/>
    <w:rsid w:val="4EF70F4D"/>
    <w:rsid w:val="4F1C43FC"/>
    <w:rsid w:val="4F490783"/>
    <w:rsid w:val="4F6D0B44"/>
    <w:rsid w:val="4F833E54"/>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2731C"/>
    <w:rsid w:val="57474810"/>
    <w:rsid w:val="57562B24"/>
    <w:rsid w:val="575E648A"/>
    <w:rsid w:val="58070EAA"/>
    <w:rsid w:val="581B40F7"/>
    <w:rsid w:val="58565344"/>
    <w:rsid w:val="58695F8B"/>
    <w:rsid w:val="589543F5"/>
    <w:rsid w:val="589B2E3D"/>
    <w:rsid w:val="58F46A27"/>
    <w:rsid w:val="58F73401"/>
    <w:rsid w:val="595A64AD"/>
    <w:rsid w:val="59952836"/>
    <w:rsid w:val="59CF2FF0"/>
    <w:rsid w:val="59E57AC2"/>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4710D2"/>
    <w:rsid w:val="5FD27396"/>
    <w:rsid w:val="602418BF"/>
    <w:rsid w:val="60CF6C57"/>
    <w:rsid w:val="60DB1B99"/>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3972979"/>
    <w:rsid w:val="73A60334"/>
    <w:rsid w:val="73D81B5D"/>
    <w:rsid w:val="741719F8"/>
    <w:rsid w:val="745E7792"/>
    <w:rsid w:val="74832F2C"/>
    <w:rsid w:val="74837B6D"/>
    <w:rsid w:val="74C7644B"/>
    <w:rsid w:val="750951B1"/>
    <w:rsid w:val="7557332E"/>
    <w:rsid w:val="75861014"/>
    <w:rsid w:val="75926BC3"/>
    <w:rsid w:val="75A576C7"/>
    <w:rsid w:val="75FE7F3D"/>
    <w:rsid w:val="76730CB1"/>
    <w:rsid w:val="769002A5"/>
    <w:rsid w:val="76A1003E"/>
    <w:rsid w:val="76EF4421"/>
    <w:rsid w:val="770F58A9"/>
    <w:rsid w:val="7738442A"/>
    <w:rsid w:val="77A25449"/>
    <w:rsid w:val="78397A44"/>
    <w:rsid w:val="789C2226"/>
    <w:rsid w:val="78AF606F"/>
    <w:rsid w:val="78D13638"/>
    <w:rsid w:val="78EA0FC2"/>
    <w:rsid w:val="78F92F7D"/>
    <w:rsid w:val="7916292F"/>
    <w:rsid w:val="792A70D5"/>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6">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50"/>
    <w:autoRedefine/>
    <w:qFormat/>
    <w:uiPriority w:val="99"/>
    <w:pPr>
      <w:keepNext/>
      <w:keepLines/>
      <w:spacing w:before="260" w:after="260" w:line="416" w:lineRule="auto"/>
      <w:outlineLvl w:val="2"/>
    </w:pPr>
    <w:rPr>
      <w:b/>
      <w:bCs/>
      <w:sz w:val="32"/>
      <w:szCs w:val="32"/>
    </w:rPr>
  </w:style>
  <w:style w:type="paragraph" w:styleId="8">
    <w:name w:val="heading 4"/>
    <w:basedOn w:val="1"/>
    <w:next w:val="1"/>
    <w:link w:val="65"/>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customStyle="1" w:styleId="2">
    <w:name w:val="模板普通正文"/>
    <w:basedOn w:val="3"/>
    <w:autoRedefine/>
    <w:qFormat/>
    <w:uiPriority w:val="0"/>
    <w:pPr>
      <w:spacing w:beforeLines="50" w:after="10"/>
      <w:ind w:left="0" w:leftChars="0" w:firstLine="490" w:firstLineChars="175"/>
      <w:jc w:val="left"/>
    </w:pPr>
    <w:rPr>
      <w:sz w:val="20"/>
    </w:rPr>
  </w:style>
  <w:style w:type="paragraph" w:styleId="3">
    <w:name w:val="Body Text Indent"/>
    <w:basedOn w:val="1"/>
    <w:next w:val="4"/>
    <w:autoRedefine/>
    <w:unhideWhenUsed/>
    <w:qFormat/>
    <w:uiPriority w:val="0"/>
    <w:pPr>
      <w:ind w:left="420" w:leftChars="200"/>
    </w:pPr>
  </w:style>
  <w:style w:type="paragraph" w:styleId="4">
    <w:name w:val="envelope return"/>
    <w:basedOn w:val="1"/>
    <w:autoRedefine/>
    <w:unhideWhenUsed/>
    <w:qFormat/>
    <w:uiPriority w:val="99"/>
    <w:pPr>
      <w:snapToGrid w:val="0"/>
      <w:spacing w:line="360" w:lineRule="auto"/>
    </w:pPr>
    <w:rPr>
      <w:rFonts w:ascii="Arial" w:hAnsi="Arial" w:cs="Arial"/>
    </w:rPr>
  </w:style>
  <w:style w:type="paragraph" w:styleId="9">
    <w:name w:val="Normal Indent"/>
    <w:basedOn w:val="1"/>
    <w:autoRedefine/>
    <w:qFormat/>
    <w:uiPriority w:val="0"/>
    <w:pPr>
      <w:ind w:firstLine="420"/>
    </w:pPr>
  </w:style>
  <w:style w:type="paragraph" w:styleId="10">
    <w:name w:val="Body Text"/>
    <w:basedOn w:val="1"/>
    <w:next w:val="1"/>
    <w:autoRedefine/>
    <w:qFormat/>
    <w:uiPriority w:val="99"/>
    <w:pPr>
      <w:spacing w:after="120"/>
    </w:pPr>
    <w:rPr>
      <w:szCs w:val="24"/>
    </w:rPr>
  </w:style>
  <w:style w:type="paragraph" w:styleId="11">
    <w:name w:val="Block Text"/>
    <w:basedOn w:val="1"/>
    <w:autoRedefine/>
    <w:qFormat/>
    <w:uiPriority w:val="0"/>
    <w:pPr>
      <w:spacing w:line="300" w:lineRule="auto"/>
      <w:ind w:left="29" w:leftChars="12" w:right="6" w:firstLine="560" w:firstLineChars="200"/>
    </w:pPr>
    <w:rPr>
      <w:sz w:val="28"/>
    </w:rPr>
  </w:style>
  <w:style w:type="paragraph" w:styleId="12">
    <w:name w:val="Plain Text"/>
    <w:basedOn w:val="1"/>
    <w:autoRedefine/>
    <w:qFormat/>
    <w:uiPriority w:val="99"/>
    <w:rPr>
      <w:rFonts w:ascii="宋体" w:hAnsi="Courier New"/>
      <w:szCs w:val="22"/>
    </w:rPr>
  </w:style>
  <w:style w:type="paragraph" w:styleId="13">
    <w:name w:val="Date"/>
    <w:basedOn w:val="1"/>
    <w:next w:val="1"/>
    <w:autoRedefine/>
    <w:qFormat/>
    <w:uiPriority w:val="99"/>
    <w:rPr>
      <w:rFonts w:ascii="Arial" w:hAnsi="Arial" w:eastAsia="楷体_GB2312"/>
      <w:sz w:val="28"/>
    </w:rPr>
  </w:style>
  <w:style w:type="paragraph" w:styleId="14">
    <w:name w:val="Body Text Indent 2"/>
    <w:basedOn w:val="1"/>
    <w:autoRedefine/>
    <w:qFormat/>
    <w:uiPriority w:val="0"/>
    <w:pPr>
      <w:spacing w:line="590" w:lineRule="exact"/>
      <w:ind w:firstLine="880" w:firstLineChars="200"/>
    </w:pPr>
    <w:rPr>
      <w:rFonts w:eastAsia="方正仿宋_GBK"/>
    </w:rPr>
  </w:style>
  <w:style w:type="paragraph" w:styleId="15">
    <w:name w:val="Balloon Text"/>
    <w:basedOn w:val="1"/>
    <w:link w:val="64"/>
    <w:autoRedefine/>
    <w:qFormat/>
    <w:uiPriority w:val="0"/>
    <w:rPr>
      <w:sz w:val="18"/>
      <w:szCs w:val="18"/>
    </w:rPr>
  </w:style>
  <w:style w:type="paragraph" w:styleId="16">
    <w:name w:val="footer"/>
    <w:basedOn w:val="1"/>
    <w:autoRedefine/>
    <w:qFormat/>
    <w:uiPriority w:val="99"/>
    <w:pPr>
      <w:tabs>
        <w:tab w:val="center" w:pos="4153"/>
        <w:tab w:val="right" w:pos="8306"/>
      </w:tabs>
      <w:snapToGrid w:val="0"/>
      <w:jc w:val="left"/>
    </w:pPr>
    <w:rPr>
      <w:sz w:val="18"/>
      <w:szCs w:val="18"/>
    </w:rPr>
  </w:style>
  <w:style w:type="paragraph" w:styleId="1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iPriority w:val="0"/>
  </w:style>
  <w:style w:type="paragraph" w:styleId="19">
    <w:name w:val="toc 6"/>
    <w:basedOn w:val="1"/>
    <w:next w:val="1"/>
    <w:autoRedefine/>
    <w:qFormat/>
    <w:uiPriority w:val="0"/>
    <w:pPr>
      <w:ind w:left="2100" w:leftChars="1000"/>
    </w:pPr>
  </w:style>
  <w:style w:type="paragraph" w:styleId="20">
    <w:name w:val="Body Text 2"/>
    <w:basedOn w:val="1"/>
    <w:autoRedefine/>
    <w:qFormat/>
    <w:uiPriority w:val="0"/>
    <w:pPr>
      <w:spacing w:line="280" w:lineRule="exact"/>
    </w:pPr>
    <w:rPr>
      <w:rFonts w:ascii="仿宋_GB2312" w:eastAsia="仿宋_GB2312"/>
      <w:b/>
      <w:sz w:val="24"/>
    </w:rPr>
  </w:style>
  <w:style w:type="paragraph" w:styleId="21">
    <w:name w:val="Normal (Web)"/>
    <w:basedOn w:val="1"/>
    <w:autoRedefine/>
    <w:qFormat/>
    <w:uiPriority w:val="0"/>
    <w:pPr>
      <w:spacing w:before="100" w:beforeAutospacing="1" w:after="100" w:afterAutospacing="1"/>
      <w:jc w:val="left"/>
    </w:pPr>
    <w:rPr>
      <w:kern w:val="0"/>
      <w:sz w:val="24"/>
    </w:rPr>
  </w:style>
  <w:style w:type="paragraph" w:styleId="22">
    <w:name w:val="Body Text First Indent"/>
    <w:basedOn w:val="10"/>
    <w:autoRedefine/>
    <w:qFormat/>
    <w:uiPriority w:val="0"/>
    <w:pPr>
      <w:spacing w:line="400" w:lineRule="atLeast"/>
      <w:ind w:firstLine="426"/>
    </w:pPr>
    <w:rPr>
      <w:sz w:val="24"/>
      <w:szCs w:val="20"/>
    </w:rPr>
  </w:style>
  <w:style w:type="paragraph" w:styleId="23">
    <w:name w:val="Body Text First Indent 2"/>
    <w:basedOn w:val="3"/>
    <w:next w:val="1"/>
    <w:autoRedefine/>
    <w:qFormat/>
    <w:uiPriority w:val="0"/>
    <w:pPr>
      <w:spacing w:line="360" w:lineRule="auto"/>
      <w:jc w:val="left"/>
    </w:pPr>
    <w:rPr>
      <w:rFonts w:cs="宋体"/>
      <w:sz w:val="28"/>
      <w:szCs w:val="28"/>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FollowedHyperlink"/>
    <w:basedOn w:val="26"/>
    <w:autoRedefine/>
    <w:qFormat/>
    <w:uiPriority w:val="0"/>
    <w:rPr>
      <w:color w:val="800080"/>
      <w:u w:val="none"/>
    </w:rPr>
  </w:style>
  <w:style w:type="character" w:styleId="30">
    <w:name w:val="Emphasis"/>
    <w:basedOn w:val="26"/>
    <w:autoRedefine/>
    <w:qFormat/>
    <w:uiPriority w:val="0"/>
  </w:style>
  <w:style w:type="character" w:styleId="31">
    <w:name w:val="HTML Definition"/>
    <w:basedOn w:val="26"/>
    <w:autoRedefine/>
    <w:qFormat/>
    <w:uiPriority w:val="0"/>
  </w:style>
  <w:style w:type="character" w:styleId="32">
    <w:name w:val="HTML Typewriter"/>
    <w:basedOn w:val="26"/>
    <w:autoRedefine/>
    <w:qFormat/>
    <w:uiPriority w:val="0"/>
    <w:rPr>
      <w:rFonts w:ascii="monospace" w:hAnsi="monospace" w:eastAsia="monospace" w:cs="monospace"/>
      <w:sz w:val="20"/>
    </w:rPr>
  </w:style>
  <w:style w:type="character" w:styleId="33">
    <w:name w:val="HTML Acronym"/>
    <w:basedOn w:val="26"/>
    <w:autoRedefine/>
    <w:qFormat/>
    <w:uiPriority w:val="0"/>
  </w:style>
  <w:style w:type="character" w:styleId="34">
    <w:name w:val="HTML Variable"/>
    <w:basedOn w:val="26"/>
    <w:autoRedefine/>
    <w:qFormat/>
    <w:uiPriority w:val="0"/>
  </w:style>
  <w:style w:type="character" w:styleId="35">
    <w:name w:val="Hyperlink"/>
    <w:autoRedefine/>
    <w:qFormat/>
    <w:uiPriority w:val="0"/>
    <w:rPr>
      <w:color w:val="0000FF"/>
      <w:u w:val="single"/>
    </w:rPr>
  </w:style>
  <w:style w:type="character" w:styleId="36">
    <w:name w:val="HTML Code"/>
    <w:basedOn w:val="26"/>
    <w:autoRedefine/>
    <w:qFormat/>
    <w:uiPriority w:val="0"/>
    <w:rPr>
      <w:rFonts w:hint="default" w:ascii="monospace" w:hAnsi="monospace" w:eastAsia="monospace" w:cs="monospace"/>
      <w:sz w:val="20"/>
    </w:rPr>
  </w:style>
  <w:style w:type="character" w:styleId="37">
    <w:name w:val="HTML Cite"/>
    <w:basedOn w:val="26"/>
    <w:autoRedefine/>
    <w:qFormat/>
    <w:uiPriority w:val="0"/>
  </w:style>
  <w:style w:type="character" w:styleId="38">
    <w:name w:val="HTML Keyboard"/>
    <w:basedOn w:val="26"/>
    <w:autoRedefine/>
    <w:qFormat/>
    <w:uiPriority w:val="0"/>
    <w:rPr>
      <w:rFonts w:hint="default" w:ascii="monospace" w:hAnsi="monospace" w:eastAsia="monospace" w:cs="monospace"/>
      <w:sz w:val="20"/>
    </w:rPr>
  </w:style>
  <w:style w:type="character" w:styleId="39">
    <w:name w:val="HTML Sample"/>
    <w:basedOn w:val="26"/>
    <w:autoRedefine/>
    <w:qFormat/>
    <w:uiPriority w:val="0"/>
    <w:rPr>
      <w:rFonts w:hint="default" w:ascii="monospace" w:hAnsi="monospace" w:eastAsia="monospace" w:cs="monospace"/>
    </w:rPr>
  </w:style>
  <w:style w:type="paragraph" w:customStyle="1" w:styleId="40">
    <w:name w:val="Char Char Char Char"/>
    <w:basedOn w:val="1"/>
    <w:next w:val="1"/>
    <w:autoRedefine/>
    <w:qFormat/>
    <w:uiPriority w:val="0"/>
    <w:rPr>
      <w:rFonts w:ascii="Tahoma" w:hAnsi="Tahoma"/>
      <w:sz w:val="24"/>
    </w:rPr>
  </w:style>
  <w:style w:type="paragraph" w:customStyle="1" w:styleId="41">
    <w:name w:val="Default"/>
    <w:next w:val="42"/>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2">
    <w:name w:val="表格文字"/>
    <w:basedOn w:val="1"/>
    <w:autoRedefine/>
    <w:qFormat/>
    <w:uiPriority w:val="0"/>
    <w:pPr>
      <w:spacing w:line="360" w:lineRule="exact"/>
      <w:jc w:val="center"/>
    </w:pPr>
  </w:style>
  <w:style w:type="paragraph" w:customStyle="1" w:styleId="43">
    <w:name w:val="BodyText2"/>
    <w:basedOn w:val="1"/>
    <w:autoRedefine/>
    <w:qFormat/>
    <w:uiPriority w:val="0"/>
    <w:pPr>
      <w:textAlignment w:val="baseline"/>
    </w:pPr>
    <w:rPr>
      <w:rFonts w:ascii="仿宋_GB2312" w:eastAsia="仿宋_GB2312"/>
      <w:b/>
      <w:sz w:val="24"/>
    </w:rPr>
  </w:style>
  <w:style w:type="paragraph" w:customStyle="1" w:styleId="44">
    <w:name w:val="WPSOffice手动目录 1"/>
    <w:autoRedefine/>
    <w:qFormat/>
    <w:uiPriority w:val="0"/>
    <w:rPr>
      <w:rFonts w:ascii="Times New Roman" w:hAnsi="Times New Roman" w:eastAsia="宋体" w:cs="Times New Roman"/>
      <w:lang w:val="en-US" w:eastAsia="zh-CN" w:bidi="ar-SA"/>
    </w:rPr>
  </w:style>
  <w:style w:type="paragraph" w:customStyle="1" w:styleId="45">
    <w:name w:val="D&amp;L"/>
    <w:basedOn w:val="17"/>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6">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7">
    <w:name w:val="Char"/>
    <w:basedOn w:val="1"/>
    <w:autoRedefine/>
    <w:qFormat/>
    <w:uiPriority w:val="99"/>
    <w:rPr>
      <w:rFonts w:ascii="Tahoma" w:hAnsi="Tahoma"/>
      <w:sz w:val="24"/>
    </w:rPr>
  </w:style>
  <w:style w:type="paragraph" w:customStyle="1" w:styleId="48">
    <w:name w:val="样式 标题 2 + 宋体 五号 行距: 单倍行距"/>
    <w:basedOn w:val="6"/>
    <w:autoRedefine/>
    <w:qFormat/>
    <w:uiPriority w:val="99"/>
    <w:pPr>
      <w:spacing w:line="240" w:lineRule="auto"/>
    </w:pPr>
    <w:rPr>
      <w:rFonts w:ascii="宋体" w:hAnsi="宋体" w:eastAsia="宋体"/>
      <w:sz w:val="21"/>
    </w:rPr>
  </w:style>
  <w:style w:type="paragraph" w:customStyle="1" w:styleId="49">
    <w:name w:val="Char Char Char Char Char Char Char1 Char"/>
    <w:basedOn w:val="1"/>
    <w:autoRedefine/>
    <w:qFormat/>
    <w:uiPriority w:val="99"/>
    <w:rPr>
      <w:rFonts w:ascii="Tahoma" w:hAnsi="Tahoma"/>
      <w:sz w:val="24"/>
    </w:rPr>
  </w:style>
  <w:style w:type="character" w:customStyle="1" w:styleId="50">
    <w:name w:val="标题 3 Char"/>
    <w:basedOn w:val="26"/>
    <w:link w:val="7"/>
    <w:autoRedefine/>
    <w:qFormat/>
    <w:locked/>
    <w:uiPriority w:val="99"/>
    <w:rPr>
      <w:b/>
      <w:bCs/>
      <w:sz w:val="32"/>
      <w:szCs w:val="32"/>
    </w:rPr>
  </w:style>
  <w:style w:type="paragraph" w:customStyle="1" w:styleId="51">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列出段落1"/>
    <w:basedOn w:val="1"/>
    <w:autoRedefine/>
    <w:unhideWhenUsed/>
    <w:qFormat/>
    <w:uiPriority w:val="99"/>
    <w:pPr>
      <w:ind w:firstLine="420" w:firstLineChars="200"/>
    </w:pPr>
    <w:rPr>
      <w:rFonts w:ascii="Calibri" w:hAnsi="Calibri"/>
      <w:szCs w:val="22"/>
    </w:rPr>
  </w:style>
  <w:style w:type="paragraph" w:customStyle="1" w:styleId="53">
    <w:name w:val="Table Paragraph"/>
    <w:basedOn w:val="1"/>
    <w:autoRedefine/>
    <w:qFormat/>
    <w:uiPriority w:val="1"/>
  </w:style>
  <w:style w:type="paragraph" w:customStyle="1" w:styleId="54">
    <w:name w:val="_Style 1"/>
    <w:basedOn w:val="1"/>
    <w:autoRedefine/>
    <w:qFormat/>
    <w:uiPriority w:val="0"/>
    <w:pPr>
      <w:ind w:firstLine="420" w:firstLineChars="200"/>
    </w:pPr>
    <w:rPr>
      <w:rFonts w:ascii="Calibri" w:hAnsi="Calibri"/>
      <w:szCs w:val="22"/>
    </w:rPr>
  </w:style>
  <w:style w:type="paragraph" w:customStyle="1" w:styleId="55">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6">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7">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8">
    <w:name w:val="font41"/>
    <w:basedOn w:val="26"/>
    <w:autoRedefine/>
    <w:qFormat/>
    <w:uiPriority w:val="0"/>
    <w:rPr>
      <w:rFonts w:hint="default" w:ascii="Arial" w:hAnsi="Arial" w:cs="Arial"/>
      <w:color w:val="000000"/>
      <w:sz w:val="20"/>
      <w:szCs w:val="20"/>
      <w:u w:val="none"/>
    </w:rPr>
  </w:style>
  <w:style w:type="character" w:customStyle="1" w:styleId="59">
    <w:name w:val="font11"/>
    <w:basedOn w:val="26"/>
    <w:autoRedefine/>
    <w:qFormat/>
    <w:uiPriority w:val="0"/>
    <w:rPr>
      <w:rFonts w:hint="eastAsia" w:ascii="宋体" w:hAnsi="宋体" w:eastAsia="宋体" w:cs="宋体"/>
      <w:color w:val="000000"/>
      <w:sz w:val="20"/>
      <w:szCs w:val="20"/>
      <w:u w:val="none"/>
    </w:rPr>
  </w:style>
  <w:style w:type="character" w:customStyle="1" w:styleId="60">
    <w:name w:val="font71"/>
    <w:basedOn w:val="26"/>
    <w:autoRedefine/>
    <w:qFormat/>
    <w:uiPriority w:val="0"/>
    <w:rPr>
      <w:rFonts w:hint="eastAsia" w:ascii="宋体" w:hAnsi="宋体" w:eastAsia="宋体" w:cs="宋体"/>
      <w:color w:val="000000"/>
      <w:sz w:val="22"/>
      <w:szCs w:val="22"/>
      <w:u w:val="none"/>
    </w:rPr>
  </w:style>
  <w:style w:type="character" w:customStyle="1" w:styleId="61">
    <w:name w:val="font31"/>
    <w:basedOn w:val="26"/>
    <w:autoRedefine/>
    <w:qFormat/>
    <w:uiPriority w:val="0"/>
    <w:rPr>
      <w:rFonts w:hint="eastAsia" w:ascii="宋体" w:hAnsi="宋体" w:eastAsia="宋体" w:cs="宋体"/>
      <w:color w:val="000000"/>
      <w:sz w:val="22"/>
      <w:szCs w:val="22"/>
      <w:u w:val="none"/>
    </w:rPr>
  </w:style>
  <w:style w:type="character" w:customStyle="1" w:styleId="62">
    <w:name w:val="font01"/>
    <w:basedOn w:val="26"/>
    <w:autoRedefine/>
    <w:qFormat/>
    <w:uiPriority w:val="0"/>
    <w:rPr>
      <w:rFonts w:ascii="Helvetica" w:hAnsi="Helvetica" w:eastAsia="Helvetica" w:cs="Helvetica"/>
      <w:color w:val="000000"/>
      <w:sz w:val="22"/>
      <w:szCs w:val="22"/>
      <w:u w:val="none"/>
    </w:rPr>
  </w:style>
  <w:style w:type="paragraph" w:customStyle="1" w:styleId="63">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4">
    <w:name w:val="批注框文本 Char"/>
    <w:basedOn w:val="26"/>
    <w:link w:val="15"/>
    <w:autoRedefine/>
    <w:qFormat/>
    <w:uiPriority w:val="0"/>
    <w:rPr>
      <w:kern w:val="2"/>
      <w:sz w:val="18"/>
      <w:szCs w:val="18"/>
    </w:rPr>
  </w:style>
  <w:style w:type="character" w:customStyle="1" w:styleId="65">
    <w:name w:val="标题 4 Char"/>
    <w:basedOn w:val="26"/>
    <w:link w:val="8"/>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10659</Words>
  <Characters>11709</Characters>
  <Lines>99</Lines>
  <Paragraphs>27</Paragraphs>
  <TotalTime>11</TotalTime>
  <ScaleCrop>false</ScaleCrop>
  <LinksUpToDate>false</LinksUpToDate>
  <CharactersWithSpaces>12694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2023-08-15T13:24:00Z</dcterms:created>
  <dc:creator>Calm.</dc:creator>
  <cp:lastModifiedBy>Administrator</cp:lastModifiedBy>
  <cp:lastPrinted>2024-04-10T10:11:00Z</cp:lastPrinted>
  <dcterms:modified xsi:type="dcterms:W3CDTF">2024-04-16T00:49:35Z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6C8B46F321854D1D8ED5AE1D44E0129A_13</vt:lpwstr>
  </property>
</Properties>
</file>