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eastAsia" w:ascii="宋体" w:hAnsi="宋体"/>
          <w:b/>
          <w:bCs/>
          <w:sz w:val="36"/>
          <w:szCs w:val="36"/>
          <w:highlight w:val="none"/>
          <w:lang w:eastAsia="zh-CN"/>
        </w:rPr>
      </w:pPr>
      <w:r>
        <w:rPr>
          <w:rFonts w:hint="eastAsia" w:ascii="宋体" w:hAnsi="宋体"/>
          <w:b/>
          <w:bCs/>
          <w:sz w:val="36"/>
          <w:szCs w:val="36"/>
          <w:highlight w:val="none"/>
          <w:lang w:eastAsia="zh-CN"/>
        </w:rPr>
        <w:t>霍山县新城小学食堂劳务派遣项目</w:t>
      </w:r>
    </w:p>
    <w:p w14:paraId="0BB6C5F4">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default" w:ascii="宋体" w:hAnsi="宋体"/>
          <w:b/>
          <w:bCs/>
          <w:sz w:val="36"/>
          <w:szCs w:val="36"/>
          <w:highlight w:val="none"/>
          <w:lang w:eastAsia="zh-CN"/>
        </w:rPr>
      </w:pPr>
    </w:p>
    <w:p w14:paraId="7C2409C2">
      <w:pPr>
        <w:tabs>
          <w:tab w:val="left" w:pos="420"/>
        </w:tabs>
        <w:spacing w:before="498" w:beforeLines="150" w:line="200" w:lineRule="exact"/>
        <w:jc w:val="center"/>
        <w:outlineLvl w:val="9"/>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outlineLvl w:val="9"/>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3"/>
        <w:ind w:left="0" w:leftChars="0" w:firstLine="0" w:firstLineChars="0"/>
        <w:outlineLvl w:val="9"/>
        <w:rPr>
          <w:rFonts w:hint="eastAsia"/>
          <w:highlight w:val="none"/>
        </w:rPr>
      </w:pPr>
    </w:p>
    <w:p w14:paraId="2E1EDA89">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p>
    <w:p w14:paraId="6D8AAACB">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霍山县新城小学食堂劳务派遣项目</w:t>
      </w:r>
    </w:p>
    <w:p w14:paraId="31AB83E2">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lang w:val="en-US"/>
        </w:rPr>
      </w:pPr>
      <w:r>
        <w:rPr>
          <w:rFonts w:hint="eastAsia" w:ascii="宋体" w:hAnsi="DotumChe" w:cs="宋体"/>
          <w:b/>
          <w:spacing w:val="11"/>
          <w:kern w:val="0"/>
          <w:sz w:val="28"/>
          <w:szCs w:val="28"/>
          <w:highlight w:val="none"/>
        </w:rPr>
        <w:t>项目编号：</w:t>
      </w:r>
      <w:r>
        <w:rPr>
          <w:rFonts w:hint="eastAsia" w:ascii="宋体" w:hAnsi="DotumChe" w:cs="宋体"/>
          <w:b/>
          <w:spacing w:val="11"/>
          <w:kern w:val="0"/>
          <w:sz w:val="28"/>
          <w:szCs w:val="28"/>
          <w:highlight w:val="none"/>
          <w:lang w:eastAsia="zh-CN"/>
        </w:rPr>
        <w:t>DBSCG-2024-122</w:t>
      </w:r>
    </w:p>
    <w:p w14:paraId="3FA0D995">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霍山县新城小学</w:t>
      </w:r>
    </w:p>
    <w:p w14:paraId="190D34E7">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8</w:t>
      </w:r>
      <w:r>
        <w:rPr>
          <w:rFonts w:hint="eastAsia" w:ascii="宋体" w:hAnsi="DotumChe" w:cs="宋体"/>
          <w:b/>
          <w:spacing w:val="11"/>
          <w:kern w:val="0"/>
          <w:sz w:val="28"/>
          <w:szCs w:val="28"/>
          <w:highlight w:val="none"/>
        </w:rPr>
        <w:t>月</w:t>
      </w:r>
    </w:p>
    <w:p w14:paraId="63E0C343">
      <w:pPr>
        <w:jc w:val="both"/>
        <w:rPr>
          <w:b/>
          <w:sz w:val="28"/>
          <w:szCs w:val="28"/>
          <w:highlight w:val="none"/>
        </w:rPr>
      </w:pPr>
      <w:r>
        <w:rPr>
          <w:rFonts w:hint="eastAsia"/>
          <w:b/>
          <w:sz w:val="28"/>
          <w:szCs w:val="28"/>
          <w:highlight w:val="none"/>
        </w:rPr>
        <w:br w:type="page"/>
      </w:r>
    </w:p>
    <w:sdt>
      <w:sdtPr>
        <w:rPr>
          <w:rFonts w:ascii="宋体" w:hAnsi="宋体" w:eastAsia="宋体" w:cs="Times New Roman"/>
          <w:kern w:val="2"/>
          <w:sz w:val="21"/>
          <w:highlight w:val="none"/>
          <w:lang w:val="en-US" w:eastAsia="zh-CN" w:bidi="ar-SA"/>
        </w:rPr>
        <w:id w:val="1474604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490F1A17">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14:paraId="02EB6A00">
          <w:pPr>
            <w:pStyle w:val="22"/>
            <w:tabs>
              <w:tab w:val="right" w:leader="dot" w:pos="8844"/>
            </w:tabs>
            <w:rPr>
              <w:rFonts w:hint="eastAsia" w:asciiTheme="minorEastAsia" w:hAnsiTheme="minorEastAsia" w:eastAsiaTheme="minorEastAsia" w:cstheme="minorEastAsia"/>
              <w:b w:val="0"/>
              <w:bCs w:val="0"/>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_Toc549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竞争性磋商采购公告</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_Toc549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6D1D4FB">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一、供应商须知</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_Toc15791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30D8294">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_Toc27341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二、采购合同</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_Toc27341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13</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4BE3526C">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_Toc15847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w:t>
          </w:r>
          <w:r>
            <w:rPr>
              <w:rFonts w:hint="eastAsia" w:asciiTheme="minorEastAsia" w:hAnsiTheme="minorEastAsia" w:eastAsiaTheme="minorEastAsia" w:cstheme="minorEastAsia"/>
              <w:b w:val="0"/>
              <w:bCs w:val="0"/>
              <w:sz w:val="28"/>
              <w:szCs w:val="28"/>
              <w:highlight w:val="none"/>
            </w:rPr>
            <w:t>采购需求</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_Toc15847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7129E76E">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_Toc22919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四、评分标准</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_Toc22919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390C8F0D">
          <w:pPr>
            <w:pStyle w:val="22"/>
            <w:tabs>
              <w:tab w:val="right" w:leader="dot" w:pos="8844"/>
            </w:tabs>
            <w:rPr>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_Toc21797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五、响应文件格式</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_Toc21797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25</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07D23903">
          <w:pPr>
            <w:rPr>
              <w:highlight w:val="none"/>
            </w:rPr>
          </w:pPr>
          <w:r>
            <w:rPr>
              <w:highlight w:val="none"/>
            </w:rPr>
            <w:fldChar w:fldCharType="end"/>
          </w:r>
        </w:p>
      </w:sdtContent>
    </w:sdt>
    <w:p w14:paraId="10460C3A">
      <w:pPr>
        <w:rPr>
          <w:highlight w:val="none"/>
        </w:rPr>
      </w:pPr>
    </w:p>
    <w:p w14:paraId="6996F576">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lang w:eastAsia="zh-CN"/>
        </w:rPr>
        <w:sectPr>
          <w:headerReference r:id="rId3" w:type="default"/>
          <w:headerReference r:id="rId4" w:type="even"/>
          <w:footerReference r:id="rId5" w:type="even"/>
          <w:pgSz w:w="11906" w:h="16838"/>
          <w:pgMar w:top="1440" w:right="1531" w:bottom="1440" w:left="1531" w:header="851" w:footer="992" w:gutter="0"/>
          <w:cols w:space="425" w:num="1"/>
          <w:docGrid w:type="lines" w:linePitch="312" w:charSpace="0"/>
        </w:sectPr>
      </w:pPr>
      <w:bookmarkStart w:id="0" w:name="_Toc30186"/>
      <w:bookmarkStart w:id="1" w:name="_Toc549"/>
      <w:bookmarkStart w:id="2" w:name="_Toc1863"/>
    </w:p>
    <w:p w14:paraId="5E93D57B">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rPr>
      </w:pPr>
      <w:r>
        <w:rPr>
          <w:rFonts w:hint="eastAsia" w:ascii="华文中宋" w:hAnsi="华文中宋" w:eastAsia="华文中宋" w:cs="华文中宋"/>
          <w:b w:val="0"/>
          <w:bCs/>
          <w:sz w:val="44"/>
          <w:szCs w:val="44"/>
          <w:highlight w:val="none"/>
          <w:lang w:eastAsia="zh-CN"/>
        </w:rPr>
        <w:t>霍山县新城小学食堂劳务派遣项目</w:t>
      </w:r>
      <w:r>
        <w:rPr>
          <w:rFonts w:hint="eastAsia" w:ascii="华文中宋" w:hAnsi="华文中宋" w:eastAsia="华文中宋" w:cs="华文中宋"/>
          <w:b w:val="0"/>
          <w:bCs/>
          <w:sz w:val="44"/>
          <w:szCs w:val="44"/>
          <w:highlight w:val="none"/>
        </w:rPr>
        <w:t>竞争性磋商采购公告</w:t>
      </w:r>
      <w:bookmarkEnd w:id="0"/>
      <w:bookmarkEnd w:id="1"/>
      <w:bookmarkEnd w:id="2"/>
    </w:p>
    <w:p w14:paraId="118D229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霍山县新城小学食堂劳务派遣项目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DBSCG-2024-122</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40"/>
          <w:rFonts w:hint="eastAsia" w:ascii="仿宋" w:hAnsi="仿宋" w:eastAsia="仿宋" w:cs="仿宋"/>
          <w:sz w:val="28"/>
          <w:szCs w:val="28"/>
          <w:highlight w:val="none"/>
        </w:rPr>
        <w:t>获取采购文件，并于</w:t>
      </w:r>
      <w:r>
        <w:rPr>
          <w:rStyle w:val="40"/>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9</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10</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outlineLvl w:val="0"/>
        <w:rPr>
          <w:rFonts w:ascii="黑体" w:hAnsi="黑体" w:cs="黑体"/>
          <w:b w:val="0"/>
          <w:bCs/>
          <w:sz w:val="28"/>
          <w:szCs w:val="28"/>
          <w:highlight w:val="none"/>
        </w:rPr>
      </w:pPr>
      <w:bookmarkStart w:id="3" w:name="_Toc35393629"/>
      <w:bookmarkStart w:id="4" w:name="_Toc35393798"/>
      <w:bookmarkStart w:id="5" w:name="_Toc9864"/>
      <w:bookmarkStart w:id="6" w:name="_Toc21060"/>
      <w:bookmarkStart w:id="7" w:name="_Toc28359089"/>
      <w:bookmarkStart w:id="8" w:name="_Toc28359012"/>
      <w:r>
        <w:rPr>
          <w:rFonts w:hint="eastAsia" w:ascii="黑体" w:hAnsi="黑体" w:cs="黑体"/>
          <w:b w:val="0"/>
          <w:bCs/>
          <w:sz w:val="28"/>
          <w:szCs w:val="28"/>
          <w:highlight w:val="none"/>
        </w:rPr>
        <w:t>一、项目基本情况</w:t>
      </w:r>
      <w:bookmarkEnd w:id="3"/>
      <w:bookmarkEnd w:id="4"/>
      <w:bookmarkEnd w:id="5"/>
      <w:bookmarkEnd w:id="6"/>
      <w:bookmarkEnd w:id="7"/>
      <w:bookmarkEnd w:id="8"/>
    </w:p>
    <w:p w14:paraId="1633B2C7">
      <w:pPr>
        <w:spacing w:line="520" w:lineRule="exact"/>
        <w:ind w:firstLine="560" w:firstLineChars="200"/>
        <w:rPr>
          <w:rFonts w:hint="default" w:ascii="宋体" w:hAnsi="宋体" w:eastAsia="宋体" w:cs="宋体"/>
          <w:color w:val="333333"/>
          <w:sz w:val="24"/>
          <w:szCs w:val="24"/>
          <w:highlight w:val="none"/>
          <w:shd w:val="clear" w:color="auto" w:fill="FFFFFF"/>
          <w:lang w:val="en-US" w:bidi="ar"/>
        </w:rPr>
      </w:pPr>
      <w:r>
        <w:rPr>
          <w:rFonts w:hint="eastAsia" w:ascii="仿宋" w:hAnsi="仿宋" w:eastAsia="仿宋" w:cs="仿宋"/>
          <w:sz w:val="28"/>
          <w:szCs w:val="28"/>
          <w:highlight w:val="none"/>
        </w:rPr>
        <w:t>1、项目编号：</w:t>
      </w:r>
      <w:bookmarkStart w:id="171" w:name="_GoBack"/>
      <w:r>
        <w:rPr>
          <w:rFonts w:hint="eastAsia" w:ascii="仿宋" w:hAnsi="仿宋" w:eastAsia="仿宋" w:cs="仿宋"/>
          <w:sz w:val="28"/>
          <w:szCs w:val="28"/>
          <w:highlight w:val="none"/>
          <w:lang w:val="en-US" w:eastAsia="zh-CN"/>
        </w:rPr>
        <w:t>DBSCG-2024-122</w:t>
      </w:r>
      <w:bookmarkEnd w:id="171"/>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霍山县新城小学食堂劳务派遣项目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533B1FA9">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lang w:val="en-US" w:eastAsia="zh-CN"/>
        </w:rPr>
        <w:t>565400.00元/年</w:t>
      </w:r>
    </w:p>
    <w:p w14:paraId="6FAA441F">
      <w:pPr>
        <w:spacing w:line="520" w:lineRule="exact"/>
        <w:ind w:firstLine="560" w:firstLineChars="200"/>
        <w:rPr>
          <w:rFonts w:hint="default" w:ascii="仿宋" w:hAnsi="仿宋" w:eastAsia="仿宋" w:cs="仿宋"/>
          <w:sz w:val="28"/>
          <w:szCs w:val="28"/>
          <w:highlight w:val="none"/>
          <w:lang w:val="en-US" w:eastAsia="zh-CN"/>
        </w:rPr>
      </w:pPr>
      <w:r>
        <w:rPr>
          <w:rFonts w:hint="default" w:ascii="仿宋" w:hAnsi="仿宋" w:eastAsia="仿宋" w:cs="仿宋"/>
          <w:sz w:val="28"/>
          <w:szCs w:val="28"/>
          <w:highlight w:val="none"/>
          <w:lang w:val="en-US" w:eastAsia="zh-CN"/>
        </w:rPr>
        <w:t>6、资金来源：非财政性资金（师生充卡自费）</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、最高限价：</w:t>
      </w:r>
      <w:r>
        <w:rPr>
          <w:rFonts w:hint="eastAsia" w:ascii="仿宋" w:hAnsi="仿宋" w:eastAsia="仿宋" w:cs="仿宋"/>
          <w:sz w:val="28"/>
          <w:szCs w:val="28"/>
          <w:highlight w:val="none"/>
          <w:lang w:val="en-US" w:eastAsia="zh-CN"/>
        </w:rPr>
        <w:t>565400.00元/年</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、采购需求：</w:t>
      </w:r>
      <w:r>
        <w:rPr>
          <w:rFonts w:hint="eastAsia" w:ascii="仿宋" w:hAnsi="仿宋" w:eastAsia="仿宋" w:cs="仿宋"/>
          <w:sz w:val="28"/>
          <w:szCs w:val="28"/>
          <w:highlight w:val="none"/>
          <w:lang w:eastAsia="zh-CN"/>
        </w:rPr>
        <w:t>霍山县新城小学食堂劳务派遣项目，霍山县新城小学食堂提供餐饮设备，现需要选择一家劳务派遣企业经营管理，学校配齐基本运行所需要的用品用具。具体内容详见采购需求。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、是否接受联合体：本项目不接受联合体。</w:t>
      </w:r>
    </w:p>
    <w:p w14:paraId="07B7F975">
      <w:pPr>
        <w:pStyle w:val="3"/>
        <w:adjustRightInd/>
        <w:spacing w:before="0" w:after="0" w:line="520" w:lineRule="exact"/>
        <w:jc w:val="both"/>
        <w:textAlignment w:val="auto"/>
        <w:outlineLvl w:val="0"/>
        <w:rPr>
          <w:rFonts w:ascii="黑体" w:hAnsi="黑体" w:cs="黑体"/>
          <w:b w:val="0"/>
          <w:bCs/>
          <w:sz w:val="28"/>
          <w:szCs w:val="28"/>
          <w:highlight w:val="none"/>
        </w:rPr>
      </w:pPr>
      <w:bookmarkStart w:id="9" w:name="_Toc28359090"/>
      <w:bookmarkStart w:id="10" w:name="_Toc28359013"/>
      <w:bookmarkStart w:id="11" w:name="_Toc35393799"/>
      <w:bookmarkStart w:id="12" w:name="_Toc8072"/>
      <w:bookmarkStart w:id="13" w:name="_Toc35393630"/>
      <w:bookmarkStart w:id="14" w:name="_Toc1356"/>
      <w:bookmarkStart w:id="15" w:name="_Toc28359014"/>
      <w:bookmarkStart w:id="16" w:name="_Toc28359091"/>
      <w:r>
        <w:rPr>
          <w:rFonts w:hint="eastAsia" w:ascii="黑体" w:hAnsi="黑体" w:cs="黑体"/>
          <w:b w:val="0"/>
          <w:bCs/>
          <w:sz w:val="28"/>
          <w:szCs w:val="28"/>
          <w:highlight w:val="none"/>
        </w:rPr>
        <w:t>二、申请人的资格要求</w:t>
      </w:r>
      <w:bookmarkEnd w:id="9"/>
      <w:bookmarkEnd w:id="10"/>
      <w:bookmarkEnd w:id="11"/>
      <w:bookmarkEnd w:id="12"/>
      <w:bookmarkEnd w:id="13"/>
      <w:bookmarkEnd w:id="14"/>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outlineLvl w:val="0"/>
        <w:rPr>
          <w:rFonts w:ascii="黑体" w:hAnsi="黑体" w:cs="黑体"/>
          <w:b w:val="0"/>
          <w:bCs/>
          <w:sz w:val="28"/>
          <w:szCs w:val="28"/>
          <w:highlight w:val="none"/>
        </w:rPr>
      </w:pPr>
      <w:bookmarkStart w:id="17" w:name="_Toc3959"/>
      <w:bookmarkStart w:id="18" w:name="_Toc32583"/>
      <w:bookmarkStart w:id="19" w:name="_Toc35393800"/>
      <w:bookmarkStart w:id="20" w:name="_Toc35393631"/>
      <w:r>
        <w:rPr>
          <w:rFonts w:hint="eastAsia" w:ascii="黑体" w:hAnsi="黑体" w:cs="黑体"/>
          <w:b w:val="0"/>
          <w:bCs/>
          <w:sz w:val="28"/>
          <w:szCs w:val="28"/>
          <w:highlight w:val="none"/>
        </w:rPr>
        <w:t>三、获取采购文件</w:t>
      </w:r>
      <w:bookmarkEnd w:id="15"/>
      <w:bookmarkEnd w:id="16"/>
      <w:bookmarkEnd w:id="17"/>
      <w:bookmarkEnd w:id="18"/>
      <w:bookmarkEnd w:id="19"/>
      <w:bookmarkEnd w:id="20"/>
    </w:p>
    <w:p w14:paraId="1C11B39C">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30</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r>
        <w:rPr>
          <w:rFonts w:hint="eastAsia" w:ascii="仿宋" w:hAnsi="仿宋" w:eastAsia="仿宋" w:cs="仿宋"/>
          <w:sz w:val="28"/>
          <w:szCs w:val="28"/>
          <w:highlight w:val="none"/>
          <w:lang w:eastAsia="zh-CN"/>
        </w:rPr>
        <w:t>。</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outlineLvl w:val="0"/>
        <w:rPr>
          <w:rFonts w:ascii="黑体" w:hAnsi="黑体" w:cs="黑体"/>
          <w:b w:val="0"/>
          <w:bCs/>
          <w:sz w:val="28"/>
          <w:szCs w:val="28"/>
          <w:highlight w:val="none"/>
        </w:rPr>
      </w:pPr>
      <w:bookmarkStart w:id="21" w:name="_Toc28359092"/>
      <w:bookmarkStart w:id="22" w:name="_Toc35393801"/>
      <w:bookmarkStart w:id="23" w:name="_Toc28359015"/>
      <w:bookmarkStart w:id="24" w:name="_Toc35393632"/>
      <w:bookmarkStart w:id="25" w:name="_Toc7903"/>
      <w:bookmarkStart w:id="26" w:name="_Toc26077"/>
      <w:r>
        <w:rPr>
          <w:rFonts w:hint="eastAsia" w:ascii="黑体" w:hAnsi="黑体" w:cs="黑体"/>
          <w:b w:val="0"/>
          <w:bCs/>
          <w:sz w:val="28"/>
          <w:szCs w:val="28"/>
          <w:highlight w:val="none"/>
        </w:rPr>
        <w:t>四、响应文件</w:t>
      </w:r>
      <w:bookmarkEnd w:id="21"/>
      <w:bookmarkEnd w:id="22"/>
      <w:bookmarkEnd w:id="23"/>
      <w:bookmarkEnd w:id="24"/>
      <w:r>
        <w:rPr>
          <w:rFonts w:hint="eastAsia" w:ascii="黑体" w:hAnsi="黑体" w:cs="黑体"/>
          <w:b w:val="0"/>
          <w:bCs/>
          <w:sz w:val="28"/>
          <w:szCs w:val="28"/>
          <w:highlight w:val="none"/>
        </w:rPr>
        <w:t>提交</w:t>
      </w:r>
      <w:bookmarkEnd w:id="25"/>
      <w:bookmarkEnd w:id="26"/>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霍山县公共资源交易中心第二开标厅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outlineLvl w:val="0"/>
        <w:rPr>
          <w:rFonts w:ascii="黑体" w:hAnsi="黑体" w:cs="黑体"/>
          <w:b w:val="0"/>
          <w:bCs/>
          <w:sz w:val="28"/>
          <w:szCs w:val="28"/>
          <w:highlight w:val="none"/>
        </w:rPr>
      </w:pPr>
      <w:bookmarkStart w:id="27" w:name="_Toc35393802"/>
      <w:bookmarkStart w:id="28" w:name="_Toc35393633"/>
      <w:bookmarkStart w:id="29" w:name="_Toc28359093"/>
      <w:bookmarkStart w:id="30" w:name="_Toc28359016"/>
      <w:bookmarkStart w:id="31" w:name="_Toc11900"/>
      <w:bookmarkStart w:id="32" w:name="_Toc24538"/>
      <w:r>
        <w:rPr>
          <w:rFonts w:hint="eastAsia" w:ascii="黑体" w:hAnsi="黑体" w:cs="黑体"/>
          <w:b w:val="0"/>
          <w:bCs/>
          <w:sz w:val="28"/>
          <w:szCs w:val="28"/>
          <w:highlight w:val="none"/>
        </w:rPr>
        <w:t>五、</w:t>
      </w:r>
      <w:bookmarkEnd w:id="27"/>
      <w:bookmarkEnd w:id="28"/>
      <w:bookmarkEnd w:id="29"/>
      <w:bookmarkEnd w:id="30"/>
      <w:r>
        <w:rPr>
          <w:rFonts w:hint="eastAsia" w:ascii="黑体" w:hAnsi="黑体" w:cs="黑体"/>
          <w:b w:val="0"/>
          <w:bCs/>
          <w:sz w:val="28"/>
          <w:szCs w:val="28"/>
          <w:highlight w:val="none"/>
        </w:rPr>
        <w:t>响应文件开启</w:t>
      </w:r>
      <w:bookmarkEnd w:id="31"/>
      <w:bookmarkEnd w:id="32"/>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9</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3"/>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霍山县公共资源交易中心第二开标厅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outlineLvl w:val="0"/>
        <w:rPr>
          <w:rFonts w:ascii="黑体" w:hAnsi="黑体" w:cs="黑体"/>
          <w:b w:val="0"/>
          <w:bCs/>
          <w:sz w:val="28"/>
          <w:szCs w:val="28"/>
          <w:highlight w:val="none"/>
        </w:rPr>
      </w:pPr>
      <w:bookmarkStart w:id="33" w:name="_Toc28359094"/>
      <w:bookmarkStart w:id="34" w:name="_Toc35393634"/>
      <w:bookmarkStart w:id="35" w:name="_Toc9343"/>
      <w:bookmarkStart w:id="36" w:name="_Toc6439"/>
      <w:bookmarkStart w:id="37" w:name="_Toc35393803"/>
      <w:bookmarkStart w:id="38" w:name="_Toc28359017"/>
      <w:r>
        <w:rPr>
          <w:rFonts w:hint="eastAsia" w:ascii="黑体" w:hAnsi="黑体" w:cs="黑体"/>
          <w:b w:val="0"/>
          <w:bCs/>
          <w:sz w:val="28"/>
          <w:szCs w:val="28"/>
          <w:highlight w:val="none"/>
        </w:rPr>
        <w:t>六、公告期限</w:t>
      </w:r>
      <w:bookmarkEnd w:id="33"/>
      <w:bookmarkEnd w:id="34"/>
      <w:bookmarkEnd w:id="35"/>
      <w:bookmarkEnd w:id="36"/>
      <w:bookmarkEnd w:id="37"/>
      <w:bookmarkEnd w:id="38"/>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工作日</w:t>
      </w:r>
      <w:r>
        <w:rPr>
          <w:rFonts w:hint="eastAsia" w:ascii="仿宋" w:hAnsi="仿宋" w:eastAsia="仿宋" w:cs="仿宋"/>
          <w:kern w:val="0"/>
          <w:sz w:val="28"/>
          <w:szCs w:val="28"/>
          <w:highlight w:val="none"/>
        </w:rPr>
        <w:t>。</w:t>
      </w:r>
    </w:p>
    <w:p w14:paraId="477A9E33">
      <w:pPr>
        <w:spacing w:line="520" w:lineRule="exact"/>
        <w:outlineLvl w:val="0"/>
        <w:rPr>
          <w:rFonts w:ascii="黑体" w:hAnsi="黑体" w:eastAsia="黑体" w:cs="黑体"/>
          <w:sz w:val="28"/>
          <w:szCs w:val="28"/>
          <w:highlight w:val="none"/>
        </w:rPr>
      </w:pPr>
      <w:bookmarkStart w:id="39" w:name="_Toc64"/>
      <w:r>
        <w:rPr>
          <w:rFonts w:hint="eastAsia" w:ascii="黑体" w:hAnsi="黑体" w:eastAsia="黑体" w:cs="黑体"/>
          <w:sz w:val="28"/>
          <w:szCs w:val="28"/>
          <w:highlight w:val="none"/>
        </w:rPr>
        <w:t>七、</w:t>
      </w:r>
      <w:bookmarkStart w:id="40" w:name="_Toc35393804"/>
      <w:bookmarkStart w:id="41" w:name="_Toc35393635"/>
      <w:r>
        <w:rPr>
          <w:rFonts w:hint="eastAsia" w:ascii="黑体" w:hAnsi="黑体" w:eastAsia="黑体" w:cs="黑体"/>
          <w:sz w:val="28"/>
          <w:szCs w:val="28"/>
          <w:highlight w:val="none"/>
        </w:rPr>
        <w:t>其他事宜</w:t>
      </w:r>
      <w:bookmarkEnd w:id="39"/>
      <w:bookmarkEnd w:id="40"/>
      <w:bookmarkEnd w:id="41"/>
      <w:bookmarkStart w:id="42" w:name="_Toc35393805"/>
      <w:bookmarkStart w:id="43" w:name="_Toc28359018"/>
      <w:bookmarkStart w:id="44" w:name="_Toc28359095"/>
      <w:bookmarkStart w:id="45" w:name="_Toc35393636"/>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本项目所属行业：餐饮业</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outlineLvl w:val="0"/>
        <w:rPr>
          <w:rFonts w:ascii="黑体" w:hAnsi="黑体" w:cs="黑体"/>
          <w:b w:val="0"/>
          <w:bCs/>
          <w:sz w:val="28"/>
          <w:szCs w:val="28"/>
          <w:highlight w:val="none"/>
        </w:rPr>
      </w:pPr>
      <w:bookmarkStart w:id="46" w:name="_Toc21256"/>
      <w:bookmarkStart w:id="47" w:name="_Toc28317"/>
      <w:bookmarkStart w:id="48" w:name="_Toc7807"/>
      <w:r>
        <w:rPr>
          <w:rFonts w:hint="eastAsia" w:ascii="黑体" w:hAnsi="黑体" w:cs="黑体"/>
          <w:b w:val="0"/>
          <w:bCs/>
          <w:sz w:val="28"/>
          <w:szCs w:val="28"/>
          <w:highlight w:val="none"/>
        </w:rPr>
        <w:t>八、凡对本次采购提出询问，请按以下方式联系。</w:t>
      </w:r>
      <w:bookmarkEnd w:id="42"/>
      <w:bookmarkEnd w:id="43"/>
      <w:bookmarkEnd w:id="44"/>
      <w:bookmarkEnd w:id="45"/>
      <w:bookmarkEnd w:id="46"/>
      <w:bookmarkEnd w:id="47"/>
      <w:bookmarkEnd w:id="48"/>
    </w:p>
    <w:p w14:paraId="28C197CE">
      <w:pPr>
        <w:pageBreakBefore w:val="0"/>
        <w:kinsoku/>
        <w:wordWrap/>
        <w:overflowPunct/>
        <w:topLinePunct w:val="0"/>
        <w:autoSpaceDE/>
        <w:autoSpaceDN/>
        <w:bidi w:val="0"/>
        <w:adjustRightInd/>
        <w:snapToGrid/>
        <w:spacing w:before="0" w:after="0" w:line="520" w:lineRule="exact"/>
        <w:ind w:left="0" w:leftChars="0" w:firstLine="560" w:firstLineChars="200"/>
        <w:jc w:val="both"/>
        <w:textAlignment w:val="auto"/>
        <w:outlineLvl w:val="9"/>
        <w:rPr>
          <w:rFonts w:ascii="仿宋" w:hAnsi="仿宋" w:eastAsia="仿宋" w:cs="仿宋"/>
          <w:b w:val="0"/>
          <w:bCs/>
          <w:sz w:val="28"/>
          <w:szCs w:val="28"/>
          <w:highlight w:val="none"/>
        </w:rPr>
      </w:pPr>
      <w:bookmarkStart w:id="49" w:name="_Toc28359019"/>
      <w:bookmarkStart w:id="50" w:name="_Toc17822"/>
      <w:bookmarkStart w:id="51" w:name="_Toc28359096"/>
      <w:bookmarkStart w:id="52" w:name="_Toc12167"/>
      <w:bookmarkStart w:id="53" w:name="_Toc35393806"/>
      <w:bookmarkStart w:id="54" w:name="_Toc35393637"/>
      <w:r>
        <w:rPr>
          <w:rFonts w:hint="eastAsia" w:ascii="仿宋" w:hAnsi="仿宋" w:eastAsia="仿宋" w:cs="仿宋"/>
          <w:b w:val="0"/>
          <w:bCs/>
          <w:sz w:val="28"/>
          <w:szCs w:val="28"/>
          <w:highlight w:val="none"/>
        </w:rPr>
        <w:t>1、采购人信息</w:t>
      </w:r>
      <w:bookmarkEnd w:id="49"/>
      <w:bookmarkEnd w:id="50"/>
      <w:bookmarkEnd w:id="51"/>
      <w:bookmarkEnd w:id="52"/>
      <w:bookmarkEnd w:id="53"/>
      <w:bookmarkEnd w:id="54"/>
    </w:p>
    <w:p w14:paraId="23BB053E">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霍山县新城小学</w:t>
      </w:r>
    </w:p>
    <w:p w14:paraId="5436CCFA">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霍山县衡山镇山南路6号</w:t>
      </w:r>
    </w:p>
    <w:p w14:paraId="2F7628BB">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55" w:name="_Toc28359097"/>
      <w:bookmarkStart w:id="56" w:name="_Toc35393638"/>
      <w:bookmarkStart w:id="57" w:name="_Toc35393807"/>
      <w:bookmarkStart w:id="58" w:name="_Toc28359020"/>
      <w:r>
        <w:rPr>
          <w:rFonts w:hint="eastAsia" w:ascii="仿宋" w:hAnsi="仿宋" w:eastAsia="仿宋" w:cs="仿宋"/>
          <w:bCs/>
          <w:sz w:val="28"/>
          <w:szCs w:val="28"/>
          <w:highlight w:val="none"/>
          <w:lang w:val="en-US" w:eastAsia="zh-CN"/>
        </w:rPr>
        <w:t>0564-5020458</w:t>
      </w:r>
    </w:p>
    <w:p w14:paraId="6C59CAF2">
      <w:pPr>
        <w:pageBreakBefore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ascii="仿宋" w:hAnsi="仿宋" w:eastAsia="仿宋" w:cs="仿宋"/>
          <w:bCs/>
          <w:kern w:val="2"/>
          <w:sz w:val="28"/>
          <w:szCs w:val="28"/>
          <w:highlight w:val="none"/>
          <w:lang w:val="en-US" w:eastAsia="zh-CN" w:bidi="ar-SA"/>
        </w:rPr>
        <w:t>2、</w:t>
      </w:r>
      <w:r>
        <w:rPr>
          <w:rFonts w:hint="eastAsia" w:ascii="仿宋" w:hAnsi="仿宋" w:eastAsia="仿宋" w:cs="仿宋"/>
          <w:bCs/>
          <w:sz w:val="28"/>
          <w:szCs w:val="28"/>
          <w:highlight w:val="none"/>
        </w:rPr>
        <w:t>采购代理机构信息</w:t>
      </w:r>
      <w:bookmarkEnd w:id="55"/>
      <w:bookmarkEnd w:id="56"/>
      <w:bookmarkEnd w:id="57"/>
      <w:bookmarkEnd w:id="58"/>
      <w:bookmarkStart w:id="59" w:name="_Toc35393808"/>
      <w:bookmarkStart w:id="60" w:name="_Toc35393639"/>
      <w:bookmarkStart w:id="61" w:name="_Toc28359098"/>
      <w:bookmarkStart w:id="62" w:name="_Toc28359021"/>
    </w:p>
    <w:p w14:paraId="47D63E08">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9"/>
      <w:bookmarkEnd w:id="60"/>
      <w:bookmarkEnd w:id="61"/>
      <w:bookmarkEnd w:id="62"/>
    </w:p>
    <w:p w14:paraId="527A759D">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徐工</w:t>
      </w:r>
    </w:p>
    <w:p w14:paraId="24FDD6CB">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3"/>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30</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2"/>
        <w:spacing w:before="120" w:beforeLines="50" w:after="120" w:afterLines="50" w:line="560" w:lineRule="exact"/>
        <w:jc w:val="center"/>
        <w:outlineLvl w:val="0"/>
        <w:rPr>
          <w:rFonts w:ascii="宋体" w:hAnsi="宋体" w:eastAsia="宋体" w:cs="宋体"/>
          <w:b/>
          <w:bCs/>
          <w:sz w:val="30"/>
          <w:szCs w:val="30"/>
          <w:highlight w:val="none"/>
        </w:rPr>
      </w:pPr>
      <w:bookmarkStart w:id="63" w:name="_Toc21819"/>
      <w:bookmarkStart w:id="64" w:name="_Toc15791"/>
      <w:r>
        <w:rPr>
          <w:rFonts w:hint="eastAsia" w:ascii="宋体" w:hAnsi="宋体" w:eastAsia="宋体" w:cs="宋体"/>
          <w:b/>
          <w:bCs/>
          <w:sz w:val="30"/>
          <w:szCs w:val="30"/>
          <w:highlight w:val="none"/>
        </w:rPr>
        <w:t>一、供应商须知</w:t>
      </w:r>
      <w:bookmarkEnd w:id="63"/>
      <w:bookmarkEnd w:id="64"/>
    </w:p>
    <w:p w14:paraId="11E6416E">
      <w:pPr>
        <w:pStyle w:val="3"/>
        <w:spacing w:before="0" w:after="0" w:line="560" w:lineRule="exact"/>
        <w:jc w:val="center"/>
        <w:rPr>
          <w:rFonts w:ascii="宋体" w:hAnsi="宋体" w:eastAsia="宋体" w:cs="宋体"/>
          <w:sz w:val="24"/>
          <w:szCs w:val="24"/>
          <w:highlight w:val="none"/>
        </w:rPr>
      </w:pPr>
      <w:bookmarkStart w:id="65" w:name="_Toc22568"/>
      <w:r>
        <w:rPr>
          <w:rFonts w:hint="eastAsia" w:ascii="宋体" w:hAnsi="宋体" w:eastAsia="宋体" w:cs="宋体"/>
          <w:sz w:val="24"/>
          <w:szCs w:val="24"/>
          <w:highlight w:val="none"/>
        </w:rPr>
        <w:t>（一）须知前附表</w:t>
      </w:r>
      <w:bookmarkEnd w:id="65"/>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color w:val="auto"/>
                <w:sz w:val="24"/>
                <w:szCs w:val="24"/>
                <w:highlight w:val="none"/>
              </w:rPr>
            </w:pPr>
            <w:bookmarkStart w:id="66" w:name="_Toc438107743"/>
            <w:bookmarkStart w:id="67" w:name="_Toc363199267"/>
            <w:bookmarkStart w:id="68" w:name="_Toc216158627"/>
            <w:r>
              <w:rPr>
                <w:rFonts w:hint="eastAsia" w:ascii="宋体" w:hAnsi="宋体"/>
                <w:b/>
                <w:color w:val="auto"/>
                <w:sz w:val="24"/>
                <w:szCs w:val="24"/>
                <w:highlight w:val="none"/>
              </w:rPr>
              <w:t>序号</w:t>
            </w:r>
          </w:p>
        </w:tc>
        <w:tc>
          <w:tcPr>
            <w:tcW w:w="1502" w:type="dxa"/>
            <w:vAlign w:val="center"/>
          </w:tcPr>
          <w:p w14:paraId="58775CB8">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color w:val="auto"/>
                <w:kern w:val="2"/>
                <w:sz w:val="24"/>
                <w:szCs w:val="24"/>
                <w:highlight w:val="none"/>
              </w:rPr>
            </w:pPr>
            <w:r>
              <w:rPr>
                <w:rFonts w:hint="eastAsia"/>
                <w:bCs w:val="0"/>
                <w:color w:val="auto"/>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w:t>
            </w:r>
          </w:p>
        </w:tc>
        <w:tc>
          <w:tcPr>
            <w:tcW w:w="1502" w:type="dxa"/>
            <w:vAlign w:val="center"/>
          </w:tcPr>
          <w:p w14:paraId="60B508EC">
            <w:pPr>
              <w:spacing w:line="440" w:lineRule="exact"/>
              <w:jc w:val="center"/>
              <w:rPr>
                <w:rFonts w:ascii="宋体" w:hAnsi="宋体"/>
                <w:color w:val="auto"/>
                <w:sz w:val="24"/>
                <w:szCs w:val="24"/>
                <w:highlight w:val="none"/>
              </w:rPr>
            </w:pPr>
            <w:r>
              <w:rPr>
                <w:rFonts w:hint="eastAsia" w:ascii="宋体" w:hAnsi="宋体"/>
                <w:bCs/>
                <w:color w:val="auto"/>
                <w:sz w:val="24"/>
                <w:szCs w:val="24"/>
                <w:highlight w:val="none"/>
              </w:rPr>
              <w:t>采购人</w:t>
            </w:r>
          </w:p>
        </w:tc>
        <w:tc>
          <w:tcPr>
            <w:tcW w:w="7308" w:type="dxa"/>
            <w:vAlign w:val="center"/>
          </w:tcPr>
          <w:p w14:paraId="15F61590">
            <w:pPr>
              <w:spacing w:line="440" w:lineRule="exact"/>
              <w:rPr>
                <w:rFonts w:hint="default" w:eastAsia="宋体"/>
                <w:color w:val="auto"/>
                <w:sz w:val="24"/>
                <w:szCs w:val="24"/>
                <w:highlight w:val="none"/>
                <w:lang w:val="en-US" w:eastAsia="zh-CN"/>
              </w:rPr>
            </w:pPr>
            <w:r>
              <w:rPr>
                <w:rFonts w:hint="eastAsia"/>
                <w:color w:val="auto"/>
                <w:sz w:val="24"/>
                <w:szCs w:val="24"/>
                <w:highlight w:val="none"/>
                <w:lang w:val="en-US" w:eastAsia="zh-CN"/>
              </w:rPr>
              <w:t>霍山县新城小学</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2</w:t>
            </w:r>
          </w:p>
        </w:tc>
        <w:tc>
          <w:tcPr>
            <w:tcW w:w="1502" w:type="dxa"/>
            <w:vAlign w:val="center"/>
          </w:tcPr>
          <w:p w14:paraId="6E8CBDFC">
            <w:pPr>
              <w:spacing w:line="440" w:lineRule="exact"/>
              <w:jc w:val="center"/>
              <w:rPr>
                <w:rFonts w:ascii="宋体" w:hAnsi="宋体"/>
                <w:bCs/>
                <w:color w:val="auto"/>
                <w:sz w:val="24"/>
                <w:szCs w:val="24"/>
                <w:highlight w:val="none"/>
              </w:rPr>
            </w:pPr>
            <w:r>
              <w:rPr>
                <w:rFonts w:hint="eastAsia" w:ascii="宋体" w:hAnsi="宋体"/>
                <w:color w:val="auto"/>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安徽大别山工程咨询有限公司</w:t>
            </w:r>
          </w:p>
          <w:p w14:paraId="46E0FC45">
            <w:pPr>
              <w:spacing w:line="440" w:lineRule="exact"/>
              <w:jc w:val="left"/>
              <w:rPr>
                <w:rFonts w:hint="eastAsia" w:eastAsia="宋体"/>
                <w:b/>
                <w:bCs/>
                <w:color w:val="auto"/>
                <w:sz w:val="24"/>
                <w:szCs w:val="24"/>
                <w:highlight w:val="none"/>
                <w:lang w:eastAsia="zh-CN"/>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3</w:t>
            </w:r>
          </w:p>
        </w:tc>
        <w:tc>
          <w:tcPr>
            <w:tcW w:w="1502" w:type="dxa"/>
            <w:vAlign w:val="center"/>
          </w:tcPr>
          <w:p w14:paraId="2484760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响应文件提交截止日后</w:t>
            </w:r>
            <w:r>
              <w:rPr>
                <w:rFonts w:hint="eastAsia"/>
                <w:b w:val="0"/>
                <w:bCs w:val="0"/>
                <w:color w:val="auto"/>
                <w:sz w:val="24"/>
                <w:szCs w:val="24"/>
                <w:highlight w:val="none"/>
                <w:lang w:val="en-US" w:eastAsia="zh-CN"/>
              </w:rPr>
              <w:t>20</w:t>
            </w:r>
            <w:r>
              <w:rPr>
                <w:rFonts w:hint="eastAsia"/>
                <w:b w:val="0"/>
                <w:bCs w:val="0"/>
                <w:color w:val="auto"/>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4</w:t>
            </w:r>
          </w:p>
        </w:tc>
        <w:tc>
          <w:tcPr>
            <w:tcW w:w="1502" w:type="dxa"/>
            <w:vAlign w:val="center"/>
          </w:tcPr>
          <w:p w14:paraId="08DE7247">
            <w:pPr>
              <w:spacing w:line="440" w:lineRule="exact"/>
              <w:jc w:val="center"/>
              <w:rPr>
                <w:rFonts w:ascii="宋体" w:hAnsi="宋体"/>
                <w:b/>
                <w:color w:val="auto"/>
                <w:sz w:val="24"/>
                <w:szCs w:val="24"/>
                <w:highlight w:val="none"/>
              </w:rPr>
            </w:pPr>
            <w:r>
              <w:rPr>
                <w:rFonts w:hint="eastAsia" w:ascii="宋体" w:hAnsi="宋体"/>
                <w:color w:val="auto"/>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5</w:t>
            </w:r>
          </w:p>
        </w:tc>
        <w:tc>
          <w:tcPr>
            <w:tcW w:w="1502" w:type="dxa"/>
            <w:vAlign w:val="center"/>
          </w:tcPr>
          <w:p w14:paraId="5E77037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color w:val="auto"/>
                <w:sz w:val="24"/>
                <w:szCs w:val="24"/>
                <w:highlight w:val="none"/>
              </w:rPr>
            </w:pPr>
            <w:r>
              <w:rPr>
                <w:rFonts w:hint="eastAsia"/>
                <w:b w:val="0"/>
                <w:bCs w:val="0"/>
                <w:color w:val="auto"/>
                <w:sz w:val="24"/>
                <w:szCs w:val="24"/>
                <w:highlight w:val="none"/>
                <w:lang w:eastAsia="zh-CN"/>
              </w:rPr>
              <w:t>霍山县新城小学食堂劳务派遣项目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6</w:t>
            </w:r>
          </w:p>
        </w:tc>
        <w:tc>
          <w:tcPr>
            <w:tcW w:w="1502" w:type="dxa"/>
            <w:vAlign w:val="center"/>
          </w:tcPr>
          <w:p w14:paraId="0E4FB16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color w:val="auto"/>
                <w:sz w:val="24"/>
                <w:szCs w:val="24"/>
                <w:highlight w:val="none"/>
                <w:lang w:val="en-US" w:eastAsia="zh-CN"/>
              </w:rPr>
            </w:pPr>
            <w:r>
              <w:rPr>
                <w:rFonts w:hint="eastAsia"/>
                <w:b w:val="0"/>
                <w:color w:val="auto"/>
                <w:sz w:val="24"/>
                <w:szCs w:val="24"/>
                <w:highlight w:val="none"/>
                <w:lang w:eastAsia="zh-CN"/>
              </w:rPr>
              <w:t>DBSCG-2024-122</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7</w:t>
            </w:r>
          </w:p>
        </w:tc>
        <w:tc>
          <w:tcPr>
            <w:tcW w:w="1502" w:type="dxa"/>
            <w:vAlign w:val="center"/>
          </w:tcPr>
          <w:p w14:paraId="4E8E6C5E">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auto"/>
                <w:sz w:val="24"/>
                <w:szCs w:val="24"/>
                <w:highlight w:val="none"/>
                <w:shd w:val="clear" w:color="auto" w:fill="FFFFFF"/>
                <w:lang w:eastAsia="zh-CN" w:bidi="ar"/>
              </w:rPr>
            </w:pPr>
            <w:r>
              <w:rPr>
                <w:rFonts w:hint="eastAsia" w:eastAsia="宋体" w:cs="宋体"/>
                <w:b w:val="0"/>
                <w:bCs/>
                <w:color w:val="auto"/>
                <w:sz w:val="24"/>
                <w:szCs w:val="24"/>
                <w:highlight w:val="none"/>
                <w:shd w:val="clear" w:color="auto" w:fill="FFFFFF"/>
                <w:lang w:val="en-US" w:eastAsia="zh-CN" w:bidi="ar"/>
              </w:rPr>
              <w:t>按全年招标价分10个月支付劳务派遣费用，下月初支付上月的费用。具体以签定合同为准。</w:t>
            </w:r>
          </w:p>
          <w:p w14:paraId="509B3CA1">
            <w:pPr>
              <w:pStyle w:val="88"/>
              <w:widowControl w:val="0"/>
              <w:spacing w:before="0" w:beforeAutospacing="0" w:after="0" w:afterAutospacing="0" w:line="440" w:lineRule="exact"/>
              <w:jc w:val="both"/>
              <w:rPr>
                <w:rFonts w:ascii="黑体" w:hAnsi="黑体" w:eastAsia="黑体" w:cs="黑体"/>
                <w:color w:val="auto"/>
                <w:sz w:val="24"/>
                <w:szCs w:val="24"/>
                <w:highlight w:val="none"/>
              </w:rPr>
            </w:pPr>
            <w:r>
              <w:rPr>
                <w:rFonts w:hint="eastAsia" w:cs="宋体"/>
                <w:color w:val="auto"/>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8</w:t>
            </w:r>
          </w:p>
        </w:tc>
        <w:tc>
          <w:tcPr>
            <w:tcW w:w="1502" w:type="dxa"/>
            <w:vAlign w:val="center"/>
          </w:tcPr>
          <w:p w14:paraId="3A40D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color w:val="auto"/>
                <w:sz w:val="24"/>
                <w:szCs w:val="24"/>
                <w:highlight w:val="none"/>
              </w:rPr>
            </w:pPr>
            <w:r>
              <w:rPr>
                <w:rFonts w:hint="eastAsia" w:eastAsia="宋体" w:cs="宋体"/>
                <w:b w:val="0"/>
                <w:bCs/>
                <w:color w:val="auto"/>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color w:val="auto"/>
                <w:szCs w:val="24"/>
                <w:highlight w:val="none"/>
              </w:rPr>
            </w:pPr>
            <w:r>
              <w:rPr>
                <w:rFonts w:hint="eastAsia" w:ascii="宋体" w:hAnsi="宋体"/>
                <w:bCs/>
                <w:color w:val="auto"/>
                <w:kern w:val="2"/>
                <w:szCs w:val="24"/>
                <w:highlight w:val="none"/>
              </w:rPr>
              <w:t>中标服务费</w:t>
            </w:r>
          </w:p>
        </w:tc>
        <w:tc>
          <w:tcPr>
            <w:tcW w:w="7308" w:type="dxa"/>
            <w:vAlign w:val="center"/>
          </w:tcPr>
          <w:p w14:paraId="500DD7F2">
            <w:pPr>
              <w:pStyle w:val="86"/>
              <w:pBdr>
                <w:bottom w:val="none" w:color="auto" w:sz="0" w:space="0"/>
              </w:pBdr>
              <w:tabs>
                <w:tab w:val="clear" w:pos="4153"/>
                <w:tab w:val="clear" w:pos="8306"/>
              </w:tabs>
              <w:adjustRightInd/>
              <w:spacing w:line="440" w:lineRule="exact"/>
              <w:jc w:val="left"/>
              <w:textAlignment w:val="auto"/>
              <w:rPr>
                <w:rFonts w:hint="default" w:eastAsia="宋体"/>
                <w:bCs/>
                <w:color w:val="auto"/>
                <w:szCs w:val="24"/>
                <w:highlight w:val="none"/>
                <w:lang w:val="en-US" w:eastAsia="zh-CN"/>
              </w:rPr>
            </w:pPr>
            <w:r>
              <w:rPr>
                <w:rFonts w:hint="eastAsia" w:ascii="宋体" w:hAnsi="宋体" w:cs="宋体"/>
                <w:bCs/>
                <w:color w:val="auto"/>
                <w:kern w:val="2"/>
                <w:szCs w:val="24"/>
                <w:highlight w:val="none"/>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不足3000元的按3000元收取。</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10</w:t>
            </w:r>
          </w:p>
        </w:tc>
        <w:tc>
          <w:tcPr>
            <w:tcW w:w="1502" w:type="dxa"/>
            <w:vAlign w:val="center"/>
          </w:tcPr>
          <w:p w14:paraId="4693A83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履约保证金</w:t>
            </w:r>
          </w:p>
        </w:tc>
        <w:tc>
          <w:tcPr>
            <w:tcW w:w="7308" w:type="dxa"/>
            <w:vAlign w:val="center"/>
          </w:tcPr>
          <w:p w14:paraId="02E24808">
            <w:pPr>
              <w:pStyle w:val="33"/>
              <w:ind w:firstLine="0"/>
              <w:jc w:val="center"/>
              <w:rPr>
                <w:rFonts w:hint="eastAsia" w:eastAsia="宋体"/>
                <w:color w:val="auto"/>
                <w:highlight w:val="none"/>
                <w:lang w:eastAsia="zh-CN"/>
              </w:rPr>
            </w:pPr>
            <w:r>
              <w:rPr>
                <w:rFonts w:hint="eastAsia" w:ascii="宋体" w:hAnsi="宋体" w:cs="宋体"/>
                <w:bCs/>
                <w:color w:val="auto"/>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color w:val="auto"/>
                <w:kern w:val="2"/>
                <w:szCs w:val="24"/>
                <w:highlight w:val="none"/>
              </w:rPr>
            </w:pPr>
            <w:r>
              <w:rPr>
                <w:rFonts w:hint="eastAsia" w:ascii="宋体" w:hAnsi="宋体" w:cs="宋体"/>
                <w:bCs/>
                <w:color w:val="auto"/>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1、供应商若对采购文件有关内容存在理解障碍，或认为采购文件表述有模糊不清之处，可通过</w:t>
            </w:r>
            <w:r>
              <w:rPr>
                <w:rFonts w:hint="eastAsia" w:ascii="宋体" w:hAnsi="宋体"/>
                <w:bCs/>
                <w:color w:val="auto"/>
                <w:kern w:val="2"/>
                <w:szCs w:val="24"/>
                <w:highlight w:val="none"/>
                <w:lang w:val="en-US" w:eastAsia="zh-CN"/>
              </w:rPr>
              <w:t>电话联系方式向</w:t>
            </w:r>
            <w:r>
              <w:rPr>
                <w:rFonts w:hint="eastAsia" w:ascii="宋体" w:hAnsi="宋体"/>
                <w:bCs/>
                <w:color w:val="auto"/>
                <w:kern w:val="2"/>
                <w:szCs w:val="24"/>
                <w:highlight w:val="none"/>
              </w:rPr>
              <w:t>采购人（采购代理机构）提出，采购人（采购代理机构）收到供应商提问后将及时回复。该渠道仅接受关于项目的一般性疑问</w:t>
            </w:r>
            <w:r>
              <w:rPr>
                <w:rFonts w:hint="eastAsia" w:ascii="宋体" w:hAnsi="宋体"/>
                <w:b/>
                <w:color w:val="auto"/>
                <w:kern w:val="2"/>
                <w:szCs w:val="24"/>
                <w:highlight w:val="none"/>
              </w:rPr>
              <w:t>（非质疑）</w:t>
            </w:r>
            <w:r>
              <w:rPr>
                <w:rFonts w:hint="eastAsia" w:ascii="宋体" w:hAnsi="宋体"/>
                <w:bCs/>
                <w:color w:val="auto"/>
                <w:kern w:val="2"/>
                <w:szCs w:val="24"/>
                <w:highlight w:val="none"/>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1、供应商若对采购文件有关内容存在质疑，可通过</w:t>
            </w:r>
            <w:r>
              <w:rPr>
                <w:rFonts w:hint="eastAsia" w:ascii="宋体" w:hAnsi="宋体"/>
                <w:bCs/>
                <w:color w:val="auto"/>
                <w:kern w:val="2"/>
                <w:szCs w:val="24"/>
                <w:highlight w:val="none"/>
                <w:lang w:val="en-US" w:eastAsia="zh-CN"/>
              </w:rPr>
              <w:t>电子邮箱2778078886@qq.com</w:t>
            </w:r>
            <w:r>
              <w:rPr>
                <w:rFonts w:hint="eastAsia" w:ascii="宋体" w:hAnsi="宋体"/>
                <w:bCs/>
                <w:color w:val="auto"/>
                <w:kern w:val="2"/>
                <w:szCs w:val="24"/>
                <w:highlight w:val="none"/>
              </w:rPr>
              <w:t>向采购人（采购代理机构）提出。质疑文件不可匿名，须以附件形式加盖质疑人</w:t>
            </w:r>
            <w:r>
              <w:rPr>
                <w:rFonts w:hint="eastAsia" w:ascii="宋体" w:hAnsi="宋体"/>
                <w:bCs/>
                <w:color w:val="auto"/>
                <w:kern w:val="2"/>
                <w:szCs w:val="24"/>
                <w:highlight w:val="none"/>
                <w:lang w:val="en-US" w:eastAsia="zh-CN"/>
              </w:rPr>
              <w:t>公</w:t>
            </w:r>
            <w:r>
              <w:rPr>
                <w:rFonts w:hint="eastAsia" w:ascii="宋体" w:hAnsi="宋体"/>
                <w:bCs/>
                <w:color w:val="auto"/>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lang w:val="en-US" w:eastAsia="zh-CN"/>
              </w:rPr>
              <w:t>2</w:t>
            </w:r>
            <w:r>
              <w:rPr>
                <w:rFonts w:hint="eastAsia" w:ascii="宋体" w:hAnsi="宋体"/>
                <w:bCs/>
                <w:color w:val="auto"/>
                <w:kern w:val="2"/>
                <w:szCs w:val="24"/>
                <w:highlight w:val="none"/>
              </w:rPr>
              <w:t>、请各潜在供应商在响应截止时间前，务必登录“</w:t>
            </w:r>
            <w:r>
              <w:rPr>
                <w:rFonts w:hint="eastAsia" w:ascii="宋体" w:hAnsi="宋体"/>
                <w:bCs/>
                <w:color w:val="auto"/>
                <w:kern w:val="2"/>
                <w:szCs w:val="24"/>
                <w:highlight w:val="none"/>
                <w:lang w:val="en-US" w:eastAsia="zh-CN"/>
              </w:rPr>
              <w:t>安徽霍山国有资产投资控股集团有限公司（http：//ahdmig.cn/）</w:t>
            </w:r>
            <w:r>
              <w:rPr>
                <w:rFonts w:hint="eastAsia" w:ascii="宋体" w:hAnsi="宋体"/>
                <w:bCs/>
                <w:color w:val="auto"/>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（2）供应商被市场监督管理部门列入</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color w:val="auto"/>
                <w:kern w:val="2"/>
                <w:sz w:val="24"/>
                <w:szCs w:val="24"/>
                <w:highlight w:val="none"/>
                <w:lang w:val="zh-CN" w:eastAsia="zh-CN" w:bidi="ar-SA"/>
              </w:rPr>
            </w:pPr>
            <w:r>
              <w:rPr>
                <w:rFonts w:hint="eastAsia" w:ascii="Times New Roman" w:hAnsi="Times New Roman"/>
                <w:color w:val="auto"/>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sz w:val="24"/>
                <w:szCs w:val="24"/>
                <w:highlight w:val="none"/>
              </w:rPr>
              <w:t>纸质</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9" w:name="_Toc14333"/>
      <w:r>
        <w:rPr>
          <w:rFonts w:hint="eastAsia" w:ascii="宋体" w:hAnsi="宋体" w:eastAsia="宋体" w:cs="宋体"/>
          <w:sz w:val="24"/>
          <w:szCs w:val="24"/>
          <w:highlight w:val="none"/>
        </w:rPr>
        <w:t>（二）供应商资格</w:t>
      </w:r>
      <w:bookmarkEnd w:id="69"/>
    </w:p>
    <w:bookmarkEnd w:id="66"/>
    <w:p w14:paraId="021CE02C">
      <w:pPr>
        <w:pStyle w:val="33"/>
        <w:spacing w:line="520" w:lineRule="exact"/>
        <w:ind w:firstLine="480" w:firstLineChars="200"/>
        <w:rPr>
          <w:rFonts w:hint="eastAsia" w:eastAsia="宋体"/>
          <w:highlight w:val="none"/>
          <w:lang w:eastAsia="zh-CN"/>
        </w:rPr>
      </w:pPr>
      <w:bookmarkStart w:id="70" w:name="_Toc438648662"/>
      <w:bookmarkStart w:id="71" w:name="_Toc216158625"/>
      <w:bookmarkStart w:id="72" w:name="_Toc363199266"/>
      <w:r>
        <w:rPr>
          <w:rFonts w:hint="eastAsia"/>
          <w:highlight w:val="none"/>
        </w:rPr>
        <w:t>见本项目采购公告</w:t>
      </w:r>
      <w:r>
        <w:rPr>
          <w:rFonts w:hint="eastAsia"/>
          <w:highlight w:val="none"/>
          <w:lang w:eastAsia="zh-CN"/>
        </w:rPr>
        <w:t>。</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73" w:name="_Toc9435"/>
      <w:r>
        <w:rPr>
          <w:rFonts w:hint="eastAsia" w:ascii="宋体" w:hAnsi="宋体" w:eastAsia="宋体" w:cs="宋体"/>
          <w:sz w:val="24"/>
          <w:szCs w:val="24"/>
          <w:highlight w:val="none"/>
        </w:rPr>
        <w:t>（三）供应商必须提交的响应文件内容</w:t>
      </w:r>
      <w:bookmarkEnd w:id="70"/>
      <w:bookmarkEnd w:id="71"/>
      <w:bookmarkEnd w:id="72"/>
      <w:bookmarkEnd w:id="73"/>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8、磋商文件要求和供应商认为需要提供的其它说明和资料。</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74" w:name="_Toc9883"/>
      <w:r>
        <w:rPr>
          <w:rFonts w:hint="eastAsia" w:ascii="宋体" w:hAnsi="宋体" w:eastAsia="宋体" w:cs="宋体"/>
          <w:sz w:val="24"/>
          <w:szCs w:val="24"/>
          <w:highlight w:val="none"/>
        </w:rPr>
        <w:t>（四）响应文件的提交</w:t>
      </w:r>
      <w:bookmarkEnd w:id="74"/>
    </w:p>
    <w:bookmarkEnd w:id="67"/>
    <w:bookmarkEnd w:id="68"/>
    <w:p w14:paraId="2F91C0BF">
      <w:pPr>
        <w:pStyle w:val="15"/>
        <w:spacing w:line="500" w:lineRule="exact"/>
        <w:ind w:firstLine="482" w:firstLineChars="200"/>
        <w:rPr>
          <w:rFonts w:hAnsi="宋体"/>
          <w:b/>
          <w:sz w:val="24"/>
          <w:szCs w:val="24"/>
          <w:highlight w:val="none"/>
        </w:rPr>
      </w:pPr>
      <w:bookmarkStart w:id="75" w:name="_Toc32682"/>
      <w:bookmarkStart w:id="76" w:name="_Toc15950"/>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75"/>
      <w:bookmarkEnd w:id="76"/>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spacing w:before="0" w:after="0" w:line="520" w:lineRule="exact"/>
        <w:ind w:firstLine="480" w:firstLineChars="200"/>
        <w:jc w:val="both"/>
        <w:outlineLvl w:val="9"/>
        <w:rPr>
          <w:rFonts w:ascii="宋体" w:hAnsi="宋体" w:eastAsia="宋体" w:cs="宋体"/>
          <w:b w:val="0"/>
          <w:bCs/>
          <w:sz w:val="24"/>
          <w:szCs w:val="24"/>
          <w:highlight w:val="none"/>
        </w:rPr>
      </w:pPr>
      <w:bookmarkStart w:id="77" w:name="_Toc6912"/>
      <w:bookmarkStart w:id="78" w:name="_Toc8817"/>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77"/>
      <w:bookmarkEnd w:id="78"/>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9" w:name="_Toc11542"/>
      <w:bookmarkStart w:id="80" w:name="_Toc7501"/>
      <w:r>
        <w:rPr>
          <w:rFonts w:hint="eastAsia" w:ascii="宋体" w:hAnsi="宋体" w:eastAsia="宋体" w:cs="宋体"/>
          <w:sz w:val="24"/>
          <w:szCs w:val="24"/>
          <w:highlight w:val="none"/>
        </w:rPr>
        <w:t>（六）评审及异常情况处理</w:t>
      </w:r>
      <w:bookmarkEnd w:id="79"/>
      <w:bookmarkEnd w:id="80"/>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r>
        <w:rPr>
          <w:rFonts w:hint="eastAsia" w:ascii="宋体" w:hAnsi="宋体" w:cs="宋体"/>
          <w:sz w:val="24"/>
          <w:szCs w:val="24"/>
          <w:highlight w:val="none"/>
          <w:lang w:val="en-US" w:eastAsia="zh-CN"/>
        </w:rPr>
        <w:t>采购</w:t>
      </w:r>
      <w:r>
        <w:rPr>
          <w:rFonts w:hint="eastAsia" w:ascii="宋体" w:hAnsi="宋体" w:cs="宋体"/>
          <w:sz w:val="24"/>
          <w:szCs w:val="24"/>
          <w:highlight w:val="none"/>
        </w:rPr>
        <w:t>；</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安徽霍山国有资产投资控股集团有限公司（http：//ahdmig.cn/）网站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81" w:name="_Toc30632"/>
      <w:r>
        <w:rPr>
          <w:rFonts w:hint="eastAsia" w:ascii="宋体" w:hAnsi="宋体" w:eastAsia="宋体" w:cs="宋体"/>
          <w:sz w:val="24"/>
          <w:szCs w:val="24"/>
          <w:highlight w:val="none"/>
        </w:rPr>
        <w:t>（七）报价响应及答疑</w:t>
      </w:r>
      <w:bookmarkEnd w:id="81"/>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82"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82"/>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3"/>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3"/>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3"/>
        <w:spacing w:after="0" w:line="520" w:lineRule="exact"/>
        <w:ind w:firstLine="480" w:firstLineChars="200"/>
        <w:rPr>
          <w:highlight w:val="none"/>
        </w:rPr>
      </w:pPr>
      <w:r>
        <w:rPr>
          <w:rFonts w:hint="eastAsia"/>
          <w:highlight w:val="none"/>
        </w:rPr>
        <w:t>（2）《中华人民共和国政府采购法》</w:t>
      </w:r>
    </w:p>
    <w:p w14:paraId="241E5143">
      <w:pPr>
        <w:pStyle w:val="33"/>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3"/>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3"/>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3"/>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83" w:name="_Toc1832"/>
      <w:r>
        <w:rPr>
          <w:rFonts w:hint="eastAsia" w:ascii="宋体" w:hAnsi="宋体" w:eastAsia="宋体" w:cs="宋体"/>
          <w:sz w:val="24"/>
          <w:szCs w:val="24"/>
          <w:highlight w:val="none"/>
        </w:rPr>
        <w:t>（九）澄清及变更</w:t>
      </w:r>
      <w:bookmarkEnd w:id="83"/>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84" w:name="_Toc18928"/>
      <w:r>
        <w:rPr>
          <w:rFonts w:hint="eastAsia" w:ascii="宋体" w:hAnsi="宋体" w:eastAsia="宋体" w:cs="宋体"/>
          <w:sz w:val="24"/>
          <w:szCs w:val="24"/>
          <w:highlight w:val="none"/>
        </w:rPr>
        <w:t>（十）验收</w:t>
      </w:r>
      <w:bookmarkEnd w:id="84"/>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3"/>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85" w:name="_Toc3680"/>
      <w:r>
        <w:rPr>
          <w:rFonts w:hint="eastAsia" w:ascii="宋体" w:hAnsi="宋体" w:eastAsia="宋体" w:cs="宋体"/>
          <w:sz w:val="24"/>
          <w:szCs w:val="24"/>
          <w:highlight w:val="none"/>
        </w:rPr>
        <w:t>（十一）质疑</w:t>
      </w:r>
      <w:bookmarkEnd w:id="85"/>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2、质疑应在规定时限内提出：</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霍山县城关小学</w:t>
      </w:r>
      <w:r>
        <w:rPr>
          <w:rFonts w:hint="eastAsia" w:ascii="宋体" w:hAnsi="宋体"/>
          <w:bCs/>
          <w:sz w:val="24"/>
          <w:highlight w:val="none"/>
        </w:rPr>
        <w:t>提起投诉。</w:t>
      </w:r>
    </w:p>
    <w:p w14:paraId="5FBBE73F">
      <w:pPr>
        <w:spacing w:line="520" w:lineRule="exact"/>
        <w:ind w:firstLine="480" w:firstLineChars="200"/>
        <w:rPr>
          <w:rFonts w:hint="eastAsia" w:ascii="宋体" w:hAnsi="宋体"/>
          <w:bCs/>
          <w:sz w:val="24"/>
          <w:highlight w:val="none"/>
        </w:rPr>
      </w:pPr>
      <w:r>
        <w:rPr>
          <w:rFonts w:hint="eastAsia" w:ascii="宋体" w:hAnsi="宋体"/>
          <w:bCs/>
          <w:sz w:val="24"/>
          <w:highlight w:val="none"/>
        </w:rPr>
        <w:t>质疑人应在答复期满后十五个工作日内提起投诉。</w:t>
      </w:r>
    </w:p>
    <w:p w14:paraId="3D7AD3C0">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rPr>
        <w:t>7、</w:t>
      </w:r>
      <w:bookmarkStart w:id="86" w:name="_Toc216158630"/>
      <w:r>
        <w:rPr>
          <w:rFonts w:hint="eastAsia" w:ascii="宋体" w:hAnsi="宋体"/>
          <w:bCs/>
          <w:sz w:val="24"/>
          <w:highlight w:val="none"/>
          <w:lang w:val="en-US" w:eastAsia="zh-CN"/>
        </w:rPr>
        <w:t>投诉人在全国范围12个月内三次以上投诉查无实据的，由财政部门列入不良行为记录名单。</w:t>
      </w:r>
    </w:p>
    <w:p w14:paraId="6178382B">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投诉人有下列行为之一的，属于虚假、恶意投诉，由财政部门列入不良行为记录名单，禁止其1至3年内参加政府采购活动：</w:t>
      </w:r>
    </w:p>
    <w:p w14:paraId="407330A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（一）捏造事实；</w:t>
      </w:r>
    </w:p>
    <w:p w14:paraId="0AA063A7">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（二）提供虚假材料；</w:t>
      </w:r>
    </w:p>
    <w:p w14:paraId="2992A6B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（三）以非法手段取得证明材料。证据来源的合法性存在明显疑问，投诉人无法证明其取得方式合法的，视为以非法手段取得证明材料。</w:t>
      </w:r>
    </w:p>
    <w:p w14:paraId="5A90753B">
      <w:pPr>
        <w:rPr>
          <w:rFonts w:hint="eastAsia" w:ascii="宋体" w:hAnsi="宋体"/>
          <w:bCs/>
          <w:sz w:val="24"/>
          <w:highlight w:val="none"/>
          <w:lang w:val="en-US" w:eastAsia="zh-CN"/>
        </w:rPr>
      </w:pPr>
      <w:r>
        <w:rPr>
          <w:rFonts w:hint="eastAsia" w:ascii="宋体" w:hAnsi="宋体"/>
          <w:bCs/>
          <w:sz w:val="24"/>
          <w:highlight w:val="none"/>
          <w:lang w:val="en-US" w:eastAsia="zh-CN"/>
        </w:rPr>
        <w:br w:type="page"/>
      </w:r>
    </w:p>
    <w:p w14:paraId="67A0B53C">
      <w:pPr>
        <w:pStyle w:val="2"/>
        <w:spacing w:before="0" w:after="0" w:line="560" w:lineRule="exact"/>
        <w:jc w:val="center"/>
        <w:outlineLvl w:val="0"/>
        <w:rPr>
          <w:rFonts w:ascii="宋体" w:hAnsi="宋体" w:eastAsia="宋体" w:cs="宋体"/>
          <w:b/>
          <w:bCs/>
          <w:sz w:val="30"/>
          <w:szCs w:val="30"/>
          <w:highlight w:val="none"/>
        </w:rPr>
      </w:pPr>
      <w:bookmarkStart w:id="87" w:name="_Toc27341"/>
      <w:bookmarkStart w:id="88" w:name="_Toc22378"/>
      <w:r>
        <w:rPr>
          <w:rFonts w:hint="eastAsia" w:ascii="宋体" w:hAnsi="宋体" w:eastAsia="宋体" w:cs="宋体"/>
          <w:b/>
          <w:bCs/>
          <w:sz w:val="30"/>
          <w:szCs w:val="30"/>
          <w:highlight w:val="none"/>
        </w:rPr>
        <w:t>二、采购合同</w:t>
      </w:r>
      <w:bookmarkEnd w:id="87"/>
      <w:bookmarkEnd w:id="88"/>
    </w:p>
    <w:bookmarkEnd w:id="86"/>
    <w:p w14:paraId="246AD3C5">
      <w:pPr>
        <w:pStyle w:val="55"/>
        <w:tabs>
          <w:tab w:val="left" w:pos="1978"/>
          <w:tab w:val="center" w:pos="4482"/>
        </w:tabs>
        <w:jc w:val="center"/>
        <w:outlineLvl w:val="9"/>
        <w:rPr>
          <w:sz w:val="32"/>
          <w:szCs w:val="32"/>
          <w:highlight w:val="none"/>
        </w:rPr>
      </w:pPr>
      <w:bookmarkStart w:id="89" w:name="_Toc363199273"/>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5417FCF9">
      <w:pPr>
        <w:spacing w:line="480" w:lineRule="auto"/>
        <w:rPr>
          <w:sz w:val="28"/>
          <w:szCs w:val="28"/>
          <w:highlight w:val="none"/>
        </w:rPr>
      </w:pPr>
    </w:p>
    <w:p w14:paraId="1CEBCEA2">
      <w:pPr>
        <w:rPr>
          <w:rFonts w:ascii="宋体" w:hAnsi="宋体" w:eastAsia="宋体" w:cs="宋体"/>
          <w:sz w:val="28"/>
          <w:szCs w:val="28"/>
          <w:highlight w:val="none"/>
        </w:rPr>
      </w:pPr>
      <w:bookmarkStart w:id="90" w:name="_Toc17199"/>
      <w:r>
        <w:rPr>
          <w:rFonts w:hint="eastAsia" w:ascii="宋体" w:hAnsi="宋体" w:eastAsia="宋体" w:cs="宋体"/>
          <w:sz w:val="28"/>
          <w:szCs w:val="28"/>
          <w:highlight w:val="none"/>
        </w:rPr>
        <w:br w:type="page"/>
      </w:r>
    </w:p>
    <w:p w14:paraId="0A2ACA16">
      <w:pPr>
        <w:pStyle w:val="2"/>
        <w:numPr>
          <w:ilvl w:val="0"/>
          <w:numId w:val="0"/>
        </w:numPr>
        <w:spacing w:before="0" w:after="0" w:line="560" w:lineRule="exact"/>
        <w:jc w:val="center"/>
        <w:outlineLvl w:val="0"/>
        <w:rPr>
          <w:rFonts w:ascii="宋体" w:hAnsi="宋体" w:eastAsia="宋体" w:cs="宋体"/>
          <w:b/>
          <w:bCs/>
          <w:sz w:val="30"/>
          <w:szCs w:val="30"/>
          <w:highlight w:val="none"/>
        </w:rPr>
      </w:pPr>
      <w:bookmarkStart w:id="91" w:name="_Toc15847"/>
      <w:r>
        <w:rPr>
          <w:rFonts w:hint="eastAsia" w:ascii="宋体" w:hAnsi="宋体" w:eastAsia="宋体" w:cs="宋体"/>
          <w:b/>
          <w:bCs/>
          <w:kern w:val="2"/>
          <w:sz w:val="30"/>
          <w:szCs w:val="30"/>
          <w:highlight w:val="none"/>
          <w:lang w:val="en-US" w:eastAsia="zh-CN" w:bidi="ar-SA"/>
        </w:rPr>
        <w:t>三、</w:t>
      </w:r>
      <w:r>
        <w:rPr>
          <w:rFonts w:hint="eastAsia" w:ascii="宋体" w:hAnsi="宋体" w:eastAsia="宋体" w:cs="宋体"/>
          <w:b/>
          <w:bCs/>
          <w:sz w:val="30"/>
          <w:szCs w:val="30"/>
          <w:highlight w:val="none"/>
        </w:rPr>
        <w:t>采购需求</w:t>
      </w:r>
      <w:bookmarkEnd w:id="90"/>
      <w:bookmarkEnd w:id="91"/>
    </w:p>
    <w:bookmarkEnd w:id="89"/>
    <w:p w14:paraId="5C4F8149">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sz w:val="28"/>
          <w:szCs w:val="24"/>
        </w:rPr>
      </w:pPr>
      <w:bookmarkStart w:id="92" w:name="_Toc19815"/>
      <w:bookmarkStart w:id="93" w:name="_Toc21831"/>
      <w:bookmarkStart w:id="94" w:name="_Toc25911"/>
    </w:p>
    <w:p w14:paraId="7B7A81F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sz w:val="28"/>
          <w:szCs w:val="24"/>
        </w:rPr>
      </w:pPr>
      <w:r>
        <w:rPr>
          <w:rFonts w:hint="eastAsia" w:ascii="宋体" w:hAnsi="宋体" w:cs="宋体"/>
          <w:b/>
          <w:bCs/>
          <w:sz w:val="28"/>
          <w:szCs w:val="24"/>
        </w:rPr>
        <w:t>一、食堂劳务派遣模式</w:t>
      </w:r>
    </w:p>
    <w:p w14:paraId="355BB7B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根据上级部门文件精神，结合我校实际，霍山县新城小学食堂实行劳务派遣模式，由劳务派遣公司负责专业管理，为学校师生员工提供优质的膳食服务。</w:t>
      </w:r>
    </w:p>
    <w:p w14:paraId="405C268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sz w:val="28"/>
          <w:szCs w:val="24"/>
        </w:rPr>
      </w:pPr>
      <w:r>
        <w:rPr>
          <w:rFonts w:hint="eastAsia" w:ascii="宋体" w:hAnsi="宋体" w:cs="宋体"/>
          <w:b/>
          <w:bCs/>
          <w:sz w:val="28"/>
          <w:szCs w:val="24"/>
        </w:rPr>
        <w:t>二、食堂劳务派遣方案及要求</w:t>
      </w:r>
    </w:p>
    <w:p w14:paraId="550343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1、学校食堂食材执行教育局的相关配送政策。（</w:t>
      </w:r>
      <w:r>
        <w:rPr>
          <w:rFonts w:hint="eastAsia" w:ascii="宋体" w:hAnsi="宋体" w:cs="宋体"/>
          <w:sz w:val="28"/>
          <w:szCs w:val="24"/>
          <w:u w:val="single"/>
        </w:rPr>
        <w:t>具体政策参照霍教【2019】68号等文件</w:t>
      </w:r>
      <w:r>
        <w:rPr>
          <w:rFonts w:hint="eastAsia" w:ascii="宋体" w:hAnsi="宋体" w:cs="宋体"/>
          <w:sz w:val="28"/>
          <w:szCs w:val="24"/>
        </w:rPr>
        <w:t>）</w:t>
      </w:r>
    </w:p>
    <w:p w14:paraId="0F70CB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2、劳务派遣费包含：劳务派遣管理费、利润、派遣人员工资、保险、社保、加班工资、防暑降温费、税金等相关费用。</w:t>
      </w:r>
    </w:p>
    <w:p w14:paraId="61CE33A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 xml:space="preserve">3、学校与成交方采用1+1+1的模式签订合同。学校每学期对食堂饭菜质量、服务质量及卫生安全测评实行权重打分制。学期结束后对成交方服务情况组织考核打分，分制为100分。测评分低于60分的无条件退出，学校有权随时终止劳务派遣协议。 </w:t>
      </w:r>
    </w:p>
    <w:p w14:paraId="4E73990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4、食堂水、电、气等费用纳入食堂成本核算（包含在不超营业额10％内），由学校按月支付。</w:t>
      </w:r>
    </w:p>
    <w:p w14:paraId="082F58E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5、成交方必须保护好学校食堂所有财产，对招标人提供的设备、设施应及时进行保养、维护，确保其使用年限。成交方进场后如需添加其他设备，对设备、设施进行保养、维护的，需报校方同意后实施，由校方负责。成交方如退出经营，需保证房屋、设备、设施、墙面、地面等的完好，若有损坏、遗失，成交方必须承担由此产生的相关费用；成交方自行采购的其他设备，</w:t>
      </w:r>
      <w:bookmarkStart w:id="95" w:name="OLE_LINK2"/>
      <w:bookmarkStart w:id="96" w:name="OLE_LINK1"/>
      <w:r>
        <w:rPr>
          <w:rFonts w:hint="eastAsia" w:ascii="宋体" w:hAnsi="宋体" w:cs="宋体"/>
          <w:sz w:val="28"/>
          <w:szCs w:val="24"/>
        </w:rPr>
        <w:t>由成交</w:t>
      </w:r>
      <w:bookmarkEnd w:id="95"/>
      <w:bookmarkEnd w:id="96"/>
      <w:r>
        <w:rPr>
          <w:rFonts w:hint="eastAsia" w:ascii="宋体" w:hAnsi="宋体" w:cs="宋体"/>
          <w:sz w:val="28"/>
          <w:szCs w:val="24"/>
        </w:rPr>
        <w:t xml:space="preserve">方自行处理。 </w:t>
      </w:r>
    </w:p>
    <w:p w14:paraId="106F3F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6、食堂经营管理要按照“教育部等十五部门关于印发《农村义务教育学生营养改善计划实施细则》等五个配套文件的通知”、《学校食堂与学生集体用餐卫生管理规定》、《食品安全法》等法律、法规及规定进行管理。</w:t>
      </w:r>
    </w:p>
    <w:p w14:paraId="44AC31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7、成交方不得将食堂私自转让或委托他人经营，更不能在校内搞不法经营。一经发现，招标方有权取消其经营资格，并视情况轻重扣除全额或部分服务质量考评金。</w:t>
      </w:r>
    </w:p>
    <w:p w14:paraId="3654E2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8、餐厅、操作间、食材储藏室等均属于成交人管理范围，成交人需负责承包区域内的卫生清扫和安全管理。劳务派遣人员要遵守餐饮法规以及</w:t>
      </w:r>
      <w:r>
        <w:rPr>
          <w:rFonts w:hint="eastAsia" w:ascii="宋体" w:hAnsi="宋体" w:cs="宋体"/>
          <w:color w:val="000000"/>
          <w:sz w:val="28"/>
          <w:szCs w:val="24"/>
        </w:rPr>
        <w:t>校纪、校规</w:t>
      </w:r>
      <w:r>
        <w:rPr>
          <w:rFonts w:hint="eastAsia" w:ascii="宋体" w:hAnsi="宋体" w:cs="宋体"/>
          <w:sz w:val="28"/>
          <w:szCs w:val="24"/>
        </w:rPr>
        <w:t>，服从学校管理，为师生提供热情周到服务，不得与师生发生争吵或冲突，如发现违规者，学校有权视情节提出处理意见。</w:t>
      </w:r>
    </w:p>
    <w:p w14:paraId="22F49A1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9、所有工作人员需持有健康证上岗，卫生检疫、体检等费用均由成交人自理，食堂的卫生防疫、就餐环境必须达到卫生监督部门制订的标准，学校有权监督检查。</w:t>
      </w:r>
    </w:p>
    <w:p w14:paraId="751D6B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10、成交方劳务派遣服务所需用工必须符合《劳动合同法》要求，依法用工。如发生用工纠纷，由成交方自行承担责任。</w:t>
      </w:r>
    </w:p>
    <w:p w14:paraId="128016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ascii="宋体" w:hAnsi="宋体" w:cs="宋体"/>
          <w:color w:val="000000"/>
          <w:sz w:val="28"/>
          <w:szCs w:val="28"/>
        </w:rPr>
        <w:t>11、</w:t>
      </w:r>
      <w:r>
        <w:rPr>
          <w:rFonts w:hint="eastAsia"/>
          <w:sz w:val="28"/>
          <w:szCs w:val="28"/>
        </w:rPr>
        <w:t>学校负责财务管理和食材采购，食堂使用食材由县中小学食堂集中配送单位集中配送，用于食堂的低值易耗品、维保维修、劳保用品等由校方承担相关费用。</w:t>
      </w:r>
    </w:p>
    <w:p w14:paraId="38B9FA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12、成交方严格按校方要求的时间供餐，保证各餐点（早餐、中餐、晚餐）准点开膳，保证饭菜足量、优质、卫生，成交方要根据营养膳食需要、师生饮食特点、季节变化等需求，制定科学的周食谱报学校审核，审核通过后成交人需严格执行，不得擅自改变。</w:t>
      </w:r>
    </w:p>
    <w:p w14:paraId="53906A6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13、提供优质服务，优化品种结构，开展多层次餐饮服务，满足师生的需求，早餐要手工制作，确保新鲜；中、晚餐菜品为1大荤、1小荤、1素、1营养汤。</w:t>
      </w:r>
    </w:p>
    <w:p w14:paraId="098ECDD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14、成交方违反有关法律法规，造成重大食物中毒事故或安全事故的，由上级行政机关或公安部门依法追究其相关责任人的民事及刑事责任并承担罚金及赔偿金，同时终止合同。</w:t>
      </w:r>
    </w:p>
    <w:p w14:paraId="1FDE9C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color w:val="000000"/>
          <w:sz w:val="28"/>
          <w:szCs w:val="24"/>
        </w:rPr>
      </w:pPr>
      <w:r>
        <w:rPr>
          <w:rFonts w:hint="eastAsia" w:ascii="宋体" w:hAnsi="宋体" w:cs="宋体"/>
          <w:color w:val="000000"/>
          <w:sz w:val="28"/>
          <w:szCs w:val="24"/>
        </w:rPr>
        <w:t>15、成交方疏于管理、玩忽职守，造成学生食物中毒或者其他食源性疾患或重大安全事故的，成交方应承担全部的法律责任及民事赔偿和罚金，同时终止合同。</w:t>
      </w:r>
    </w:p>
    <w:p w14:paraId="3CCE87A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16、学校不定期地对食堂的经营服务质量进行检查评估，为确保饮食安全，学校有权对饭菜及服务质量进行监督和提出改善意见，对在检查中发现有违反规定的，及时发出整改意见书予以通告；对屡教不改者，学校有权终止合同。</w:t>
      </w:r>
    </w:p>
    <w:p w14:paraId="6C1E06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sz w:val="28"/>
          <w:szCs w:val="28"/>
        </w:rPr>
      </w:pPr>
      <w:r>
        <w:rPr>
          <w:rFonts w:hint="eastAsia" w:ascii="宋体" w:hAnsi="宋体" w:cs="宋体"/>
          <w:sz w:val="28"/>
          <w:szCs w:val="28"/>
        </w:rPr>
        <w:t>17、</w:t>
      </w:r>
      <w:r>
        <w:rPr>
          <w:rFonts w:hint="eastAsia" w:ascii="宋体" w:hAnsi="宋体"/>
          <w:sz w:val="28"/>
          <w:szCs w:val="28"/>
        </w:rPr>
        <w:t>成交方原则上不得增加或减少工人人数、工人工资，如特殊原因需要变动，必须经甲方同意。如校方要求临时加班，由成交方负责人员的安排调配，校方不再另外支付费用。</w:t>
      </w:r>
    </w:p>
    <w:p w14:paraId="3F8A50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sz w:val="28"/>
          <w:szCs w:val="28"/>
        </w:rPr>
      </w:pPr>
      <w:r>
        <w:rPr>
          <w:rFonts w:hint="eastAsia" w:ascii="宋体" w:hAnsi="宋体" w:cs="宋体"/>
          <w:sz w:val="28"/>
          <w:szCs w:val="28"/>
        </w:rPr>
        <w:t>18、</w:t>
      </w:r>
      <w:r>
        <w:rPr>
          <w:rFonts w:hint="eastAsia" w:ascii="宋体" w:hAnsi="宋体"/>
          <w:sz w:val="28"/>
          <w:szCs w:val="28"/>
        </w:rPr>
        <w:t>在工作期间如发生伤亡事故等，由成交方负责处理，并承担全部责任，与校方无关。</w:t>
      </w:r>
    </w:p>
    <w:p w14:paraId="5E7ACE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sz w:val="28"/>
          <w:szCs w:val="28"/>
        </w:rPr>
      </w:pPr>
      <w:r>
        <w:rPr>
          <w:rFonts w:hint="eastAsia" w:ascii="宋体" w:hAnsi="宋体"/>
          <w:sz w:val="28"/>
          <w:szCs w:val="28"/>
        </w:rPr>
        <w:t>19、食堂在校就餐员工都需按校方规定交纳餐费，与师生同餐同价。</w:t>
      </w:r>
    </w:p>
    <w:p w14:paraId="62B8ED9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sz w:val="28"/>
          <w:szCs w:val="24"/>
        </w:rPr>
      </w:pPr>
      <w:r>
        <w:rPr>
          <w:rFonts w:hint="eastAsia" w:ascii="宋体" w:hAnsi="宋体" w:cs="宋体"/>
          <w:b/>
          <w:bCs/>
          <w:sz w:val="28"/>
          <w:szCs w:val="24"/>
        </w:rPr>
        <w:t>三、学校食堂实际用工及工资情况</w:t>
      </w:r>
    </w:p>
    <w:p w14:paraId="152DF0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color w:val="000000"/>
          <w:sz w:val="28"/>
          <w:szCs w:val="24"/>
        </w:rPr>
      </w:pPr>
      <w:r>
        <w:rPr>
          <w:rFonts w:hint="eastAsia" w:ascii="宋体" w:hAnsi="宋体" w:cs="宋体"/>
          <w:sz w:val="28"/>
          <w:szCs w:val="24"/>
        </w:rPr>
        <w:t>霍山县新城小学预计2024年秋学期在校就餐学生约1400人、教职工约50人，计1450人左右，学校提供早、中、晚餐，需用食堂员工20人，食堂员工与师生比约为1：72.5(食堂员工随实际就餐人数相应调整，</w:t>
      </w:r>
      <w:bookmarkStart w:id="97" w:name="_Hlk174777829"/>
      <w:r>
        <w:rPr>
          <w:rFonts w:hint="eastAsia" w:ascii="宋体" w:hAnsi="宋体" w:cs="宋体"/>
          <w:sz w:val="28"/>
          <w:szCs w:val="24"/>
        </w:rPr>
        <w:t>如果每学期就餐人数增加或减少未超过5%，按原合同要求不变，如果每学期就餐人数增加或减少超过5%，</w:t>
      </w:r>
      <w:bookmarkEnd w:id="97"/>
      <w:r>
        <w:rPr>
          <w:rFonts w:hint="eastAsia" w:ascii="宋体" w:hAnsi="宋体" w:cs="宋体"/>
          <w:sz w:val="28"/>
          <w:szCs w:val="24"/>
        </w:rPr>
        <w:t>按以上员工与师生比相应增减。）食堂劳务派遣用工工资为每月50500元，按每年9个月计算，</w:t>
      </w:r>
      <w:r>
        <w:rPr>
          <w:rFonts w:hint="eastAsia" w:ascii="宋体" w:hAnsi="宋体" w:cs="宋体"/>
          <w:color w:val="000000"/>
          <w:sz w:val="28"/>
          <w:szCs w:val="24"/>
        </w:rPr>
        <w:t>全年工资为45.65万元。如暑期开展托管服务全年工资按10个月计算，全年工资为48.25万元。</w:t>
      </w:r>
    </w:p>
    <w:p w14:paraId="0DDF9A1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sz w:val="28"/>
          <w:szCs w:val="24"/>
        </w:rPr>
      </w:pPr>
      <w:r>
        <w:rPr>
          <w:rFonts w:hint="eastAsia" w:ascii="宋体" w:hAnsi="宋体" w:cs="宋体"/>
          <w:b/>
          <w:sz w:val="28"/>
          <w:szCs w:val="24"/>
        </w:rPr>
        <w:t>四、学校食堂劳务派遣服务费用</w:t>
      </w:r>
    </w:p>
    <w:p w14:paraId="7A96F1D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b/>
          <w:bCs/>
          <w:sz w:val="28"/>
          <w:szCs w:val="24"/>
        </w:rPr>
      </w:pPr>
      <w:r>
        <w:rPr>
          <w:rFonts w:hint="eastAsia" w:ascii="宋体" w:hAnsi="宋体" w:cs="宋体"/>
          <w:sz w:val="28"/>
          <w:szCs w:val="24"/>
        </w:rPr>
        <w:t>全年（10个月）食堂劳务派遣服务费为56.54万元，（</w:t>
      </w:r>
      <w:r>
        <w:rPr>
          <w:rFonts w:hint="eastAsia" w:ascii="宋体" w:hAnsi="宋体" w:cs="宋体"/>
          <w:color w:val="000000"/>
          <w:sz w:val="28"/>
          <w:szCs w:val="24"/>
        </w:rPr>
        <w:t>暑期托管服务</w:t>
      </w:r>
      <w:r>
        <w:rPr>
          <w:rFonts w:hint="eastAsia" w:ascii="宋体" w:hAnsi="宋体" w:cs="宋体"/>
          <w:sz w:val="28"/>
          <w:szCs w:val="24"/>
        </w:rPr>
        <w:t>如因政策原因取消，将按全年9个月计算食堂劳务派遣服务费为</w:t>
      </w:r>
      <w:r>
        <w:rPr>
          <w:rFonts w:hint="eastAsia" w:ascii="宋体" w:hAnsi="宋体" w:cs="宋体"/>
          <w:color w:val="000000"/>
          <w:sz w:val="28"/>
          <w:szCs w:val="24"/>
        </w:rPr>
        <w:t>53.65万元）。</w:t>
      </w:r>
      <w:r>
        <w:rPr>
          <w:rFonts w:hint="eastAsia" w:ascii="宋体" w:hAnsi="宋体" w:cs="宋体"/>
          <w:sz w:val="28"/>
          <w:szCs w:val="24"/>
        </w:rPr>
        <w:t>如果每学期就餐人数增加或减少未超过5%，按原合同要求不变，如果每学期就餐人数增加或减少超过5%，按实际营业额比例计算，并不超营业额20%。</w:t>
      </w:r>
    </w:p>
    <w:p w14:paraId="14B44CE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cs="宋体"/>
          <w:b/>
          <w:bCs/>
          <w:sz w:val="28"/>
          <w:szCs w:val="24"/>
        </w:rPr>
      </w:pPr>
      <w:r>
        <w:rPr>
          <w:rFonts w:hint="eastAsia" w:ascii="宋体" w:hAnsi="宋体" w:cs="宋体"/>
          <w:b/>
          <w:bCs/>
          <w:sz w:val="28"/>
          <w:szCs w:val="24"/>
        </w:rPr>
        <w:t>五、招标事项的说明和要求</w:t>
      </w:r>
    </w:p>
    <w:p w14:paraId="24B9DAA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1、最高限价：全年（10个月）为56.54万元。</w:t>
      </w:r>
    </w:p>
    <w:p w14:paraId="556A36C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2、投标报价为完成本次招标项目的全费用价格。费用组成包括但不限于劳务派遣管理费、利润、派遣人员工资、保险、社保、加班工资、防暑降温费、食宿交通费、招标代理费、税金等为完成本次招投标项目所发生的一切费用（注：所有费用均含税金）。</w:t>
      </w:r>
    </w:p>
    <w:p w14:paraId="4EA1F1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3、投标方应考虑合同期内政策性费用调整的风险，履约期内不得以任何理由增加劳务派遣费用。如遇不可抗力或上级要求，放假时间超过10个日历天以上的（每月按30个日历天计算），校方不支付此时段的劳务派遣费。</w:t>
      </w:r>
    </w:p>
    <w:p w14:paraId="7D0500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4、成交人原则上不得增加或减少工人人数、工人工资，如特殊原因需要变动，必须经校方同意。如学校要求临时加班，由成交人负责人员的安排调配，校方不再另外支付费用。</w:t>
      </w:r>
    </w:p>
    <w:p w14:paraId="1020FB2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5、成交人负责按规程正确操作使用烹饪设备、空调及通风系统、消防系统等设备，监控其运行状态，并做好日常简单维护工作，如操作中出现异常情况应及时报告校方并联系维保单位，以确保设备完好和正常运行。</w:t>
      </w:r>
    </w:p>
    <w:p w14:paraId="6941FF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6、在工作期间如发生伤亡事故等，由成交人负责处理，并承担全部责任，与校方无关。</w:t>
      </w:r>
    </w:p>
    <w:p w14:paraId="790BB1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color w:val="000000"/>
          <w:sz w:val="28"/>
          <w:szCs w:val="24"/>
        </w:rPr>
      </w:pPr>
      <w:r>
        <w:rPr>
          <w:rFonts w:hint="eastAsia" w:ascii="宋体" w:hAnsi="宋体" w:cs="宋体"/>
          <w:sz w:val="28"/>
          <w:szCs w:val="24"/>
        </w:rPr>
        <w:t>7、成交人负责学校食堂管理相关资料的准备，配合校方完成食材的</w:t>
      </w:r>
      <w:r>
        <w:rPr>
          <w:rFonts w:hint="eastAsia" w:ascii="宋体" w:hAnsi="宋体" w:cs="宋体"/>
          <w:color w:val="000000"/>
          <w:sz w:val="28"/>
          <w:szCs w:val="24"/>
        </w:rPr>
        <w:t>验收、留样等相关工作，接受校方及上级部门的指导、监督、检查。</w:t>
      </w:r>
    </w:p>
    <w:p w14:paraId="7DDEB30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color w:val="000000"/>
          <w:sz w:val="28"/>
          <w:szCs w:val="24"/>
        </w:rPr>
        <w:t>8、食</w:t>
      </w:r>
      <w:r>
        <w:rPr>
          <w:rFonts w:hint="eastAsia" w:ascii="宋体" w:hAnsi="宋体" w:cs="宋体"/>
          <w:sz w:val="28"/>
          <w:szCs w:val="24"/>
        </w:rPr>
        <w:t>堂所有员工都需按校方规定交纳餐费，与教师同餐同价。</w:t>
      </w:r>
    </w:p>
    <w:p w14:paraId="563735F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9、付款方式：按全年招标价分10个月支付劳务派遣费用，下月初支付上月的费用。每月在应付劳务派遣费中扣除2000元为服务质量考评金，在每学期结束后由校方组织考核并按考核等次发放服务质量考评金。总分为100分，得分在90分以上的全额发放，80--90分的发放90%，70--80分的发放80%，60--70分的发放60%，低于60分的不发放，下一年不再续签合同。中标方在经营管理过程中，如出现以下问题，将从每学期服务质量考评金中优先扣除部分费用</w:t>
      </w:r>
      <w:r>
        <w:rPr>
          <w:rFonts w:hint="eastAsia" w:ascii="宋体" w:hAnsi="宋体" w:cs="宋体"/>
          <w:sz w:val="28"/>
          <w:szCs w:val="24"/>
          <w:lang w:eastAsia="zh-CN"/>
        </w:rPr>
        <w:t>：</w:t>
      </w:r>
      <w:r>
        <w:rPr>
          <w:rFonts w:hint="eastAsia" w:ascii="宋体" w:hAnsi="宋体" w:cs="宋体"/>
          <w:sz w:val="28"/>
          <w:szCs w:val="24"/>
        </w:rPr>
        <w:t>学校在食堂自查中发现问题要立即整改，如一个问题屡次出现，即扣除100元，县级主管部门(含市场监管局、教育局等)各类检查中每发现一个问题，扣除200元，省市主管部门各类检查中每发现一个问题，扣除300元，服务质量考评金扣完为止。</w:t>
      </w:r>
    </w:p>
    <w:p w14:paraId="1C63E3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4"/>
        </w:rPr>
      </w:pPr>
      <w:r>
        <w:rPr>
          <w:rFonts w:hint="eastAsia" w:ascii="宋体" w:hAnsi="宋体" w:cs="宋体"/>
          <w:sz w:val="28"/>
          <w:szCs w:val="24"/>
        </w:rPr>
        <w:t>10、校方负责食堂财务管理、食材采购和验收，学校食堂使用食材由县中小学食堂集中配送企业集中统一配送，校方负责水、电、燃气费、低值易耗品、维保维修、劳保用品等相关费用。</w:t>
      </w:r>
    </w:p>
    <w:p w14:paraId="4CB2586C">
      <w:pPr>
        <w:rPr>
          <w:rFonts w:hint="eastAsia" w:ascii="宋体" w:hAnsi="宋体" w:cs="宋体"/>
          <w:sz w:val="28"/>
          <w:szCs w:val="24"/>
        </w:rPr>
      </w:pPr>
      <w:r>
        <w:rPr>
          <w:rFonts w:hint="eastAsia" w:ascii="宋体" w:hAnsi="宋体" w:cs="宋体"/>
          <w:sz w:val="28"/>
          <w:szCs w:val="24"/>
        </w:rPr>
        <w:br w:type="page"/>
      </w:r>
    </w:p>
    <w:p w14:paraId="7D7FD72E">
      <w:pPr>
        <w:jc w:val="center"/>
        <w:rPr>
          <w:rFonts w:hint="eastAsia" w:ascii="宋体" w:hAnsi="宋体" w:cs="宋体"/>
          <w:b/>
          <w:bCs/>
          <w:sz w:val="28"/>
          <w:szCs w:val="24"/>
        </w:rPr>
      </w:pPr>
      <w:r>
        <w:rPr>
          <w:rFonts w:hint="eastAsia" w:ascii="宋体" w:hAnsi="宋体" w:cs="宋体"/>
          <w:b/>
          <w:bCs/>
          <w:sz w:val="28"/>
          <w:szCs w:val="24"/>
        </w:rPr>
        <w:t>霍山县新城小学食堂岗位安排表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704"/>
        <w:gridCol w:w="1704"/>
        <w:gridCol w:w="1705"/>
        <w:gridCol w:w="1705"/>
      </w:tblGrid>
      <w:tr w14:paraId="3DF1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4F7B79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项目</w:t>
            </w:r>
          </w:p>
        </w:tc>
        <w:tc>
          <w:tcPr>
            <w:tcW w:w="1704" w:type="dxa"/>
            <w:noWrap w:val="0"/>
            <w:vAlign w:val="center"/>
          </w:tcPr>
          <w:p w14:paraId="74EED7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岗位</w:t>
            </w:r>
          </w:p>
        </w:tc>
        <w:tc>
          <w:tcPr>
            <w:tcW w:w="1704" w:type="dxa"/>
            <w:noWrap w:val="0"/>
            <w:vAlign w:val="center"/>
          </w:tcPr>
          <w:p w14:paraId="0D35760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人数</w:t>
            </w:r>
          </w:p>
        </w:tc>
        <w:tc>
          <w:tcPr>
            <w:tcW w:w="1705" w:type="dxa"/>
            <w:noWrap w:val="0"/>
            <w:vAlign w:val="center"/>
          </w:tcPr>
          <w:p w14:paraId="02E987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工资/元</w:t>
            </w:r>
          </w:p>
        </w:tc>
        <w:tc>
          <w:tcPr>
            <w:tcW w:w="1705" w:type="dxa"/>
            <w:noWrap w:val="0"/>
            <w:vAlign w:val="center"/>
          </w:tcPr>
          <w:p w14:paraId="28E7AC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备注</w:t>
            </w:r>
          </w:p>
        </w:tc>
      </w:tr>
      <w:tr w14:paraId="1088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2B9A21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4" w:type="dxa"/>
            <w:noWrap w:val="0"/>
            <w:vAlign w:val="center"/>
          </w:tcPr>
          <w:p w14:paraId="7361C2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主管</w:t>
            </w:r>
          </w:p>
        </w:tc>
        <w:tc>
          <w:tcPr>
            <w:tcW w:w="1704" w:type="dxa"/>
            <w:noWrap w:val="0"/>
            <w:vAlign w:val="center"/>
          </w:tcPr>
          <w:p w14:paraId="7CA45B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68DABA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4C973865">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4775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5A4BD4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2</w:t>
            </w:r>
          </w:p>
        </w:tc>
        <w:tc>
          <w:tcPr>
            <w:tcW w:w="1704" w:type="dxa"/>
            <w:noWrap w:val="0"/>
            <w:vAlign w:val="center"/>
          </w:tcPr>
          <w:p w14:paraId="073E3E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大厨</w:t>
            </w:r>
          </w:p>
        </w:tc>
        <w:tc>
          <w:tcPr>
            <w:tcW w:w="1704" w:type="dxa"/>
            <w:noWrap w:val="0"/>
            <w:vAlign w:val="center"/>
          </w:tcPr>
          <w:p w14:paraId="09BA1F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3AA982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6066D0A0">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6E0C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6279772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3</w:t>
            </w:r>
          </w:p>
        </w:tc>
        <w:tc>
          <w:tcPr>
            <w:tcW w:w="1704" w:type="dxa"/>
            <w:noWrap w:val="0"/>
            <w:vAlign w:val="center"/>
          </w:tcPr>
          <w:p w14:paraId="791F6A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二厨</w:t>
            </w:r>
          </w:p>
        </w:tc>
        <w:tc>
          <w:tcPr>
            <w:tcW w:w="1704" w:type="dxa"/>
            <w:noWrap w:val="0"/>
            <w:vAlign w:val="center"/>
          </w:tcPr>
          <w:p w14:paraId="02DD2F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51617E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08FBD3B4">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5D62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468BC4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4</w:t>
            </w:r>
          </w:p>
        </w:tc>
        <w:tc>
          <w:tcPr>
            <w:tcW w:w="1704" w:type="dxa"/>
            <w:noWrap w:val="0"/>
            <w:vAlign w:val="center"/>
          </w:tcPr>
          <w:p w14:paraId="06C9A3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厨师助理</w:t>
            </w:r>
          </w:p>
        </w:tc>
        <w:tc>
          <w:tcPr>
            <w:tcW w:w="1704" w:type="dxa"/>
            <w:noWrap w:val="0"/>
            <w:vAlign w:val="center"/>
          </w:tcPr>
          <w:p w14:paraId="764EB1B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05A2B95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73BC1BAF">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60B7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5C64AC9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5</w:t>
            </w:r>
          </w:p>
        </w:tc>
        <w:tc>
          <w:tcPr>
            <w:tcW w:w="1704" w:type="dxa"/>
            <w:noWrap w:val="0"/>
            <w:vAlign w:val="center"/>
          </w:tcPr>
          <w:p w14:paraId="2A256F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面点师</w:t>
            </w:r>
          </w:p>
        </w:tc>
        <w:tc>
          <w:tcPr>
            <w:tcW w:w="1704" w:type="dxa"/>
            <w:noWrap w:val="0"/>
            <w:vAlign w:val="center"/>
          </w:tcPr>
          <w:p w14:paraId="15BB15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552464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074B0114">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7FFA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625EACF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6</w:t>
            </w:r>
          </w:p>
        </w:tc>
        <w:tc>
          <w:tcPr>
            <w:tcW w:w="1704" w:type="dxa"/>
            <w:noWrap w:val="0"/>
            <w:vAlign w:val="center"/>
          </w:tcPr>
          <w:p w14:paraId="7DD803B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面点师助理</w:t>
            </w:r>
          </w:p>
        </w:tc>
        <w:tc>
          <w:tcPr>
            <w:tcW w:w="1704" w:type="dxa"/>
            <w:noWrap w:val="0"/>
            <w:vAlign w:val="center"/>
          </w:tcPr>
          <w:p w14:paraId="2891436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061B22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6FC9B5EA">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21D7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56B4C2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7</w:t>
            </w:r>
          </w:p>
        </w:tc>
        <w:tc>
          <w:tcPr>
            <w:tcW w:w="1704" w:type="dxa"/>
            <w:noWrap w:val="0"/>
            <w:vAlign w:val="center"/>
          </w:tcPr>
          <w:p w14:paraId="55CD47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蒸饭工</w:t>
            </w:r>
          </w:p>
        </w:tc>
        <w:tc>
          <w:tcPr>
            <w:tcW w:w="1704" w:type="dxa"/>
            <w:noWrap w:val="0"/>
            <w:vAlign w:val="center"/>
          </w:tcPr>
          <w:p w14:paraId="77BD61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16C92B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16F6CAF0">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0FEB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63DBB8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8</w:t>
            </w:r>
          </w:p>
        </w:tc>
        <w:tc>
          <w:tcPr>
            <w:tcW w:w="1704" w:type="dxa"/>
            <w:noWrap w:val="0"/>
            <w:vAlign w:val="center"/>
          </w:tcPr>
          <w:p w14:paraId="4D8E38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切配工</w:t>
            </w:r>
          </w:p>
        </w:tc>
        <w:tc>
          <w:tcPr>
            <w:tcW w:w="1704" w:type="dxa"/>
            <w:noWrap w:val="0"/>
            <w:vAlign w:val="center"/>
          </w:tcPr>
          <w:p w14:paraId="7F82FE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7</w:t>
            </w:r>
          </w:p>
        </w:tc>
        <w:tc>
          <w:tcPr>
            <w:tcW w:w="1705" w:type="dxa"/>
            <w:noWrap w:val="0"/>
            <w:vAlign w:val="center"/>
          </w:tcPr>
          <w:p w14:paraId="18662A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center"/>
          </w:tcPr>
          <w:p w14:paraId="151D8145">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领班</w:t>
            </w:r>
            <w:r>
              <w:rPr>
                <w:rFonts w:hint="eastAsia" w:ascii="宋体" w:hAnsi="宋体" w:cs="宋体"/>
                <w:i w:val="0"/>
                <w:iCs w:val="0"/>
                <w:color w:val="000000"/>
                <w:kern w:val="0"/>
                <w:sz w:val="21"/>
                <w:szCs w:val="21"/>
                <w:u w:val="none"/>
                <w:lang w:val="en-US" w:eastAsia="zh-CN" w:bidi="ar"/>
              </w:rPr>
              <w:t>1人</w:t>
            </w:r>
            <w:r>
              <w:rPr>
                <w:rStyle w:val="100"/>
                <w:sz w:val="21"/>
                <w:szCs w:val="21"/>
                <w:lang w:val="en-US" w:eastAsia="zh-CN" w:bidi="ar"/>
              </w:rPr>
              <w:t>，</w:t>
            </w:r>
            <w:r>
              <w:rPr>
                <w:rStyle w:val="100"/>
                <w:rFonts w:hint="eastAsia"/>
                <w:sz w:val="21"/>
                <w:szCs w:val="21"/>
                <w:lang w:val="en-US" w:eastAsia="zh-CN" w:bidi="ar"/>
              </w:rPr>
              <w:t>其中</w:t>
            </w:r>
            <w:r>
              <w:rPr>
                <w:rStyle w:val="100"/>
                <w:sz w:val="21"/>
                <w:szCs w:val="21"/>
                <w:lang w:val="en-US" w:eastAsia="zh-CN" w:bidi="ar"/>
              </w:rPr>
              <w:t>两人兼职洗碗。</w:t>
            </w:r>
          </w:p>
        </w:tc>
      </w:tr>
      <w:tr w14:paraId="4D60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7AB8851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9</w:t>
            </w:r>
          </w:p>
        </w:tc>
        <w:tc>
          <w:tcPr>
            <w:tcW w:w="1704" w:type="dxa"/>
            <w:noWrap w:val="0"/>
            <w:vAlign w:val="center"/>
          </w:tcPr>
          <w:p w14:paraId="28CEBC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洗碗工</w:t>
            </w:r>
          </w:p>
        </w:tc>
        <w:tc>
          <w:tcPr>
            <w:tcW w:w="1704" w:type="dxa"/>
            <w:noWrap w:val="0"/>
            <w:vAlign w:val="center"/>
          </w:tcPr>
          <w:p w14:paraId="7FED31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3</w:t>
            </w:r>
          </w:p>
        </w:tc>
        <w:tc>
          <w:tcPr>
            <w:tcW w:w="1705" w:type="dxa"/>
            <w:noWrap w:val="0"/>
            <w:vAlign w:val="center"/>
          </w:tcPr>
          <w:p w14:paraId="2216240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center"/>
          </w:tcPr>
          <w:p w14:paraId="308EBE64">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领班</w:t>
            </w:r>
            <w:r>
              <w:rPr>
                <w:rFonts w:hint="eastAsia" w:ascii="宋体" w:hAnsi="宋体" w:cs="宋体"/>
                <w:i w:val="0"/>
                <w:iCs w:val="0"/>
                <w:color w:val="000000"/>
                <w:kern w:val="0"/>
                <w:sz w:val="21"/>
                <w:szCs w:val="21"/>
                <w:u w:val="none"/>
                <w:lang w:val="en-US" w:eastAsia="zh-CN" w:bidi="ar"/>
              </w:rPr>
              <w:t>1人</w:t>
            </w:r>
          </w:p>
        </w:tc>
      </w:tr>
      <w:tr w14:paraId="2E0C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005916D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10</w:t>
            </w:r>
          </w:p>
        </w:tc>
        <w:tc>
          <w:tcPr>
            <w:tcW w:w="1704" w:type="dxa"/>
            <w:noWrap w:val="0"/>
            <w:vAlign w:val="center"/>
          </w:tcPr>
          <w:p w14:paraId="60D2A47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晚餐</w:t>
            </w:r>
          </w:p>
        </w:tc>
        <w:tc>
          <w:tcPr>
            <w:tcW w:w="1704" w:type="dxa"/>
            <w:noWrap w:val="0"/>
            <w:vAlign w:val="center"/>
          </w:tcPr>
          <w:p w14:paraId="24ABCF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w:t>
            </w:r>
          </w:p>
        </w:tc>
        <w:tc>
          <w:tcPr>
            <w:tcW w:w="1705" w:type="dxa"/>
            <w:noWrap w:val="0"/>
            <w:vAlign w:val="center"/>
          </w:tcPr>
          <w:p w14:paraId="5AD78C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center"/>
          </w:tcPr>
          <w:p w14:paraId="01526BD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日常工作外加晚餐值班</w:t>
            </w:r>
          </w:p>
        </w:tc>
      </w:tr>
      <w:tr w14:paraId="6984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2A4B0B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11</w:t>
            </w:r>
          </w:p>
        </w:tc>
        <w:tc>
          <w:tcPr>
            <w:tcW w:w="1704" w:type="dxa"/>
            <w:noWrap w:val="0"/>
            <w:vAlign w:val="center"/>
          </w:tcPr>
          <w:p w14:paraId="027CD0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临时工</w:t>
            </w:r>
          </w:p>
        </w:tc>
        <w:tc>
          <w:tcPr>
            <w:tcW w:w="1704" w:type="dxa"/>
            <w:noWrap w:val="0"/>
            <w:vAlign w:val="center"/>
          </w:tcPr>
          <w:p w14:paraId="312E0B0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2</w:t>
            </w:r>
          </w:p>
        </w:tc>
        <w:tc>
          <w:tcPr>
            <w:tcW w:w="1705" w:type="dxa"/>
            <w:noWrap w:val="0"/>
            <w:vAlign w:val="center"/>
          </w:tcPr>
          <w:p w14:paraId="71E4C4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646B8B70">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r w14:paraId="21FF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4" w:type="dxa"/>
            <w:noWrap w:val="0"/>
            <w:vAlign w:val="center"/>
          </w:tcPr>
          <w:p w14:paraId="28BAA8D4">
            <w:pPr>
              <w:keepNext w:val="0"/>
              <w:keepLines w:val="0"/>
              <w:pageBreakBefore w:val="0"/>
              <w:widowControl/>
              <w:kinsoku/>
              <w:wordWrap/>
              <w:overflowPunct/>
              <w:topLinePunct w:val="0"/>
              <w:autoSpaceDE/>
              <w:autoSpaceDN/>
              <w:bidi w:val="0"/>
              <w:adjustRightInd w:val="0"/>
              <w:snapToGrid w:val="0"/>
              <w:jc w:val="center"/>
              <w:rPr>
                <w:rFonts w:hint="eastAsia" w:ascii="宋体" w:hAnsi="宋体" w:cs="宋体"/>
                <w:sz w:val="21"/>
                <w:szCs w:val="21"/>
                <w:vertAlign w:val="baseline"/>
              </w:rPr>
            </w:pPr>
          </w:p>
        </w:tc>
        <w:tc>
          <w:tcPr>
            <w:tcW w:w="1704" w:type="dxa"/>
            <w:noWrap w:val="0"/>
            <w:vAlign w:val="center"/>
          </w:tcPr>
          <w:p w14:paraId="3870E2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总计</w:t>
            </w:r>
          </w:p>
        </w:tc>
        <w:tc>
          <w:tcPr>
            <w:tcW w:w="1704" w:type="dxa"/>
            <w:noWrap w:val="0"/>
            <w:vAlign w:val="center"/>
          </w:tcPr>
          <w:p w14:paraId="188F899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20</w:t>
            </w:r>
          </w:p>
        </w:tc>
        <w:tc>
          <w:tcPr>
            <w:tcW w:w="1705" w:type="dxa"/>
            <w:noWrap w:val="0"/>
            <w:vAlign w:val="center"/>
          </w:tcPr>
          <w:p w14:paraId="40A3D06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cs="宋体"/>
                <w:sz w:val="21"/>
                <w:szCs w:val="21"/>
                <w:vertAlign w:val="baseline"/>
              </w:rPr>
            </w:pPr>
          </w:p>
        </w:tc>
        <w:tc>
          <w:tcPr>
            <w:tcW w:w="1705" w:type="dxa"/>
            <w:noWrap w:val="0"/>
            <w:vAlign w:val="bottom"/>
          </w:tcPr>
          <w:p w14:paraId="2C1EC547">
            <w:pPr>
              <w:keepNext w:val="0"/>
              <w:keepLines w:val="0"/>
              <w:pageBreakBefore w:val="0"/>
              <w:widowControl/>
              <w:kinsoku/>
              <w:wordWrap/>
              <w:overflowPunct/>
              <w:topLinePunct w:val="0"/>
              <w:autoSpaceDE/>
              <w:autoSpaceDN/>
              <w:bidi w:val="0"/>
              <w:adjustRightInd w:val="0"/>
              <w:snapToGrid w:val="0"/>
              <w:rPr>
                <w:rFonts w:hint="eastAsia" w:ascii="宋体" w:hAnsi="宋体" w:cs="宋体"/>
                <w:sz w:val="21"/>
                <w:szCs w:val="21"/>
                <w:vertAlign w:val="baseline"/>
              </w:rPr>
            </w:pPr>
          </w:p>
        </w:tc>
      </w:tr>
    </w:tbl>
    <w:p w14:paraId="7E0B6D0B">
      <w:pPr>
        <w:rPr>
          <w:rFonts w:hint="eastAsia" w:ascii="宋体" w:hAnsi="宋体" w:cs="宋体"/>
          <w:sz w:val="28"/>
          <w:szCs w:val="24"/>
        </w:rPr>
      </w:pPr>
    </w:p>
    <w:p w14:paraId="25B64727">
      <w:pPr>
        <w:rPr>
          <w:rFonts w:hint="eastAsia" w:ascii="宋体" w:hAnsi="宋体" w:cs="宋体"/>
          <w:sz w:val="28"/>
          <w:szCs w:val="24"/>
        </w:rPr>
      </w:pPr>
      <w:r>
        <w:rPr>
          <w:rFonts w:hint="eastAsia" w:ascii="宋体" w:hAnsi="宋体" w:cs="宋体"/>
          <w:sz w:val="28"/>
          <w:szCs w:val="24"/>
        </w:rPr>
        <w:br w:type="page"/>
      </w:r>
    </w:p>
    <w:tbl>
      <w:tblPr>
        <w:tblStyle w:val="34"/>
        <w:tblW w:w="8972" w:type="dxa"/>
        <w:jc w:val="center"/>
        <w:tblLayout w:type="autofit"/>
        <w:tblCellMar>
          <w:top w:w="0" w:type="dxa"/>
          <w:left w:w="108" w:type="dxa"/>
          <w:bottom w:w="0" w:type="dxa"/>
          <w:right w:w="108" w:type="dxa"/>
        </w:tblCellMar>
      </w:tblPr>
      <w:tblGrid>
        <w:gridCol w:w="842"/>
        <w:gridCol w:w="6095"/>
        <w:gridCol w:w="992"/>
        <w:gridCol w:w="1043"/>
      </w:tblGrid>
      <w:tr w14:paraId="61BD83CD">
        <w:tblPrEx>
          <w:tblCellMar>
            <w:top w:w="0" w:type="dxa"/>
            <w:left w:w="108" w:type="dxa"/>
            <w:bottom w:w="0" w:type="dxa"/>
            <w:right w:w="108" w:type="dxa"/>
          </w:tblCellMar>
        </w:tblPrEx>
        <w:trPr>
          <w:trHeight w:val="825" w:hRule="atLeast"/>
          <w:jc w:val="center"/>
        </w:trPr>
        <w:tc>
          <w:tcPr>
            <w:tcW w:w="8972" w:type="dxa"/>
            <w:gridSpan w:val="4"/>
            <w:tcBorders>
              <w:top w:val="nil"/>
              <w:left w:val="nil"/>
              <w:bottom w:val="single" w:color="auto" w:sz="4" w:space="0"/>
              <w:right w:val="nil"/>
            </w:tcBorders>
            <w:noWrap/>
            <w:vAlign w:val="center"/>
          </w:tcPr>
          <w:p w14:paraId="5E87B606">
            <w:pPr>
              <w:widowControl/>
              <w:jc w:val="center"/>
              <w:rPr>
                <w:rFonts w:ascii="宋体" w:hAnsi="宋体" w:eastAsia="宋体" w:cs="宋体"/>
                <w:b/>
                <w:bCs/>
                <w:color w:val="000000"/>
                <w:kern w:val="0"/>
                <w:sz w:val="36"/>
                <w:szCs w:val="36"/>
              </w:rPr>
            </w:pPr>
            <w:r>
              <w:rPr>
                <w:rFonts w:hint="eastAsia" w:ascii="宋体" w:hAnsi="宋体" w:eastAsia="宋体" w:cs="宋体"/>
                <w:b/>
                <w:bCs/>
                <w:color w:val="000000"/>
                <w:kern w:val="0"/>
                <w:sz w:val="36"/>
                <w:szCs w:val="36"/>
              </w:rPr>
              <w:t>霍山县新城小学食堂劳务派遣绩效考核细则</w:t>
            </w:r>
          </w:p>
          <w:p w14:paraId="1E5744D6">
            <w:pPr>
              <w:widowControl/>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 xml:space="preserve">考核对象：                                </w:t>
            </w:r>
            <w:r>
              <w:rPr>
                <w:rFonts w:hint="eastAsia" w:ascii="宋体" w:hAnsi="宋体" w:eastAsia="宋体"/>
                <w:bCs/>
                <w:sz w:val="28"/>
                <w:szCs w:val="28"/>
              </w:rPr>
              <w:t xml:space="preserve">  考核时限：</w:t>
            </w:r>
          </w:p>
        </w:tc>
      </w:tr>
      <w:tr w14:paraId="05197C5C">
        <w:tblPrEx>
          <w:tblCellMar>
            <w:top w:w="0" w:type="dxa"/>
            <w:left w:w="108" w:type="dxa"/>
            <w:bottom w:w="0" w:type="dxa"/>
            <w:right w:w="108" w:type="dxa"/>
          </w:tblCellMar>
        </w:tblPrEx>
        <w:trPr>
          <w:trHeight w:val="583" w:hRule="atLeast"/>
          <w:jc w:val="center"/>
        </w:trPr>
        <w:tc>
          <w:tcPr>
            <w:tcW w:w="842" w:type="dxa"/>
            <w:tcBorders>
              <w:top w:val="nil"/>
              <w:left w:val="single" w:color="auto" w:sz="4" w:space="0"/>
              <w:bottom w:val="single" w:color="auto" w:sz="4" w:space="0"/>
              <w:right w:val="single" w:color="auto" w:sz="4" w:space="0"/>
            </w:tcBorders>
            <w:noWrap/>
            <w:vAlign w:val="center"/>
          </w:tcPr>
          <w:p w14:paraId="451C5E42">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序号</w:t>
            </w:r>
          </w:p>
        </w:tc>
        <w:tc>
          <w:tcPr>
            <w:tcW w:w="6095" w:type="dxa"/>
            <w:tcBorders>
              <w:top w:val="nil"/>
              <w:left w:val="nil"/>
              <w:bottom w:val="single" w:color="auto" w:sz="4" w:space="0"/>
              <w:right w:val="single" w:color="auto" w:sz="4" w:space="0"/>
            </w:tcBorders>
            <w:noWrap/>
            <w:vAlign w:val="center"/>
          </w:tcPr>
          <w:p w14:paraId="276B8E0C">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评分项</w:t>
            </w:r>
          </w:p>
        </w:tc>
        <w:tc>
          <w:tcPr>
            <w:tcW w:w="992" w:type="dxa"/>
            <w:tcBorders>
              <w:top w:val="nil"/>
              <w:left w:val="nil"/>
              <w:bottom w:val="single" w:color="auto" w:sz="4" w:space="0"/>
              <w:right w:val="single" w:color="auto" w:sz="4" w:space="0"/>
            </w:tcBorders>
            <w:noWrap/>
            <w:vAlign w:val="center"/>
          </w:tcPr>
          <w:p w14:paraId="041BE65C">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分值</w:t>
            </w:r>
          </w:p>
        </w:tc>
        <w:tc>
          <w:tcPr>
            <w:tcW w:w="1043" w:type="dxa"/>
            <w:tcBorders>
              <w:top w:val="nil"/>
              <w:left w:val="nil"/>
              <w:bottom w:val="single" w:color="auto" w:sz="4" w:space="0"/>
              <w:right w:val="single" w:color="auto" w:sz="4" w:space="0"/>
            </w:tcBorders>
            <w:noWrap/>
            <w:vAlign w:val="center"/>
          </w:tcPr>
          <w:p w14:paraId="31CD34EF">
            <w:pPr>
              <w:widowControl/>
              <w:jc w:val="left"/>
              <w:rPr>
                <w:rFonts w:ascii="宋体" w:hAnsi="宋体" w:eastAsia="宋体" w:cs="宋体"/>
                <w:color w:val="000000"/>
                <w:kern w:val="0"/>
                <w:sz w:val="24"/>
              </w:rPr>
            </w:pPr>
            <w:r>
              <w:rPr>
                <w:rFonts w:hint="eastAsia" w:ascii="宋体" w:hAnsi="宋体" w:eastAsia="宋体" w:cs="宋体"/>
                <w:color w:val="000000"/>
                <w:kern w:val="0"/>
                <w:sz w:val="24"/>
              </w:rPr>
              <w:t>评分</w:t>
            </w:r>
          </w:p>
        </w:tc>
      </w:tr>
      <w:tr w14:paraId="2BD73162">
        <w:tblPrEx>
          <w:tblCellMar>
            <w:top w:w="0" w:type="dxa"/>
            <w:left w:w="108" w:type="dxa"/>
            <w:bottom w:w="0" w:type="dxa"/>
            <w:right w:w="108" w:type="dxa"/>
          </w:tblCellMar>
        </w:tblPrEx>
        <w:trPr>
          <w:trHeight w:val="1121" w:hRule="atLeast"/>
          <w:jc w:val="center"/>
        </w:trPr>
        <w:tc>
          <w:tcPr>
            <w:tcW w:w="842" w:type="dxa"/>
            <w:tcBorders>
              <w:top w:val="nil"/>
              <w:left w:val="single" w:color="auto" w:sz="4" w:space="0"/>
              <w:bottom w:val="single" w:color="auto" w:sz="4" w:space="0"/>
              <w:right w:val="single" w:color="auto" w:sz="4" w:space="0"/>
            </w:tcBorders>
            <w:noWrap/>
            <w:vAlign w:val="center"/>
          </w:tcPr>
          <w:p w14:paraId="47B8FFBB">
            <w:pPr>
              <w:widowControl/>
              <w:jc w:val="center"/>
              <w:rPr>
                <w:rFonts w:ascii="宋体" w:hAnsi="宋体" w:eastAsia="宋体" w:cs="宋体"/>
                <w:color w:val="000000"/>
                <w:kern w:val="0"/>
                <w:szCs w:val="21"/>
              </w:rPr>
            </w:pPr>
            <w:r>
              <w:rPr>
                <w:rFonts w:ascii="宋体" w:hAnsi="宋体" w:eastAsia="宋体" w:cs="宋体"/>
                <w:color w:val="000000"/>
                <w:kern w:val="0"/>
                <w:szCs w:val="21"/>
              </w:rPr>
              <w:t>1</w:t>
            </w:r>
          </w:p>
        </w:tc>
        <w:tc>
          <w:tcPr>
            <w:tcW w:w="6095" w:type="dxa"/>
            <w:tcBorders>
              <w:top w:val="nil"/>
              <w:left w:val="nil"/>
              <w:bottom w:val="single" w:color="auto" w:sz="4" w:space="0"/>
              <w:right w:val="single" w:color="auto" w:sz="4" w:space="0"/>
            </w:tcBorders>
            <w:noWrap w:val="0"/>
            <w:vAlign w:val="center"/>
          </w:tcPr>
          <w:p w14:paraId="63C093D5">
            <w:pPr>
              <w:widowControl/>
              <w:spacing w:line="340" w:lineRule="exact"/>
              <w:jc w:val="left"/>
              <w:rPr>
                <w:rFonts w:ascii="宋体" w:hAnsi="宋体" w:eastAsia="宋体" w:cs="宋体"/>
                <w:color w:val="000000"/>
                <w:kern w:val="0"/>
                <w:szCs w:val="21"/>
              </w:rPr>
            </w:pPr>
            <w:r>
              <w:rPr>
                <w:rFonts w:hint="eastAsia"/>
                <w:color w:val="000000"/>
                <w:szCs w:val="21"/>
              </w:rPr>
              <w:t>根据学校食堂规模和岗位从业人数，及时派遣从业人员并与从业人员签订相关劳动协议（其中包括：承担从业人员的劳保福利、安全保障、保险缴费、工伤意外风险以及劳务关系纠纷等）</w:t>
            </w:r>
          </w:p>
        </w:tc>
        <w:tc>
          <w:tcPr>
            <w:tcW w:w="992" w:type="dxa"/>
            <w:tcBorders>
              <w:top w:val="nil"/>
              <w:left w:val="nil"/>
              <w:bottom w:val="single" w:color="auto" w:sz="4" w:space="0"/>
              <w:right w:val="single" w:color="auto" w:sz="4" w:space="0"/>
            </w:tcBorders>
            <w:noWrap/>
            <w:vAlign w:val="center"/>
          </w:tcPr>
          <w:p w14:paraId="5C2DE82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15</w:t>
            </w:r>
          </w:p>
        </w:tc>
        <w:tc>
          <w:tcPr>
            <w:tcW w:w="1043" w:type="dxa"/>
            <w:tcBorders>
              <w:top w:val="nil"/>
              <w:left w:val="nil"/>
              <w:bottom w:val="single" w:color="auto" w:sz="4" w:space="0"/>
              <w:right w:val="single" w:color="auto" w:sz="4" w:space="0"/>
            </w:tcBorders>
            <w:noWrap/>
            <w:vAlign w:val="center"/>
          </w:tcPr>
          <w:p w14:paraId="5BD67C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32D6BEC3">
        <w:tblPrEx>
          <w:tblCellMar>
            <w:top w:w="0" w:type="dxa"/>
            <w:left w:w="108" w:type="dxa"/>
            <w:bottom w:w="0" w:type="dxa"/>
            <w:right w:w="108" w:type="dxa"/>
          </w:tblCellMar>
        </w:tblPrEx>
        <w:trPr>
          <w:trHeight w:val="854" w:hRule="atLeast"/>
          <w:jc w:val="center"/>
        </w:trPr>
        <w:tc>
          <w:tcPr>
            <w:tcW w:w="842" w:type="dxa"/>
            <w:tcBorders>
              <w:top w:val="nil"/>
              <w:left w:val="single" w:color="auto" w:sz="4" w:space="0"/>
              <w:bottom w:val="single" w:color="auto" w:sz="4" w:space="0"/>
              <w:right w:val="single" w:color="auto" w:sz="4" w:space="0"/>
            </w:tcBorders>
            <w:noWrap/>
            <w:vAlign w:val="center"/>
          </w:tcPr>
          <w:p w14:paraId="6ED0F7D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6095" w:type="dxa"/>
            <w:tcBorders>
              <w:top w:val="nil"/>
              <w:left w:val="nil"/>
              <w:bottom w:val="single" w:color="auto" w:sz="4" w:space="0"/>
              <w:right w:val="single" w:color="auto" w:sz="4" w:space="0"/>
            </w:tcBorders>
            <w:noWrap w:val="0"/>
            <w:vAlign w:val="center"/>
          </w:tcPr>
          <w:p w14:paraId="2841765C">
            <w:pPr>
              <w:widowControl/>
              <w:spacing w:line="340" w:lineRule="exact"/>
              <w:jc w:val="left"/>
              <w:rPr>
                <w:rFonts w:ascii="宋体" w:hAnsi="宋体" w:eastAsia="宋体" w:cs="宋体"/>
                <w:color w:val="000000"/>
                <w:kern w:val="0"/>
                <w:szCs w:val="21"/>
              </w:rPr>
            </w:pPr>
            <w:r>
              <w:rPr>
                <w:rFonts w:hint="eastAsia"/>
                <w:color w:val="000000"/>
                <w:szCs w:val="21"/>
              </w:rPr>
              <w:t>认真贯彻落实《中华人民共和国食品安全法</w:t>
            </w:r>
            <w:r>
              <w:rPr>
                <w:color w:val="000000"/>
                <w:szCs w:val="21"/>
              </w:rPr>
              <w:t xml:space="preserve"> </w:t>
            </w:r>
            <w:r>
              <w:rPr>
                <w:rFonts w:hint="eastAsia"/>
                <w:color w:val="000000"/>
                <w:szCs w:val="21"/>
              </w:rPr>
              <w:t>》以及《学校食品安全与营养健康管理规定》，制订相适应的配套制度和管理细则。</w:t>
            </w:r>
          </w:p>
        </w:tc>
        <w:tc>
          <w:tcPr>
            <w:tcW w:w="992" w:type="dxa"/>
            <w:tcBorders>
              <w:top w:val="nil"/>
              <w:left w:val="nil"/>
              <w:bottom w:val="single" w:color="auto" w:sz="4" w:space="0"/>
              <w:right w:val="single" w:color="auto" w:sz="4" w:space="0"/>
            </w:tcBorders>
            <w:noWrap/>
            <w:vAlign w:val="center"/>
          </w:tcPr>
          <w:p w14:paraId="36DE0CF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1043" w:type="dxa"/>
            <w:tcBorders>
              <w:top w:val="nil"/>
              <w:left w:val="nil"/>
              <w:bottom w:val="single" w:color="auto" w:sz="4" w:space="0"/>
              <w:right w:val="single" w:color="auto" w:sz="4" w:space="0"/>
            </w:tcBorders>
            <w:noWrap/>
            <w:vAlign w:val="center"/>
          </w:tcPr>
          <w:p w14:paraId="209FAADC">
            <w:pPr>
              <w:widowControl/>
              <w:jc w:val="left"/>
              <w:rPr>
                <w:rFonts w:ascii="宋体" w:hAnsi="宋体" w:eastAsia="宋体" w:cs="宋体"/>
                <w:color w:val="000000"/>
                <w:kern w:val="0"/>
                <w:szCs w:val="21"/>
              </w:rPr>
            </w:pPr>
          </w:p>
        </w:tc>
      </w:tr>
      <w:tr w14:paraId="4A7F15DC">
        <w:tblPrEx>
          <w:tblCellMar>
            <w:top w:w="0" w:type="dxa"/>
            <w:left w:w="108" w:type="dxa"/>
            <w:bottom w:w="0" w:type="dxa"/>
            <w:right w:w="108" w:type="dxa"/>
          </w:tblCellMar>
        </w:tblPrEx>
        <w:trPr>
          <w:trHeight w:val="846" w:hRule="atLeast"/>
          <w:jc w:val="center"/>
        </w:trPr>
        <w:tc>
          <w:tcPr>
            <w:tcW w:w="842" w:type="dxa"/>
            <w:tcBorders>
              <w:top w:val="nil"/>
              <w:left w:val="single" w:color="auto" w:sz="4" w:space="0"/>
              <w:bottom w:val="single" w:color="auto" w:sz="4" w:space="0"/>
              <w:right w:val="single" w:color="auto" w:sz="4" w:space="0"/>
            </w:tcBorders>
            <w:noWrap/>
            <w:vAlign w:val="center"/>
          </w:tcPr>
          <w:p w14:paraId="4C5C2BC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6095" w:type="dxa"/>
            <w:tcBorders>
              <w:top w:val="nil"/>
              <w:left w:val="nil"/>
              <w:bottom w:val="single" w:color="auto" w:sz="4" w:space="0"/>
              <w:right w:val="single" w:color="auto" w:sz="4" w:space="0"/>
            </w:tcBorders>
            <w:noWrap w:val="0"/>
            <w:vAlign w:val="center"/>
          </w:tcPr>
          <w:p w14:paraId="0F1C6378">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做好食堂从业人员合理分工，对员工工作进行科学管理、监督、检查，确保食堂工作正常运转，为师生创造良好的就餐环境和提供优质的服务。</w:t>
            </w:r>
          </w:p>
        </w:tc>
        <w:tc>
          <w:tcPr>
            <w:tcW w:w="992" w:type="dxa"/>
            <w:tcBorders>
              <w:top w:val="nil"/>
              <w:left w:val="nil"/>
              <w:bottom w:val="single" w:color="auto" w:sz="4" w:space="0"/>
              <w:right w:val="single" w:color="auto" w:sz="4" w:space="0"/>
            </w:tcBorders>
            <w:noWrap/>
            <w:vAlign w:val="center"/>
          </w:tcPr>
          <w:p w14:paraId="134EBB93">
            <w:pPr>
              <w:widowControl/>
              <w:jc w:val="center"/>
              <w:rPr>
                <w:rFonts w:ascii="宋体" w:hAnsi="宋体" w:eastAsia="宋体" w:cs="宋体"/>
                <w:color w:val="000000"/>
                <w:kern w:val="0"/>
                <w:szCs w:val="21"/>
              </w:rPr>
            </w:pPr>
            <w:r>
              <w:rPr>
                <w:rFonts w:ascii="宋体" w:hAnsi="宋体" w:eastAsia="宋体" w:cs="宋体"/>
                <w:color w:val="000000"/>
                <w:kern w:val="0"/>
                <w:szCs w:val="21"/>
              </w:rPr>
              <w:t>10</w:t>
            </w:r>
          </w:p>
        </w:tc>
        <w:tc>
          <w:tcPr>
            <w:tcW w:w="1043" w:type="dxa"/>
            <w:tcBorders>
              <w:top w:val="nil"/>
              <w:left w:val="nil"/>
              <w:bottom w:val="single" w:color="auto" w:sz="4" w:space="0"/>
              <w:right w:val="single" w:color="auto" w:sz="4" w:space="0"/>
            </w:tcBorders>
            <w:noWrap/>
            <w:vAlign w:val="center"/>
          </w:tcPr>
          <w:p w14:paraId="38544CF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1E51B80C">
        <w:tblPrEx>
          <w:tblCellMar>
            <w:top w:w="0" w:type="dxa"/>
            <w:left w:w="108" w:type="dxa"/>
            <w:bottom w:w="0" w:type="dxa"/>
            <w:right w:w="108" w:type="dxa"/>
          </w:tblCellMar>
        </w:tblPrEx>
        <w:trPr>
          <w:trHeight w:val="1128" w:hRule="atLeast"/>
          <w:jc w:val="center"/>
        </w:trPr>
        <w:tc>
          <w:tcPr>
            <w:tcW w:w="842" w:type="dxa"/>
            <w:tcBorders>
              <w:top w:val="nil"/>
              <w:left w:val="single" w:color="auto" w:sz="4" w:space="0"/>
              <w:bottom w:val="single" w:color="auto" w:sz="4" w:space="0"/>
              <w:right w:val="single" w:color="auto" w:sz="4" w:space="0"/>
            </w:tcBorders>
            <w:noWrap/>
            <w:vAlign w:val="center"/>
          </w:tcPr>
          <w:p w14:paraId="680464A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6095" w:type="dxa"/>
            <w:tcBorders>
              <w:top w:val="nil"/>
              <w:left w:val="nil"/>
              <w:bottom w:val="single" w:color="auto" w:sz="4" w:space="0"/>
              <w:right w:val="single" w:color="auto" w:sz="4" w:space="0"/>
            </w:tcBorders>
            <w:noWrap w:val="0"/>
            <w:vAlign w:val="center"/>
          </w:tcPr>
          <w:p w14:paraId="4FAD2527">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每月组织从业人员认真学习相关食品安全知识，开展员工食品安全培训，员工全部持证上岗。自觉接受学校和上级职能部门对食品卫生的监督、检查，在学校或上级部门检查中无扣分。</w:t>
            </w:r>
          </w:p>
        </w:tc>
        <w:tc>
          <w:tcPr>
            <w:tcW w:w="992" w:type="dxa"/>
            <w:tcBorders>
              <w:top w:val="nil"/>
              <w:left w:val="nil"/>
              <w:bottom w:val="single" w:color="auto" w:sz="4" w:space="0"/>
              <w:right w:val="single" w:color="auto" w:sz="4" w:space="0"/>
            </w:tcBorders>
            <w:noWrap/>
            <w:vAlign w:val="center"/>
          </w:tcPr>
          <w:p w14:paraId="4E30FADB">
            <w:pPr>
              <w:widowControl/>
              <w:jc w:val="center"/>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0</w:t>
            </w:r>
          </w:p>
        </w:tc>
        <w:tc>
          <w:tcPr>
            <w:tcW w:w="1043" w:type="dxa"/>
            <w:tcBorders>
              <w:top w:val="nil"/>
              <w:left w:val="nil"/>
              <w:bottom w:val="single" w:color="auto" w:sz="4" w:space="0"/>
              <w:right w:val="single" w:color="auto" w:sz="4" w:space="0"/>
            </w:tcBorders>
            <w:noWrap/>
            <w:vAlign w:val="center"/>
          </w:tcPr>
          <w:p w14:paraId="375D7E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4EF24BA8">
        <w:tblPrEx>
          <w:tblCellMar>
            <w:top w:w="0" w:type="dxa"/>
            <w:left w:w="108" w:type="dxa"/>
            <w:bottom w:w="0" w:type="dxa"/>
            <w:right w:w="108" w:type="dxa"/>
          </w:tblCellMar>
        </w:tblPrEx>
        <w:trPr>
          <w:trHeight w:val="1078" w:hRule="atLeast"/>
          <w:jc w:val="center"/>
        </w:trPr>
        <w:tc>
          <w:tcPr>
            <w:tcW w:w="842" w:type="dxa"/>
            <w:tcBorders>
              <w:top w:val="nil"/>
              <w:left w:val="single" w:color="auto" w:sz="4" w:space="0"/>
              <w:bottom w:val="single" w:color="auto" w:sz="4" w:space="0"/>
              <w:right w:val="single" w:color="auto" w:sz="4" w:space="0"/>
            </w:tcBorders>
            <w:noWrap/>
            <w:vAlign w:val="center"/>
          </w:tcPr>
          <w:p w14:paraId="55C6D11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6095" w:type="dxa"/>
            <w:tcBorders>
              <w:top w:val="nil"/>
              <w:left w:val="nil"/>
              <w:bottom w:val="single" w:color="auto" w:sz="4" w:space="0"/>
              <w:right w:val="single" w:color="auto" w:sz="4" w:space="0"/>
            </w:tcBorders>
            <w:noWrap w:val="0"/>
            <w:vAlign w:val="center"/>
          </w:tcPr>
          <w:p w14:paraId="3E134903">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规范员工操作流程做好食材验收、清洗、切配、烹饪、售卖等环节，做好防火、防盗和防止食物中毒等安全工作，无管理不当或人为造成损失和安全事故。</w:t>
            </w:r>
          </w:p>
        </w:tc>
        <w:tc>
          <w:tcPr>
            <w:tcW w:w="992" w:type="dxa"/>
            <w:tcBorders>
              <w:top w:val="nil"/>
              <w:left w:val="nil"/>
              <w:bottom w:val="single" w:color="auto" w:sz="4" w:space="0"/>
              <w:right w:val="single" w:color="auto" w:sz="4" w:space="0"/>
            </w:tcBorders>
            <w:noWrap/>
            <w:vAlign w:val="center"/>
          </w:tcPr>
          <w:p w14:paraId="0201E753">
            <w:pPr>
              <w:widowControl/>
              <w:jc w:val="center"/>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5</w:t>
            </w:r>
          </w:p>
        </w:tc>
        <w:tc>
          <w:tcPr>
            <w:tcW w:w="1043" w:type="dxa"/>
            <w:tcBorders>
              <w:top w:val="nil"/>
              <w:left w:val="nil"/>
              <w:bottom w:val="single" w:color="auto" w:sz="4" w:space="0"/>
              <w:right w:val="single" w:color="auto" w:sz="4" w:space="0"/>
            </w:tcBorders>
            <w:noWrap/>
            <w:vAlign w:val="center"/>
          </w:tcPr>
          <w:p w14:paraId="4A93252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6BB0BF55">
        <w:tblPrEx>
          <w:tblCellMar>
            <w:top w:w="0" w:type="dxa"/>
            <w:left w:w="108" w:type="dxa"/>
            <w:bottom w:w="0" w:type="dxa"/>
            <w:right w:w="108" w:type="dxa"/>
          </w:tblCellMar>
        </w:tblPrEx>
        <w:trPr>
          <w:trHeight w:val="1555" w:hRule="atLeast"/>
          <w:jc w:val="center"/>
        </w:trPr>
        <w:tc>
          <w:tcPr>
            <w:tcW w:w="842" w:type="dxa"/>
            <w:tcBorders>
              <w:top w:val="nil"/>
              <w:left w:val="single" w:color="auto" w:sz="4" w:space="0"/>
              <w:bottom w:val="single" w:color="auto" w:sz="4" w:space="0"/>
              <w:right w:val="single" w:color="auto" w:sz="4" w:space="0"/>
            </w:tcBorders>
            <w:noWrap/>
            <w:vAlign w:val="center"/>
          </w:tcPr>
          <w:p w14:paraId="04A882D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6095" w:type="dxa"/>
            <w:tcBorders>
              <w:top w:val="nil"/>
              <w:left w:val="nil"/>
              <w:bottom w:val="single" w:color="auto" w:sz="4" w:space="0"/>
              <w:right w:val="single" w:color="auto" w:sz="4" w:space="0"/>
            </w:tcBorders>
            <w:noWrap w:val="0"/>
            <w:vAlign w:val="center"/>
          </w:tcPr>
          <w:p w14:paraId="7B84FEC1">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科学合理的制订周食谱及食材配送计划，每周五交由校方审核并报备食安办审批。在饭菜的供应上，按校方要求（包含休息日）依据学校相关管理办法供应方式保证早、中、晚三餐供应，在制作上做到“卫生、可口、营养均衡”。</w:t>
            </w:r>
            <w:r>
              <w:rPr>
                <w:rFonts w:ascii="宋体" w:hAnsi="宋体" w:eastAsia="宋体" w:cs="宋体"/>
                <w:color w:val="000000"/>
                <w:kern w:val="0"/>
                <w:szCs w:val="21"/>
              </w:rPr>
              <w:t xml:space="preserve"> </w:t>
            </w:r>
          </w:p>
        </w:tc>
        <w:tc>
          <w:tcPr>
            <w:tcW w:w="992" w:type="dxa"/>
            <w:tcBorders>
              <w:top w:val="nil"/>
              <w:left w:val="nil"/>
              <w:bottom w:val="single" w:color="auto" w:sz="4" w:space="0"/>
              <w:right w:val="single" w:color="auto" w:sz="4" w:space="0"/>
            </w:tcBorders>
            <w:noWrap/>
            <w:vAlign w:val="center"/>
          </w:tcPr>
          <w:p w14:paraId="59C7E198">
            <w:pPr>
              <w:widowControl/>
              <w:jc w:val="center"/>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0</w:t>
            </w:r>
          </w:p>
        </w:tc>
        <w:tc>
          <w:tcPr>
            <w:tcW w:w="1043" w:type="dxa"/>
            <w:tcBorders>
              <w:top w:val="nil"/>
              <w:left w:val="nil"/>
              <w:bottom w:val="single" w:color="auto" w:sz="4" w:space="0"/>
              <w:right w:val="single" w:color="auto" w:sz="4" w:space="0"/>
            </w:tcBorders>
            <w:noWrap/>
            <w:vAlign w:val="center"/>
          </w:tcPr>
          <w:p w14:paraId="6F09BD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361C7AF7">
        <w:tblPrEx>
          <w:tblCellMar>
            <w:top w:w="0" w:type="dxa"/>
            <w:left w:w="108" w:type="dxa"/>
            <w:bottom w:w="0" w:type="dxa"/>
            <w:right w:w="108" w:type="dxa"/>
          </w:tblCellMar>
        </w:tblPrEx>
        <w:trPr>
          <w:trHeight w:val="836" w:hRule="atLeast"/>
          <w:jc w:val="center"/>
        </w:trPr>
        <w:tc>
          <w:tcPr>
            <w:tcW w:w="842" w:type="dxa"/>
            <w:tcBorders>
              <w:top w:val="nil"/>
              <w:left w:val="single" w:color="auto" w:sz="4" w:space="0"/>
              <w:bottom w:val="single" w:color="auto" w:sz="4" w:space="0"/>
              <w:right w:val="single" w:color="auto" w:sz="4" w:space="0"/>
            </w:tcBorders>
            <w:noWrap/>
            <w:vAlign w:val="center"/>
          </w:tcPr>
          <w:p w14:paraId="71FE1E5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6095" w:type="dxa"/>
            <w:tcBorders>
              <w:top w:val="nil"/>
              <w:left w:val="nil"/>
              <w:bottom w:val="single" w:color="auto" w:sz="4" w:space="0"/>
              <w:right w:val="single" w:color="auto" w:sz="4" w:space="0"/>
            </w:tcBorders>
            <w:noWrap w:val="0"/>
            <w:vAlign w:val="center"/>
          </w:tcPr>
          <w:p w14:paraId="685C1CC0">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对食堂所用米面、猪肉、食油等食材依照教育局相关制度</w:t>
            </w:r>
            <w:r>
              <w:rPr>
                <w:rFonts w:ascii="宋体" w:hAnsi="宋体" w:eastAsia="宋体" w:cs="宋体"/>
                <w:color w:val="000000"/>
                <w:kern w:val="0"/>
                <w:szCs w:val="21"/>
              </w:rPr>
              <w:t>100%</w:t>
            </w:r>
            <w:r>
              <w:rPr>
                <w:rFonts w:hint="eastAsia" w:ascii="宋体" w:hAnsi="宋体" w:eastAsia="宋体" w:cs="宋体"/>
                <w:color w:val="000000"/>
                <w:kern w:val="0"/>
                <w:szCs w:val="21"/>
              </w:rPr>
              <w:t>由配送公司依周食材计划配送。不私自采购食材，确保食材安全。</w:t>
            </w:r>
          </w:p>
        </w:tc>
        <w:tc>
          <w:tcPr>
            <w:tcW w:w="992" w:type="dxa"/>
            <w:tcBorders>
              <w:top w:val="nil"/>
              <w:left w:val="nil"/>
              <w:bottom w:val="single" w:color="auto" w:sz="4" w:space="0"/>
              <w:right w:val="single" w:color="auto" w:sz="4" w:space="0"/>
            </w:tcBorders>
            <w:noWrap/>
            <w:vAlign w:val="center"/>
          </w:tcPr>
          <w:p w14:paraId="45AD5DC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1043" w:type="dxa"/>
            <w:tcBorders>
              <w:top w:val="nil"/>
              <w:left w:val="nil"/>
              <w:bottom w:val="single" w:color="auto" w:sz="4" w:space="0"/>
              <w:right w:val="single" w:color="auto" w:sz="4" w:space="0"/>
            </w:tcBorders>
            <w:noWrap/>
            <w:vAlign w:val="center"/>
          </w:tcPr>
          <w:p w14:paraId="5D4B9A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400DC599">
        <w:tblPrEx>
          <w:tblCellMar>
            <w:top w:w="0" w:type="dxa"/>
            <w:left w:w="108" w:type="dxa"/>
            <w:bottom w:w="0" w:type="dxa"/>
            <w:right w:w="108" w:type="dxa"/>
          </w:tblCellMar>
        </w:tblPrEx>
        <w:trPr>
          <w:trHeight w:val="834" w:hRule="atLeast"/>
          <w:jc w:val="center"/>
        </w:trPr>
        <w:tc>
          <w:tcPr>
            <w:tcW w:w="842" w:type="dxa"/>
            <w:tcBorders>
              <w:top w:val="nil"/>
              <w:left w:val="single" w:color="auto" w:sz="4" w:space="0"/>
              <w:bottom w:val="single" w:color="auto" w:sz="4" w:space="0"/>
              <w:right w:val="single" w:color="auto" w:sz="4" w:space="0"/>
            </w:tcBorders>
            <w:noWrap/>
            <w:vAlign w:val="center"/>
          </w:tcPr>
          <w:p w14:paraId="08FE0F6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6095" w:type="dxa"/>
            <w:tcBorders>
              <w:top w:val="nil"/>
              <w:left w:val="nil"/>
              <w:bottom w:val="single" w:color="auto" w:sz="4" w:space="0"/>
              <w:right w:val="single" w:color="auto" w:sz="4" w:space="0"/>
            </w:tcBorders>
            <w:noWrap w:val="0"/>
            <w:vAlign w:val="center"/>
          </w:tcPr>
          <w:p w14:paraId="3ADB94DE">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定期对从业人员定期开展体检、持有健康证上岗，统一着装上岗，做到文明、礼貌、微笑服务。</w:t>
            </w:r>
          </w:p>
        </w:tc>
        <w:tc>
          <w:tcPr>
            <w:tcW w:w="992" w:type="dxa"/>
            <w:tcBorders>
              <w:top w:val="nil"/>
              <w:left w:val="nil"/>
              <w:bottom w:val="single" w:color="auto" w:sz="4" w:space="0"/>
              <w:right w:val="single" w:color="auto" w:sz="4" w:space="0"/>
            </w:tcBorders>
            <w:noWrap/>
            <w:vAlign w:val="center"/>
          </w:tcPr>
          <w:p w14:paraId="7296FC6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1043" w:type="dxa"/>
            <w:tcBorders>
              <w:top w:val="nil"/>
              <w:left w:val="nil"/>
              <w:bottom w:val="single" w:color="auto" w:sz="4" w:space="0"/>
              <w:right w:val="single" w:color="auto" w:sz="4" w:space="0"/>
            </w:tcBorders>
            <w:noWrap/>
            <w:vAlign w:val="center"/>
          </w:tcPr>
          <w:p w14:paraId="0B0DBA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0663FDC8">
        <w:tblPrEx>
          <w:tblCellMar>
            <w:top w:w="0" w:type="dxa"/>
            <w:left w:w="108" w:type="dxa"/>
            <w:bottom w:w="0" w:type="dxa"/>
            <w:right w:w="108" w:type="dxa"/>
          </w:tblCellMar>
        </w:tblPrEx>
        <w:trPr>
          <w:trHeight w:val="832" w:hRule="atLeast"/>
          <w:jc w:val="center"/>
        </w:trPr>
        <w:tc>
          <w:tcPr>
            <w:tcW w:w="842" w:type="dxa"/>
            <w:tcBorders>
              <w:top w:val="nil"/>
              <w:left w:val="single" w:color="auto" w:sz="4" w:space="0"/>
              <w:bottom w:val="single" w:color="auto" w:sz="4" w:space="0"/>
              <w:right w:val="single" w:color="auto" w:sz="4" w:space="0"/>
            </w:tcBorders>
            <w:noWrap/>
            <w:vAlign w:val="center"/>
          </w:tcPr>
          <w:p w14:paraId="294D91A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6095" w:type="dxa"/>
            <w:tcBorders>
              <w:top w:val="nil"/>
              <w:left w:val="nil"/>
              <w:bottom w:val="single" w:color="auto" w:sz="4" w:space="0"/>
              <w:right w:val="single" w:color="auto" w:sz="4" w:space="0"/>
            </w:tcBorders>
            <w:noWrap w:val="0"/>
            <w:vAlign w:val="center"/>
          </w:tcPr>
          <w:p w14:paraId="49B866E0">
            <w:pPr>
              <w:widowControl/>
              <w:spacing w:line="34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在管理食堂时，要严格遵照上级相关文件规定，保证饭菜质量，做好食品留样和各种相关记录。</w:t>
            </w:r>
          </w:p>
        </w:tc>
        <w:tc>
          <w:tcPr>
            <w:tcW w:w="992" w:type="dxa"/>
            <w:tcBorders>
              <w:top w:val="nil"/>
              <w:left w:val="nil"/>
              <w:bottom w:val="single" w:color="auto" w:sz="4" w:space="0"/>
              <w:right w:val="single" w:color="auto" w:sz="4" w:space="0"/>
            </w:tcBorders>
            <w:noWrap/>
            <w:vAlign w:val="center"/>
          </w:tcPr>
          <w:p w14:paraId="136DD961">
            <w:pPr>
              <w:widowControl/>
              <w:jc w:val="center"/>
              <w:rPr>
                <w:rFonts w:ascii="宋体" w:hAnsi="宋体" w:eastAsia="宋体" w:cs="宋体"/>
                <w:color w:val="000000"/>
                <w:kern w:val="0"/>
                <w:szCs w:val="21"/>
              </w:rPr>
            </w:pPr>
            <w:r>
              <w:rPr>
                <w:rFonts w:ascii="宋体" w:hAnsi="宋体" w:eastAsia="宋体" w:cs="宋体"/>
                <w:color w:val="000000"/>
                <w:kern w:val="0"/>
                <w:szCs w:val="21"/>
              </w:rPr>
              <w:t>5</w:t>
            </w:r>
          </w:p>
        </w:tc>
        <w:tc>
          <w:tcPr>
            <w:tcW w:w="1043" w:type="dxa"/>
            <w:tcBorders>
              <w:top w:val="nil"/>
              <w:left w:val="nil"/>
              <w:bottom w:val="single" w:color="auto" w:sz="4" w:space="0"/>
              <w:right w:val="single" w:color="auto" w:sz="4" w:space="0"/>
            </w:tcBorders>
            <w:noWrap/>
            <w:vAlign w:val="center"/>
          </w:tcPr>
          <w:p w14:paraId="3BBD414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r w14:paraId="2E384847">
        <w:tblPrEx>
          <w:tblCellMar>
            <w:top w:w="0" w:type="dxa"/>
            <w:left w:w="108" w:type="dxa"/>
            <w:bottom w:w="0" w:type="dxa"/>
            <w:right w:w="108" w:type="dxa"/>
          </w:tblCellMar>
        </w:tblPrEx>
        <w:trPr>
          <w:trHeight w:val="986" w:hRule="atLeast"/>
          <w:jc w:val="center"/>
        </w:trPr>
        <w:tc>
          <w:tcPr>
            <w:tcW w:w="842" w:type="dxa"/>
            <w:tcBorders>
              <w:top w:val="nil"/>
              <w:left w:val="single" w:color="auto" w:sz="4" w:space="0"/>
              <w:bottom w:val="single" w:color="auto" w:sz="4" w:space="0"/>
              <w:right w:val="single" w:color="auto" w:sz="4" w:space="0"/>
            </w:tcBorders>
            <w:noWrap/>
            <w:vAlign w:val="center"/>
          </w:tcPr>
          <w:p w14:paraId="04133A7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6095" w:type="dxa"/>
            <w:tcBorders>
              <w:top w:val="nil"/>
              <w:left w:val="nil"/>
              <w:bottom w:val="single" w:color="auto" w:sz="4" w:space="0"/>
              <w:right w:val="single" w:color="auto" w:sz="4" w:space="0"/>
            </w:tcBorders>
            <w:noWrap w:val="0"/>
            <w:vAlign w:val="center"/>
          </w:tcPr>
          <w:p w14:paraId="3C009E34">
            <w:pPr>
              <w:widowControl/>
              <w:spacing w:line="340" w:lineRule="exact"/>
              <w:jc w:val="left"/>
              <w:rPr>
                <w:rFonts w:ascii="宋体" w:hAnsi="宋体" w:eastAsia="宋体" w:cs="宋体"/>
                <w:color w:val="000000"/>
                <w:kern w:val="0"/>
                <w:szCs w:val="21"/>
              </w:rPr>
            </w:pPr>
            <w:r>
              <w:rPr>
                <w:rFonts w:hint="eastAsia" w:ascii="宋体" w:hAnsi="宋体"/>
                <w:szCs w:val="21"/>
              </w:rPr>
              <w:t>师生满意度调查，满意度90%及以上为10分；80%-89%为8分；70%-79%为6分；60%-69%为4分；60%以下为0分。（10分）</w:t>
            </w:r>
          </w:p>
        </w:tc>
        <w:tc>
          <w:tcPr>
            <w:tcW w:w="992" w:type="dxa"/>
            <w:tcBorders>
              <w:top w:val="nil"/>
              <w:left w:val="nil"/>
              <w:bottom w:val="single" w:color="auto" w:sz="4" w:space="0"/>
              <w:right w:val="single" w:color="auto" w:sz="4" w:space="0"/>
            </w:tcBorders>
            <w:noWrap/>
            <w:vAlign w:val="center"/>
          </w:tcPr>
          <w:p w14:paraId="31FD68D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1043" w:type="dxa"/>
            <w:tcBorders>
              <w:top w:val="nil"/>
              <w:left w:val="nil"/>
              <w:bottom w:val="single" w:color="auto" w:sz="4" w:space="0"/>
              <w:right w:val="single" w:color="auto" w:sz="4" w:space="0"/>
            </w:tcBorders>
            <w:noWrap/>
            <w:vAlign w:val="center"/>
          </w:tcPr>
          <w:p w14:paraId="7F13B72E">
            <w:pPr>
              <w:widowControl/>
              <w:jc w:val="left"/>
              <w:rPr>
                <w:rFonts w:ascii="宋体" w:hAnsi="宋体" w:eastAsia="宋体" w:cs="宋体"/>
                <w:color w:val="000000"/>
                <w:kern w:val="0"/>
                <w:szCs w:val="21"/>
              </w:rPr>
            </w:pPr>
          </w:p>
        </w:tc>
      </w:tr>
      <w:tr w14:paraId="1607CF2B">
        <w:tblPrEx>
          <w:tblCellMar>
            <w:top w:w="0" w:type="dxa"/>
            <w:left w:w="108" w:type="dxa"/>
            <w:bottom w:w="0" w:type="dxa"/>
            <w:right w:w="108" w:type="dxa"/>
          </w:tblCellMar>
        </w:tblPrEx>
        <w:trPr>
          <w:trHeight w:val="661" w:hRule="atLeast"/>
          <w:jc w:val="center"/>
        </w:trPr>
        <w:tc>
          <w:tcPr>
            <w:tcW w:w="842" w:type="dxa"/>
            <w:tcBorders>
              <w:top w:val="nil"/>
              <w:left w:val="single" w:color="auto" w:sz="4" w:space="0"/>
              <w:bottom w:val="single" w:color="auto" w:sz="4" w:space="0"/>
              <w:right w:val="single" w:color="auto" w:sz="4" w:space="0"/>
            </w:tcBorders>
            <w:noWrap/>
            <w:vAlign w:val="center"/>
          </w:tcPr>
          <w:p w14:paraId="3405CB56">
            <w:pPr>
              <w:widowControl/>
              <w:ind w:left="210" w:hanging="210" w:hangingChars="100"/>
              <w:jc w:val="left"/>
              <w:rPr>
                <w:rFonts w:ascii="宋体" w:hAnsi="宋体" w:eastAsia="宋体" w:cs="宋体"/>
                <w:color w:val="000000"/>
                <w:kern w:val="0"/>
                <w:szCs w:val="21"/>
              </w:rPr>
            </w:pPr>
            <w:r>
              <w:rPr>
                <w:rFonts w:hint="eastAsia" w:ascii="宋体" w:hAnsi="宋体" w:eastAsia="宋体" w:cs="宋体"/>
                <w:color w:val="000000"/>
                <w:kern w:val="0"/>
                <w:szCs w:val="21"/>
              </w:rPr>
              <w:t>　总分</w:t>
            </w:r>
          </w:p>
        </w:tc>
        <w:tc>
          <w:tcPr>
            <w:tcW w:w="6095" w:type="dxa"/>
            <w:tcBorders>
              <w:top w:val="nil"/>
              <w:left w:val="nil"/>
              <w:bottom w:val="single" w:color="auto" w:sz="4" w:space="0"/>
              <w:right w:val="single" w:color="auto" w:sz="4" w:space="0"/>
            </w:tcBorders>
            <w:noWrap/>
            <w:vAlign w:val="center"/>
          </w:tcPr>
          <w:p w14:paraId="4A62CBE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992" w:type="dxa"/>
            <w:tcBorders>
              <w:top w:val="nil"/>
              <w:left w:val="nil"/>
              <w:bottom w:val="single" w:color="auto" w:sz="4" w:space="0"/>
              <w:right w:val="single" w:color="auto" w:sz="4" w:space="0"/>
            </w:tcBorders>
            <w:noWrap/>
            <w:vAlign w:val="center"/>
          </w:tcPr>
          <w:p w14:paraId="3808FCAE">
            <w:pPr>
              <w:widowControl/>
              <w:jc w:val="center"/>
              <w:rPr>
                <w:rFonts w:ascii="宋体" w:hAnsi="宋体" w:eastAsia="宋体" w:cs="宋体"/>
                <w:color w:val="000000"/>
                <w:kern w:val="0"/>
                <w:szCs w:val="21"/>
              </w:rPr>
            </w:pPr>
            <w:r>
              <w:rPr>
                <w:rFonts w:ascii="宋体" w:hAnsi="宋体" w:eastAsia="宋体" w:cs="宋体"/>
                <w:color w:val="000000"/>
                <w:kern w:val="0"/>
                <w:szCs w:val="21"/>
              </w:rPr>
              <w:t>100</w:t>
            </w:r>
          </w:p>
        </w:tc>
        <w:tc>
          <w:tcPr>
            <w:tcW w:w="1043" w:type="dxa"/>
            <w:tcBorders>
              <w:top w:val="nil"/>
              <w:left w:val="nil"/>
              <w:bottom w:val="single" w:color="auto" w:sz="4" w:space="0"/>
              <w:right w:val="single" w:color="auto" w:sz="4" w:space="0"/>
            </w:tcBorders>
            <w:noWrap/>
            <w:vAlign w:val="center"/>
          </w:tcPr>
          <w:p w14:paraId="1C0BDC0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r>
    </w:tbl>
    <w:p w14:paraId="2BEE4201"/>
    <w:p w14:paraId="405F0F7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8"/>
          <w:szCs w:val="24"/>
          <w:highlight w:val="none"/>
        </w:rPr>
      </w:pPr>
    </w:p>
    <w:p w14:paraId="68E333A1">
      <w:pPr>
        <w:rPr>
          <w:rFonts w:hint="eastAsia" w:ascii="宋体" w:hAnsi="宋体" w:eastAsia="宋体" w:cs="宋体"/>
          <w:sz w:val="28"/>
          <w:szCs w:val="24"/>
          <w:highlight w:val="none"/>
        </w:rPr>
      </w:pPr>
      <w:bookmarkStart w:id="98" w:name="_Toc22919"/>
      <w:r>
        <w:rPr>
          <w:rFonts w:hint="eastAsia" w:ascii="宋体" w:hAnsi="宋体" w:eastAsia="宋体" w:cs="宋体"/>
          <w:sz w:val="28"/>
          <w:szCs w:val="24"/>
          <w:highlight w:val="none"/>
        </w:rPr>
        <w:br w:type="page"/>
      </w:r>
    </w:p>
    <w:tbl>
      <w:tblPr>
        <w:tblStyle w:val="34"/>
        <w:tblW w:w="8379" w:type="dxa"/>
        <w:jc w:val="center"/>
        <w:tblLayout w:type="autofit"/>
        <w:tblCellMar>
          <w:top w:w="0" w:type="dxa"/>
          <w:left w:w="108" w:type="dxa"/>
          <w:bottom w:w="0" w:type="dxa"/>
          <w:right w:w="108" w:type="dxa"/>
        </w:tblCellMar>
      </w:tblPr>
      <w:tblGrid>
        <w:gridCol w:w="1008"/>
        <w:gridCol w:w="2693"/>
        <w:gridCol w:w="1559"/>
        <w:gridCol w:w="1559"/>
        <w:gridCol w:w="1560"/>
      </w:tblGrid>
      <w:tr w14:paraId="1645CE68">
        <w:tblPrEx>
          <w:tblCellMar>
            <w:top w:w="0" w:type="dxa"/>
            <w:left w:w="108" w:type="dxa"/>
            <w:bottom w:w="0" w:type="dxa"/>
            <w:right w:w="108" w:type="dxa"/>
          </w:tblCellMar>
        </w:tblPrEx>
        <w:trPr>
          <w:trHeight w:val="1065" w:hRule="atLeast"/>
          <w:jc w:val="center"/>
        </w:trPr>
        <w:tc>
          <w:tcPr>
            <w:tcW w:w="8379" w:type="dxa"/>
            <w:gridSpan w:val="5"/>
            <w:tcBorders>
              <w:top w:val="nil"/>
              <w:left w:val="nil"/>
              <w:bottom w:val="single" w:color="auto" w:sz="4" w:space="0"/>
              <w:right w:val="nil"/>
            </w:tcBorders>
            <w:noWrap/>
            <w:vAlign w:val="center"/>
          </w:tcPr>
          <w:p w14:paraId="759F4B3F">
            <w:pPr>
              <w:widowControl/>
              <w:jc w:val="center"/>
              <w:rPr>
                <w:rFonts w:ascii="宋体" w:cs="宋体"/>
                <w:b/>
                <w:bCs/>
                <w:color w:val="000000"/>
                <w:kern w:val="0"/>
                <w:sz w:val="52"/>
                <w:szCs w:val="52"/>
              </w:rPr>
            </w:pPr>
            <w:r>
              <w:rPr>
                <w:rFonts w:hint="eastAsia" w:ascii="宋体" w:hAnsi="宋体" w:cs="宋体"/>
                <w:b/>
                <w:bCs/>
                <w:color w:val="000000"/>
                <w:kern w:val="0"/>
                <w:sz w:val="36"/>
                <w:szCs w:val="36"/>
              </w:rPr>
              <w:t>霍山县城东幼儿园食堂配备人员表</w:t>
            </w:r>
          </w:p>
        </w:tc>
      </w:tr>
      <w:tr w14:paraId="0D3A96D4">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67407C3E">
            <w:pPr>
              <w:widowControl/>
              <w:jc w:val="center"/>
              <w:rPr>
                <w:rFonts w:ascii="宋体" w:cs="宋体"/>
                <w:color w:val="000000"/>
                <w:kern w:val="0"/>
                <w:sz w:val="28"/>
                <w:szCs w:val="28"/>
              </w:rPr>
            </w:pPr>
            <w:r>
              <w:rPr>
                <w:rFonts w:hint="eastAsia" w:ascii="宋体" w:hAnsi="宋体" w:cs="宋体"/>
                <w:color w:val="000000"/>
                <w:kern w:val="0"/>
                <w:sz w:val="28"/>
                <w:szCs w:val="28"/>
              </w:rPr>
              <w:t>序号</w:t>
            </w:r>
          </w:p>
        </w:tc>
        <w:tc>
          <w:tcPr>
            <w:tcW w:w="2693" w:type="dxa"/>
            <w:tcBorders>
              <w:top w:val="nil"/>
              <w:left w:val="nil"/>
              <w:bottom w:val="single" w:color="auto" w:sz="4" w:space="0"/>
              <w:right w:val="single" w:color="auto" w:sz="4" w:space="0"/>
            </w:tcBorders>
            <w:noWrap/>
            <w:vAlign w:val="center"/>
          </w:tcPr>
          <w:p w14:paraId="6A087B4B">
            <w:pPr>
              <w:widowControl/>
              <w:jc w:val="center"/>
              <w:rPr>
                <w:rFonts w:ascii="宋体" w:cs="宋体"/>
                <w:color w:val="000000"/>
                <w:kern w:val="0"/>
                <w:sz w:val="28"/>
                <w:szCs w:val="28"/>
              </w:rPr>
            </w:pPr>
            <w:r>
              <w:rPr>
                <w:rFonts w:hint="eastAsia" w:ascii="宋体" w:hAnsi="宋体" w:cs="宋体"/>
                <w:color w:val="000000"/>
                <w:kern w:val="0"/>
                <w:sz w:val="28"/>
                <w:szCs w:val="28"/>
              </w:rPr>
              <w:t>岗位</w:t>
            </w:r>
          </w:p>
        </w:tc>
        <w:tc>
          <w:tcPr>
            <w:tcW w:w="1559" w:type="dxa"/>
            <w:tcBorders>
              <w:top w:val="nil"/>
              <w:left w:val="nil"/>
              <w:bottom w:val="single" w:color="auto" w:sz="4" w:space="0"/>
              <w:right w:val="single" w:color="auto" w:sz="4" w:space="0"/>
            </w:tcBorders>
            <w:noWrap/>
            <w:vAlign w:val="center"/>
          </w:tcPr>
          <w:p w14:paraId="37E0C7D1">
            <w:pPr>
              <w:widowControl/>
              <w:jc w:val="center"/>
              <w:rPr>
                <w:rFonts w:ascii="宋体" w:cs="宋体"/>
                <w:color w:val="000000"/>
                <w:kern w:val="0"/>
                <w:sz w:val="28"/>
                <w:szCs w:val="28"/>
              </w:rPr>
            </w:pPr>
            <w:r>
              <w:rPr>
                <w:rFonts w:hint="eastAsia" w:ascii="宋体" w:hAnsi="宋体" w:cs="宋体"/>
                <w:color w:val="000000"/>
                <w:kern w:val="0"/>
                <w:sz w:val="28"/>
                <w:szCs w:val="28"/>
              </w:rPr>
              <w:t>人数</w:t>
            </w:r>
          </w:p>
        </w:tc>
        <w:tc>
          <w:tcPr>
            <w:tcW w:w="1559" w:type="dxa"/>
            <w:tcBorders>
              <w:top w:val="nil"/>
              <w:left w:val="nil"/>
              <w:bottom w:val="single" w:color="auto" w:sz="4" w:space="0"/>
              <w:right w:val="single" w:color="auto" w:sz="4" w:space="0"/>
            </w:tcBorders>
            <w:noWrap/>
            <w:vAlign w:val="center"/>
          </w:tcPr>
          <w:p w14:paraId="67F05B09">
            <w:pPr>
              <w:widowControl/>
              <w:jc w:val="center"/>
              <w:rPr>
                <w:rFonts w:ascii="宋体" w:cs="宋体"/>
                <w:color w:val="000000"/>
                <w:kern w:val="0"/>
                <w:sz w:val="28"/>
                <w:szCs w:val="28"/>
              </w:rPr>
            </w:pPr>
            <w:r>
              <w:rPr>
                <w:rFonts w:hint="eastAsia" w:ascii="宋体" w:hAnsi="宋体" w:cs="宋体"/>
                <w:color w:val="000000"/>
                <w:kern w:val="0"/>
                <w:sz w:val="28"/>
                <w:szCs w:val="28"/>
              </w:rPr>
              <w:t>月工资</w:t>
            </w:r>
          </w:p>
        </w:tc>
        <w:tc>
          <w:tcPr>
            <w:tcW w:w="1560" w:type="dxa"/>
            <w:tcBorders>
              <w:top w:val="nil"/>
              <w:left w:val="nil"/>
              <w:bottom w:val="single" w:color="auto" w:sz="4" w:space="0"/>
              <w:right w:val="single" w:color="auto" w:sz="4" w:space="0"/>
            </w:tcBorders>
            <w:noWrap/>
            <w:vAlign w:val="center"/>
          </w:tcPr>
          <w:p w14:paraId="5523D301">
            <w:pPr>
              <w:widowControl/>
              <w:jc w:val="center"/>
              <w:rPr>
                <w:rFonts w:ascii="宋体" w:cs="宋体"/>
                <w:color w:val="000000"/>
                <w:kern w:val="0"/>
                <w:sz w:val="28"/>
                <w:szCs w:val="28"/>
              </w:rPr>
            </w:pPr>
            <w:r>
              <w:rPr>
                <w:rFonts w:hint="eastAsia" w:ascii="宋体" w:hAnsi="宋体" w:cs="宋体"/>
                <w:color w:val="000000"/>
                <w:kern w:val="0"/>
                <w:sz w:val="28"/>
                <w:szCs w:val="28"/>
              </w:rPr>
              <w:t>合计</w:t>
            </w:r>
          </w:p>
        </w:tc>
      </w:tr>
      <w:tr w14:paraId="3C94FA9A">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1147A5EE">
            <w:pPr>
              <w:widowControl/>
              <w:jc w:val="center"/>
              <w:rPr>
                <w:rFonts w:ascii="宋体" w:cs="宋体"/>
                <w:color w:val="000000"/>
                <w:kern w:val="0"/>
                <w:sz w:val="28"/>
                <w:szCs w:val="28"/>
              </w:rPr>
            </w:pPr>
            <w:r>
              <w:rPr>
                <w:rFonts w:ascii="宋体" w:hAnsi="宋体" w:cs="宋体"/>
                <w:color w:val="000000"/>
                <w:kern w:val="0"/>
                <w:sz w:val="28"/>
                <w:szCs w:val="28"/>
              </w:rPr>
              <w:t>1</w:t>
            </w:r>
          </w:p>
        </w:tc>
        <w:tc>
          <w:tcPr>
            <w:tcW w:w="2693" w:type="dxa"/>
            <w:tcBorders>
              <w:top w:val="nil"/>
              <w:left w:val="nil"/>
              <w:bottom w:val="single" w:color="auto" w:sz="4" w:space="0"/>
              <w:right w:val="single" w:color="auto" w:sz="4" w:space="0"/>
            </w:tcBorders>
            <w:noWrap/>
            <w:vAlign w:val="center"/>
          </w:tcPr>
          <w:p w14:paraId="20F46644">
            <w:pPr>
              <w:widowControl/>
              <w:jc w:val="center"/>
              <w:rPr>
                <w:rFonts w:ascii="宋体" w:cs="宋体"/>
                <w:color w:val="000000"/>
                <w:kern w:val="0"/>
                <w:sz w:val="28"/>
                <w:szCs w:val="28"/>
              </w:rPr>
            </w:pPr>
            <w:r>
              <w:rPr>
                <w:rFonts w:hint="eastAsia" w:ascii="宋体" w:hAnsi="宋体" w:cs="宋体"/>
                <w:color w:val="000000"/>
                <w:kern w:val="0"/>
                <w:sz w:val="28"/>
                <w:szCs w:val="28"/>
              </w:rPr>
              <w:t>主管</w:t>
            </w:r>
          </w:p>
        </w:tc>
        <w:tc>
          <w:tcPr>
            <w:tcW w:w="1559" w:type="dxa"/>
            <w:tcBorders>
              <w:top w:val="nil"/>
              <w:left w:val="nil"/>
              <w:bottom w:val="single" w:color="auto" w:sz="4" w:space="0"/>
              <w:right w:val="single" w:color="auto" w:sz="4" w:space="0"/>
            </w:tcBorders>
            <w:noWrap/>
            <w:vAlign w:val="center"/>
          </w:tcPr>
          <w:p w14:paraId="13FA3CAF">
            <w:pPr>
              <w:widowControl/>
              <w:jc w:val="center"/>
              <w:rPr>
                <w:rFonts w:ascii="宋体" w:cs="宋体"/>
                <w:color w:val="000000"/>
                <w:kern w:val="0"/>
                <w:sz w:val="28"/>
                <w:szCs w:val="28"/>
              </w:rPr>
            </w:pPr>
            <w:r>
              <w:rPr>
                <w:rFonts w:ascii="宋体" w:hAns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4B01981E">
            <w:pPr>
              <w:widowControl/>
              <w:jc w:val="center"/>
              <w:rPr>
                <w:rFonts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33D77F2C">
            <w:pPr>
              <w:widowControl/>
              <w:jc w:val="both"/>
              <w:rPr>
                <w:rFonts w:ascii="宋体" w:cs="宋体"/>
                <w:color w:val="000000"/>
                <w:kern w:val="0"/>
                <w:sz w:val="28"/>
                <w:szCs w:val="28"/>
              </w:rPr>
            </w:pPr>
          </w:p>
        </w:tc>
      </w:tr>
      <w:tr w14:paraId="6674BAFC">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0E22665E">
            <w:pPr>
              <w:widowControl/>
              <w:jc w:val="center"/>
              <w:rPr>
                <w:rFonts w:ascii="宋体" w:cs="宋体"/>
                <w:color w:val="000000"/>
                <w:kern w:val="0"/>
                <w:sz w:val="28"/>
                <w:szCs w:val="28"/>
              </w:rPr>
            </w:pPr>
            <w:r>
              <w:rPr>
                <w:rFonts w:ascii="宋体" w:hAnsi="宋体" w:cs="宋体"/>
                <w:color w:val="000000"/>
                <w:kern w:val="0"/>
                <w:sz w:val="28"/>
                <w:szCs w:val="28"/>
              </w:rPr>
              <w:t>2</w:t>
            </w:r>
          </w:p>
        </w:tc>
        <w:tc>
          <w:tcPr>
            <w:tcW w:w="2693" w:type="dxa"/>
            <w:tcBorders>
              <w:top w:val="nil"/>
              <w:left w:val="nil"/>
              <w:bottom w:val="single" w:color="auto" w:sz="4" w:space="0"/>
              <w:right w:val="single" w:color="auto" w:sz="4" w:space="0"/>
            </w:tcBorders>
            <w:noWrap/>
            <w:vAlign w:val="center"/>
          </w:tcPr>
          <w:p w14:paraId="14A13C75">
            <w:pPr>
              <w:widowControl/>
              <w:jc w:val="center"/>
              <w:rPr>
                <w:rFonts w:ascii="宋体" w:cs="宋体"/>
                <w:color w:val="000000"/>
                <w:kern w:val="0"/>
                <w:sz w:val="28"/>
                <w:szCs w:val="28"/>
              </w:rPr>
            </w:pPr>
            <w:r>
              <w:rPr>
                <w:rFonts w:hint="eastAsia" w:ascii="宋体" w:hAnsi="宋体" w:cs="宋体"/>
                <w:color w:val="000000"/>
                <w:kern w:val="0"/>
                <w:sz w:val="28"/>
                <w:szCs w:val="28"/>
              </w:rPr>
              <w:t>大厨</w:t>
            </w:r>
          </w:p>
        </w:tc>
        <w:tc>
          <w:tcPr>
            <w:tcW w:w="1559" w:type="dxa"/>
            <w:tcBorders>
              <w:top w:val="nil"/>
              <w:left w:val="nil"/>
              <w:bottom w:val="single" w:color="auto" w:sz="4" w:space="0"/>
              <w:right w:val="single" w:color="auto" w:sz="4" w:space="0"/>
            </w:tcBorders>
            <w:noWrap/>
            <w:vAlign w:val="center"/>
          </w:tcPr>
          <w:p w14:paraId="6C8B1421">
            <w:pPr>
              <w:widowControl/>
              <w:jc w:val="center"/>
              <w:rPr>
                <w:rFonts w:ascii="宋体" w:cs="宋体"/>
                <w:color w:val="000000"/>
                <w:kern w:val="0"/>
                <w:sz w:val="28"/>
                <w:szCs w:val="28"/>
              </w:rPr>
            </w:pPr>
            <w:r>
              <w:rPr>
                <w:rFonts w:ascii="宋体" w:hAns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6CFE10AD">
            <w:pPr>
              <w:widowControl/>
              <w:jc w:val="center"/>
              <w:rPr>
                <w:rFonts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70A344EF">
            <w:pPr>
              <w:widowControl/>
              <w:jc w:val="center"/>
              <w:rPr>
                <w:rFonts w:ascii="宋体" w:cs="宋体"/>
                <w:color w:val="000000"/>
                <w:kern w:val="0"/>
                <w:sz w:val="28"/>
                <w:szCs w:val="28"/>
              </w:rPr>
            </w:pPr>
          </w:p>
        </w:tc>
      </w:tr>
      <w:tr w14:paraId="29A9D9CD">
        <w:tblPrEx>
          <w:tblCellMar>
            <w:top w:w="0" w:type="dxa"/>
            <w:left w:w="108" w:type="dxa"/>
            <w:bottom w:w="0" w:type="dxa"/>
            <w:right w:w="108" w:type="dxa"/>
          </w:tblCellMar>
        </w:tblPrEx>
        <w:trPr>
          <w:trHeight w:val="756" w:hRule="atLeast"/>
          <w:jc w:val="center"/>
        </w:trPr>
        <w:tc>
          <w:tcPr>
            <w:tcW w:w="1008" w:type="dxa"/>
            <w:tcBorders>
              <w:top w:val="nil"/>
              <w:left w:val="single" w:color="auto" w:sz="4" w:space="0"/>
              <w:bottom w:val="single" w:color="auto" w:sz="4" w:space="0"/>
              <w:right w:val="single" w:color="auto" w:sz="4" w:space="0"/>
            </w:tcBorders>
            <w:noWrap/>
            <w:vAlign w:val="center"/>
          </w:tcPr>
          <w:p w14:paraId="4D4CC044">
            <w:pPr>
              <w:widowControl/>
              <w:jc w:val="center"/>
              <w:rPr>
                <w:rFonts w:ascii="宋体" w:cs="宋体"/>
                <w:color w:val="000000"/>
                <w:kern w:val="0"/>
                <w:sz w:val="28"/>
                <w:szCs w:val="28"/>
              </w:rPr>
            </w:pPr>
            <w:r>
              <w:rPr>
                <w:rFonts w:ascii="宋体" w:hAnsi="宋体" w:cs="宋体"/>
                <w:color w:val="000000"/>
                <w:kern w:val="0"/>
                <w:sz w:val="28"/>
                <w:szCs w:val="28"/>
              </w:rPr>
              <w:t>3</w:t>
            </w:r>
          </w:p>
        </w:tc>
        <w:tc>
          <w:tcPr>
            <w:tcW w:w="2693" w:type="dxa"/>
            <w:tcBorders>
              <w:top w:val="nil"/>
              <w:left w:val="nil"/>
              <w:bottom w:val="single" w:color="auto" w:sz="4" w:space="0"/>
              <w:right w:val="single" w:color="auto" w:sz="4" w:space="0"/>
            </w:tcBorders>
            <w:noWrap/>
            <w:vAlign w:val="center"/>
          </w:tcPr>
          <w:p w14:paraId="2E4BC5E0">
            <w:pPr>
              <w:widowControl/>
              <w:jc w:val="center"/>
              <w:rPr>
                <w:rFonts w:ascii="宋体" w:cs="宋体"/>
                <w:color w:val="000000"/>
                <w:kern w:val="0"/>
                <w:sz w:val="28"/>
                <w:szCs w:val="28"/>
              </w:rPr>
            </w:pPr>
            <w:r>
              <w:rPr>
                <w:rFonts w:hint="eastAsia" w:ascii="宋体" w:hAnsi="宋体" w:cs="宋体"/>
                <w:color w:val="000000"/>
                <w:kern w:val="0"/>
                <w:sz w:val="28"/>
                <w:szCs w:val="28"/>
              </w:rPr>
              <w:t>二厨</w:t>
            </w:r>
          </w:p>
        </w:tc>
        <w:tc>
          <w:tcPr>
            <w:tcW w:w="1559" w:type="dxa"/>
            <w:tcBorders>
              <w:top w:val="nil"/>
              <w:left w:val="nil"/>
              <w:bottom w:val="single" w:color="auto" w:sz="4" w:space="0"/>
              <w:right w:val="single" w:color="auto" w:sz="4" w:space="0"/>
            </w:tcBorders>
            <w:noWrap/>
            <w:vAlign w:val="center"/>
          </w:tcPr>
          <w:p w14:paraId="4A55BC45">
            <w:pPr>
              <w:widowControl/>
              <w:jc w:val="center"/>
              <w:rPr>
                <w:rFonts w:ascii="宋体" w:cs="宋体"/>
                <w:color w:val="000000"/>
                <w:kern w:val="0"/>
                <w:sz w:val="28"/>
                <w:szCs w:val="28"/>
              </w:rPr>
            </w:pPr>
            <w:r>
              <w:rPr>
                <w:rFonts w:hint="eastAsia" w:asci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714F3137">
            <w:pPr>
              <w:widowControl/>
              <w:jc w:val="both"/>
              <w:rPr>
                <w:rFonts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0912CF0A">
            <w:pPr>
              <w:widowControl/>
              <w:jc w:val="center"/>
              <w:rPr>
                <w:rFonts w:ascii="宋体" w:cs="宋体"/>
                <w:color w:val="000000"/>
                <w:kern w:val="0"/>
                <w:sz w:val="28"/>
                <w:szCs w:val="28"/>
              </w:rPr>
            </w:pPr>
          </w:p>
        </w:tc>
      </w:tr>
      <w:tr w14:paraId="0A216E74">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0F42D7F1">
            <w:pPr>
              <w:widowControl/>
              <w:jc w:val="center"/>
              <w:rPr>
                <w:rFonts w:ascii="宋体" w:cs="宋体"/>
                <w:color w:val="000000"/>
                <w:kern w:val="0"/>
                <w:sz w:val="28"/>
                <w:szCs w:val="28"/>
              </w:rPr>
            </w:pPr>
            <w:r>
              <w:rPr>
                <w:rFonts w:ascii="宋体" w:hAnsi="宋体" w:cs="宋体"/>
                <w:color w:val="000000"/>
                <w:kern w:val="0"/>
                <w:sz w:val="28"/>
                <w:szCs w:val="28"/>
              </w:rPr>
              <w:t>4</w:t>
            </w:r>
          </w:p>
        </w:tc>
        <w:tc>
          <w:tcPr>
            <w:tcW w:w="2693" w:type="dxa"/>
            <w:tcBorders>
              <w:top w:val="nil"/>
              <w:left w:val="nil"/>
              <w:bottom w:val="single" w:color="auto" w:sz="4" w:space="0"/>
              <w:right w:val="single" w:color="auto" w:sz="4" w:space="0"/>
            </w:tcBorders>
            <w:noWrap/>
            <w:vAlign w:val="center"/>
          </w:tcPr>
          <w:p w14:paraId="0591C2EF">
            <w:pPr>
              <w:widowControl/>
              <w:jc w:val="center"/>
              <w:rPr>
                <w:rFonts w:ascii="宋体" w:cs="宋体"/>
                <w:color w:val="000000"/>
                <w:kern w:val="0"/>
                <w:sz w:val="28"/>
                <w:szCs w:val="28"/>
              </w:rPr>
            </w:pPr>
            <w:r>
              <w:rPr>
                <w:rFonts w:hint="eastAsia" w:ascii="宋体" w:hAnsi="宋体" w:cs="宋体"/>
                <w:color w:val="000000"/>
                <w:kern w:val="0"/>
                <w:sz w:val="28"/>
                <w:szCs w:val="28"/>
              </w:rPr>
              <w:t>面点师</w:t>
            </w:r>
          </w:p>
        </w:tc>
        <w:tc>
          <w:tcPr>
            <w:tcW w:w="1559" w:type="dxa"/>
            <w:tcBorders>
              <w:top w:val="nil"/>
              <w:left w:val="nil"/>
              <w:bottom w:val="single" w:color="auto" w:sz="4" w:space="0"/>
              <w:right w:val="single" w:color="auto" w:sz="4" w:space="0"/>
            </w:tcBorders>
            <w:noWrap/>
            <w:vAlign w:val="center"/>
          </w:tcPr>
          <w:p w14:paraId="6D3F1DED">
            <w:pPr>
              <w:widowControl/>
              <w:jc w:val="center"/>
              <w:rPr>
                <w:rFonts w:ascii="宋体" w:cs="宋体"/>
                <w:color w:val="000000"/>
                <w:kern w:val="0"/>
                <w:sz w:val="28"/>
                <w:szCs w:val="28"/>
              </w:rPr>
            </w:pPr>
            <w:r>
              <w:rPr>
                <w:rFonts w:ascii="宋体" w:hAns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514FBCD9">
            <w:pPr>
              <w:widowControl/>
              <w:jc w:val="center"/>
              <w:rPr>
                <w:rFonts w:hint="eastAsia"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491EF09E">
            <w:pPr>
              <w:widowControl/>
              <w:jc w:val="center"/>
              <w:rPr>
                <w:rFonts w:hint="eastAsia" w:ascii="宋体" w:cs="宋体"/>
                <w:color w:val="000000"/>
                <w:kern w:val="0"/>
                <w:sz w:val="28"/>
                <w:szCs w:val="28"/>
              </w:rPr>
            </w:pPr>
          </w:p>
        </w:tc>
      </w:tr>
      <w:tr w14:paraId="0BD55FF3">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02A7BF43">
            <w:pPr>
              <w:widowControl/>
              <w:jc w:val="center"/>
              <w:rPr>
                <w:rFonts w:ascii="宋体" w:cs="宋体"/>
                <w:color w:val="000000"/>
                <w:kern w:val="0"/>
                <w:sz w:val="28"/>
                <w:szCs w:val="28"/>
              </w:rPr>
            </w:pPr>
            <w:r>
              <w:rPr>
                <w:rFonts w:ascii="宋体" w:hAnsi="宋体" w:cs="宋体"/>
                <w:color w:val="000000"/>
                <w:kern w:val="0"/>
                <w:sz w:val="28"/>
                <w:szCs w:val="28"/>
              </w:rPr>
              <w:t>5</w:t>
            </w:r>
          </w:p>
        </w:tc>
        <w:tc>
          <w:tcPr>
            <w:tcW w:w="2693" w:type="dxa"/>
            <w:tcBorders>
              <w:top w:val="nil"/>
              <w:left w:val="nil"/>
              <w:bottom w:val="single" w:color="auto" w:sz="4" w:space="0"/>
              <w:right w:val="single" w:color="auto" w:sz="4" w:space="0"/>
            </w:tcBorders>
            <w:noWrap/>
            <w:vAlign w:val="center"/>
          </w:tcPr>
          <w:p w14:paraId="0FA63FDB">
            <w:pPr>
              <w:widowControl/>
              <w:jc w:val="center"/>
              <w:rPr>
                <w:rFonts w:ascii="宋体" w:cs="宋体"/>
                <w:color w:val="000000"/>
                <w:kern w:val="0"/>
                <w:sz w:val="28"/>
                <w:szCs w:val="28"/>
              </w:rPr>
            </w:pPr>
            <w:r>
              <w:rPr>
                <w:rFonts w:hint="eastAsia" w:ascii="宋体" w:hAnsi="宋体" w:cs="宋体"/>
                <w:color w:val="000000"/>
                <w:kern w:val="0"/>
                <w:sz w:val="28"/>
                <w:szCs w:val="28"/>
                <w:lang w:eastAsia="zh-CN"/>
              </w:rPr>
              <w:t>副面点师</w:t>
            </w:r>
          </w:p>
        </w:tc>
        <w:tc>
          <w:tcPr>
            <w:tcW w:w="1559" w:type="dxa"/>
            <w:tcBorders>
              <w:top w:val="nil"/>
              <w:left w:val="nil"/>
              <w:bottom w:val="single" w:color="auto" w:sz="4" w:space="0"/>
              <w:right w:val="single" w:color="auto" w:sz="4" w:space="0"/>
            </w:tcBorders>
            <w:noWrap/>
            <w:vAlign w:val="center"/>
          </w:tcPr>
          <w:p w14:paraId="031D1823">
            <w:pPr>
              <w:widowControl/>
              <w:jc w:val="center"/>
              <w:rPr>
                <w:rFonts w:ascii="宋体" w:cs="宋体"/>
                <w:color w:val="000000"/>
                <w:kern w:val="0"/>
                <w:sz w:val="28"/>
                <w:szCs w:val="28"/>
              </w:rPr>
            </w:pPr>
            <w:r>
              <w:rPr>
                <w:rFonts w:ascii="宋体" w:hAns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78FC83DF">
            <w:pPr>
              <w:widowControl/>
              <w:jc w:val="center"/>
              <w:rPr>
                <w:rFonts w:hint="default" w:ascii="宋体" w:cs="宋体"/>
                <w:color w:val="000000"/>
                <w:kern w:val="0"/>
                <w:sz w:val="28"/>
                <w:szCs w:val="28"/>
                <w:lang w:val="en-US"/>
              </w:rPr>
            </w:pPr>
          </w:p>
        </w:tc>
        <w:tc>
          <w:tcPr>
            <w:tcW w:w="1560" w:type="dxa"/>
            <w:tcBorders>
              <w:top w:val="nil"/>
              <w:left w:val="nil"/>
              <w:bottom w:val="single" w:color="auto" w:sz="4" w:space="0"/>
              <w:right w:val="single" w:color="auto" w:sz="4" w:space="0"/>
            </w:tcBorders>
            <w:noWrap/>
            <w:vAlign w:val="center"/>
          </w:tcPr>
          <w:p w14:paraId="506FF3F9">
            <w:pPr>
              <w:widowControl/>
              <w:jc w:val="center"/>
              <w:rPr>
                <w:rFonts w:hint="default" w:ascii="宋体" w:eastAsia="宋体" w:cs="宋体"/>
                <w:color w:val="000000"/>
                <w:kern w:val="0"/>
                <w:sz w:val="28"/>
                <w:szCs w:val="28"/>
                <w:lang w:val="en-US" w:eastAsia="zh-CN"/>
              </w:rPr>
            </w:pPr>
          </w:p>
        </w:tc>
      </w:tr>
      <w:tr w14:paraId="33EA5E22">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736FF7EA">
            <w:pPr>
              <w:widowControl/>
              <w:jc w:val="center"/>
              <w:rPr>
                <w:rFonts w:ascii="宋体" w:cs="宋体"/>
                <w:color w:val="000000"/>
                <w:kern w:val="0"/>
                <w:sz w:val="28"/>
                <w:szCs w:val="28"/>
              </w:rPr>
            </w:pPr>
            <w:r>
              <w:rPr>
                <w:rFonts w:ascii="宋体" w:hAnsi="宋体" w:cs="宋体"/>
                <w:color w:val="000000"/>
                <w:kern w:val="0"/>
                <w:sz w:val="28"/>
                <w:szCs w:val="28"/>
              </w:rPr>
              <w:t>6</w:t>
            </w:r>
          </w:p>
        </w:tc>
        <w:tc>
          <w:tcPr>
            <w:tcW w:w="2693" w:type="dxa"/>
            <w:tcBorders>
              <w:top w:val="nil"/>
              <w:left w:val="nil"/>
              <w:bottom w:val="single" w:color="auto" w:sz="4" w:space="0"/>
              <w:right w:val="single" w:color="auto" w:sz="4" w:space="0"/>
            </w:tcBorders>
            <w:noWrap/>
            <w:vAlign w:val="center"/>
          </w:tcPr>
          <w:p w14:paraId="02E12362">
            <w:pPr>
              <w:widowControl/>
              <w:jc w:val="center"/>
              <w:rPr>
                <w:rFonts w:hint="eastAsia" w:ascii="宋体" w:eastAsia="宋体" w:cs="宋体"/>
                <w:color w:val="000000"/>
                <w:kern w:val="0"/>
                <w:sz w:val="28"/>
                <w:szCs w:val="28"/>
                <w:lang w:eastAsia="zh-CN"/>
              </w:rPr>
            </w:pPr>
            <w:r>
              <w:rPr>
                <w:rFonts w:hint="eastAsia" w:ascii="宋体" w:hAnsi="宋体" w:cs="宋体"/>
                <w:color w:val="000000"/>
                <w:kern w:val="0"/>
                <w:sz w:val="28"/>
                <w:szCs w:val="28"/>
              </w:rPr>
              <w:t>切配</w:t>
            </w:r>
            <w:r>
              <w:rPr>
                <w:rFonts w:hint="eastAsia" w:ascii="宋体" w:hAnsi="宋体" w:cs="宋体"/>
                <w:color w:val="000000"/>
                <w:kern w:val="0"/>
                <w:sz w:val="28"/>
                <w:szCs w:val="28"/>
                <w:lang w:eastAsia="zh-CN"/>
              </w:rPr>
              <w:t>、卫生</w:t>
            </w:r>
          </w:p>
        </w:tc>
        <w:tc>
          <w:tcPr>
            <w:tcW w:w="1559" w:type="dxa"/>
            <w:tcBorders>
              <w:top w:val="nil"/>
              <w:left w:val="nil"/>
              <w:bottom w:val="single" w:color="auto" w:sz="4" w:space="0"/>
              <w:right w:val="single" w:color="auto" w:sz="4" w:space="0"/>
            </w:tcBorders>
            <w:noWrap/>
            <w:vAlign w:val="center"/>
          </w:tcPr>
          <w:p w14:paraId="2C35A739">
            <w:pPr>
              <w:widowControl/>
              <w:jc w:val="center"/>
              <w:rPr>
                <w:rFonts w:ascii="宋体" w:cs="宋体"/>
                <w:color w:val="000000"/>
                <w:kern w:val="0"/>
                <w:sz w:val="28"/>
                <w:szCs w:val="28"/>
              </w:rPr>
            </w:pPr>
            <w:r>
              <w:rPr>
                <w:rFonts w:hint="eastAsia" w:ascii="宋体" w:cs="宋体"/>
                <w:color w:val="000000"/>
                <w:kern w:val="0"/>
                <w:sz w:val="28"/>
                <w:szCs w:val="28"/>
              </w:rPr>
              <w:t>2</w:t>
            </w:r>
          </w:p>
        </w:tc>
        <w:tc>
          <w:tcPr>
            <w:tcW w:w="1559" w:type="dxa"/>
            <w:tcBorders>
              <w:top w:val="nil"/>
              <w:left w:val="nil"/>
              <w:bottom w:val="single" w:color="auto" w:sz="4" w:space="0"/>
              <w:right w:val="single" w:color="auto" w:sz="4" w:space="0"/>
            </w:tcBorders>
            <w:noWrap/>
            <w:vAlign w:val="center"/>
          </w:tcPr>
          <w:p w14:paraId="2751EC7A">
            <w:pPr>
              <w:widowControl/>
              <w:jc w:val="center"/>
              <w:rPr>
                <w:rFonts w:hint="eastAsia"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6E672D21">
            <w:pPr>
              <w:widowControl/>
              <w:jc w:val="both"/>
              <w:rPr>
                <w:rFonts w:hint="eastAsia" w:ascii="宋体" w:cs="宋体"/>
                <w:color w:val="000000"/>
                <w:kern w:val="0"/>
                <w:sz w:val="28"/>
                <w:szCs w:val="28"/>
              </w:rPr>
            </w:pPr>
          </w:p>
        </w:tc>
      </w:tr>
      <w:tr w14:paraId="18BDCDE2">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1F498CA3">
            <w:pPr>
              <w:widowControl/>
              <w:jc w:val="center"/>
              <w:rPr>
                <w:rFonts w:ascii="宋体" w:cs="宋体"/>
                <w:color w:val="000000"/>
                <w:kern w:val="0"/>
                <w:sz w:val="28"/>
                <w:szCs w:val="28"/>
              </w:rPr>
            </w:pPr>
            <w:r>
              <w:rPr>
                <w:rFonts w:ascii="宋体" w:hAnsi="宋体" w:cs="宋体"/>
                <w:color w:val="000000"/>
                <w:kern w:val="0"/>
                <w:sz w:val="28"/>
                <w:szCs w:val="28"/>
              </w:rPr>
              <w:t>7</w:t>
            </w:r>
          </w:p>
        </w:tc>
        <w:tc>
          <w:tcPr>
            <w:tcW w:w="2693" w:type="dxa"/>
            <w:tcBorders>
              <w:top w:val="nil"/>
              <w:left w:val="nil"/>
              <w:bottom w:val="single" w:color="auto" w:sz="4" w:space="0"/>
              <w:right w:val="single" w:color="auto" w:sz="4" w:space="0"/>
            </w:tcBorders>
            <w:noWrap/>
            <w:vAlign w:val="center"/>
          </w:tcPr>
          <w:p w14:paraId="31D430E5">
            <w:pPr>
              <w:widowControl/>
              <w:jc w:val="center"/>
              <w:rPr>
                <w:rFonts w:hint="eastAsia" w:ascii="宋体" w:eastAsia="宋体" w:cs="宋体"/>
                <w:color w:val="000000"/>
                <w:kern w:val="0"/>
                <w:sz w:val="28"/>
                <w:szCs w:val="28"/>
                <w:lang w:eastAsia="zh-CN"/>
              </w:rPr>
            </w:pPr>
            <w:r>
              <w:rPr>
                <w:rFonts w:hint="eastAsia" w:ascii="宋体" w:hAnsi="宋体" w:cs="宋体"/>
                <w:color w:val="000000"/>
                <w:kern w:val="0"/>
                <w:sz w:val="28"/>
                <w:szCs w:val="28"/>
              </w:rPr>
              <w:t>清洗</w:t>
            </w:r>
            <w:r>
              <w:rPr>
                <w:rFonts w:hint="eastAsia" w:ascii="宋体" w:hAnsi="宋体" w:cs="宋体"/>
                <w:color w:val="000000"/>
                <w:kern w:val="0"/>
                <w:sz w:val="28"/>
                <w:szCs w:val="28"/>
                <w:lang w:eastAsia="zh-CN"/>
              </w:rPr>
              <w:t>、卫生</w:t>
            </w:r>
          </w:p>
        </w:tc>
        <w:tc>
          <w:tcPr>
            <w:tcW w:w="1559" w:type="dxa"/>
            <w:tcBorders>
              <w:top w:val="nil"/>
              <w:left w:val="nil"/>
              <w:bottom w:val="single" w:color="auto" w:sz="4" w:space="0"/>
              <w:right w:val="single" w:color="auto" w:sz="4" w:space="0"/>
            </w:tcBorders>
            <w:noWrap/>
            <w:vAlign w:val="center"/>
          </w:tcPr>
          <w:p w14:paraId="1DBA416A">
            <w:pPr>
              <w:widowControl/>
              <w:jc w:val="center"/>
              <w:rPr>
                <w:rFonts w:ascii="宋体" w:cs="宋体"/>
                <w:color w:val="000000"/>
                <w:kern w:val="0"/>
                <w:sz w:val="28"/>
                <w:szCs w:val="28"/>
              </w:rPr>
            </w:pPr>
            <w:r>
              <w:rPr>
                <w:rFonts w:hint="eastAsia" w:ascii="宋体" w:hAnsi="宋体" w:cs="宋体"/>
                <w:color w:val="000000"/>
                <w:kern w:val="0"/>
                <w:sz w:val="28"/>
                <w:szCs w:val="28"/>
              </w:rPr>
              <w:t>2</w:t>
            </w:r>
          </w:p>
        </w:tc>
        <w:tc>
          <w:tcPr>
            <w:tcW w:w="1559" w:type="dxa"/>
            <w:tcBorders>
              <w:top w:val="nil"/>
              <w:left w:val="nil"/>
              <w:bottom w:val="single" w:color="auto" w:sz="4" w:space="0"/>
              <w:right w:val="single" w:color="auto" w:sz="4" w:space="0"/>
            </w:tcBorders>
            <w:noWrap/>
            <w:vAlign w:val="center"/>
          </w:tcPr>
          <w:p w14:paraId="24631BD3">
            <w:pPr>
              <w:widowControl/>
              <w:jc w:val="center"/>
              <w:rPr>
                <w:rFonts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70533D82">
            <w:pPr>
              <w:widowControl/>
              <w:jc w:val="center"/>
              <w:rPr>
                <w:rFonts w:ascii="宋体" w:cs="宋体"/>
                <w:color w:val="000000"/>
                <w:kern w:val="0"/>
                <w:sz w:val="28"/>
                <w:szCs w:val="28"/>
              </w:rPr>
            </w:pPr>
          </w:p>
        </w:tc>
      </w:tr>
      <w:tr w14:paraId="59E2D0E2">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033E994B">
            <w:pPr>
              <w:widowControl/>
              <w:jc w:val="center"/>
              <w:rPr>
                <w:rFonts w:hint="eastAsia" w:ascii="宋体" w:hAnsi="宋体" w:cs="宋体"/>
                <w:color w:val="000000"/>
                <w:kern w:val="0"/>
                <w:sz w:val="28"/>
                <w:szCs w:val="28"/>
              </w:rPr>
            </w:pPr>
            <w:r>
              <w:rPr>
                <w:rFonts w:hint="eastAsia" w:ascii="宋体" w:hAnsi="宋体" w:cs="宋体"/>
                <w:color w:val="000000"/>
                <w:kern w:val="0"/>
                <w:sz w:val="28"/>
                <w:szCs w:val="28"/>
              </w:rPr>
              <w:t>8</w:t>
            </w:r>
          </w:p>
        </w:tc>
        <w:tc>
          <w:tcPr>
            <w:tcW w:w="2693" w:type="dxa"/>
            <w:tcBorders>
              <w:top w:val="nil"/>
              <w:left w:val="nil"/>
              <w:bottom w:val="single" w:color="auto" w:sz="4" w:space="0"/>
              <w:right w:val="single" w:color="auto" w:sz="4" w:space="0"/>
            </w:tcBorders>
            <w:noWrap/>
            <w:vAlign w:val="center"/>
          </w:tcPr>
          <w:p w14:paraId="546D408F">
            <w:pPr>
              <w:widowControl/>
              <w:jc w:val="center"/>
              <w:rPr>
                <w:rFonts w:ascii="宋体" w:cs="宋体"/>
                <w:color w:val="000000"/>
                <w:kern w:val="0"/>
                <w:sz w:val="28"/>
                <w:szCs w:val="28"/>
              </w:rPr>
            </w:pPr>
            <w:r>
              <w:rPr>
                <w:rFonts w:hint="eastAsia" w:ascii="宋体" w:hAnsi="宋体" w:cs="宋体"/>
                <w:color w:val="000000"/>
                <w:kern w:val="0"/>
                <w:sz w:val="28"/>
                <w:szCs w:val="28"/>
              </w:rPr>
              <w:t>蒸饭师</w:t>
            </w:r>
          </w:p>
        </w:tc>
        <w:tc>
          <w:tcPr>
            <w:tcW w:w="1559" w:type="dxa"/>
            <w:tcBorders>
              <w:top w:val="nil"/>
              <w:left w:val="nil"/>
              <w:bottom w:val="single" w:color="auto" w:sz="4" w:space="0"/>
              <w:right w:val="single" w:color="auto" w:sz="4" w:space="0"/>
            </w:tcBorders>
            <w:noWrap/>
            <w:vAlign w:val="center"/>
          </w:tcPr>
          <w:p w14:paraId="5A14FDD9">
            <w:pPr>
              <w:widowControl/>
              <w:jc w:val="center"/>
              <w:rPr>
                <w:rFonts w:ascii="宋体" w:cs="宋体"/>
                <w:color w:val="000000"/>
                <w:kern w:val="0"/>
                <w:sz w:val="28"/>
                <w:szCs w:val="28"/>
              </w:rPr>
            </w:pPr>
            <w:r>
              <w:rPr>
                <w:rFonts w:hint="eastAsia" w:ascii="宋体" w:cs="宋体"/>
                <w:color w:val="000000"/>
                <w:kern w:val="0"/>
                <w:sz w:val="28"/>
                <w:szCs w:val="28"/>
              </w:rPr>
              <w:t>1</w:t>
            </w:r>
          </w:p>
        </w:tc>
        <w:tc>
          <w:tcPr>
            <w:tcW w:w="1559" w:type="dxa"/>
            <w:tcBorders>
              <w:top w:val="nil"/>
              <w:left w:val="nil"/>
              <w:bottom w:val="single" w:color="auto" w:sz="4" w:space="0"/>
              <w:right w:val="single" w:color="auto" w:sz="4" w:space="0"/>
            </w:tcBorders>
            <w:noWrap/>
            <w:vAlign w:val="center"/>
          </w:tcPr>
          <w:p w14:paraId="2D1E956B">
            <w:pPr>
              <w:widowControl/>
              <w:jc w:val="center"/>
              <w:rPr>
                <w:rFonts w:hint="eastAsia"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135C9000">
            <w:pPr>
              <w:widowControl/>
              <w:jc w:val="center"/>
              <w:rPr>
                <w:rFonts w:hint="eastAsia" w:ascii="宋体" w:cs="宋体"/>
                <w:color w:val="000000"/>
                <w:kern w:val="0"/>
                <w:sz w:val="28"/>
                <w:szCs w:val="28"/>
              </w:rPr>
            </w:pPr>
          </w:p>
        </w:tc>
      </w:tr>
      <w:tr w14:paraId="49F11948">
        <w:tblPrEx>
          <w:tblCellMar>
            <w:top w:w="0" w:type="dxa"/>
            <w:left w:w="108" w:type="dxa"/>
            <w:bottom w:w="0" w:type="dxa"/>
            <w:right w:w="108" w:type="dxa"/>
          </w:tblCellMar>
        </w:tblPrEx>
        <w:trPr>
          <w:trHeight w:val="900" w:hRule="atLeast"/>
          <w:jc w:val="center"/>
        </w:trPr>
        <w:tc>
          <w:tcPr>
            <w:tcW w:w="1008" w:type="dxa"/>
            <w:tcBorders>
              <w:top w:val="nil"/>
              <w:left w:val="single" w:color="auto" w:sz="4" w:space="0"/>
              <w:bottom w:val="single" w:color="auto" w:sz="4" w:space="0"/>
              <w:right w:val="single" w:color="auto" w:sz="4" w:space="0"/>
            </w:tcBorders>
            <w:noWrap/>
            <w:vAlign w:val="center"/>
          </w:tcPr>
          <w:p w14:paraId="621A0B9D">
            <w:pPr>
              <w:widowControl/>
              <w:jc w:val="center"/>
              <w:rPr>
                <w:rFonts w:ascii="宋体" w:cs="宋体"/>
                <w:color w:val="000000"/>
                <w:kern w:val="0"/>
                <w:sz w:val="28"/>
                <w:szCs w:val="28"/>
              </w:rPr>
            </w:pPr>
            <w:r>
              <w:rPr>
                <w:rFonts w:hint="eastAsia" w:ascii="宋体" w:hAnsi="宋体" w:cs="宋体"/>
                <w:color w:val="000000"/>
                <w:kern w:val="0"/>
                <w:sz w:val="28"/>
                <w:szCs w:val="28"/>
              </w:rPr>
              <w:t>合计</w:t>
            </w:r>
          </w:p>
        </w:tc>
        <w:tc>
          <w:tcPr>
            <w:tcW w:w="2693" w:type="dxa"/>
            <w:tcBorders>
              <w:top w:val="nil"/>
              <w:left w:val="nil"/>
              <w:bottom w:val="single" w:color="auto" w:sz="4" w:space="0"/>
              <w:right w:val="single" w:color="auto" w:sz="4" w:space="0"/>
            </w:tcBorders>
            <w:noWrap/>
            <w:vAlign w:val="center"/>
          </w:tcPr>
          <w:p w14:paraId="5F6892D3">
            <w:pPr>
              <w:widowControl/>
              <w:jc w:val="center"/>
              <w:rPr>
                <w:rFonts w:ascii="宋体" w:cs="宋体"/>
                <w:color w:val="000000"/>
                <w:kern w:val="0"/>
                <w:sz w:val="28"/>
                <w:szCs w:val="28"/>
              </w:rPr>
            </w:pPr>
          </w:p>
        </w:tc>
        <w:tc>
          <w:tcPr>
            <w:tcW w:w="1559" w:type="dxa"/>
            <w:tcBorders>
              <w:top w:val="nil"/>
              <w:left w:val="nil"/>
              <w:bottom w:val="single" w:color="auto" w:sz="4" w:space="0"/>
              <w:right w:val="single" w:color="auto" w:sz="4" w:space="0"/>
            </w:tcBorders>
            <w:noWrap/>
            <w:vAlign w:val="center"/>
          </w:tcPr>
          <w:p w14:paraId="61CAF94F">
            <w:pPr>
              <w:widowControl/>
              <w:jc w:val="center"/>
              <w:rPr>
                <w:rFonts w:hint="default" w:ascii="宋体" w:eastAsia="宋体" w:cs="宋体"/>
                <w:color w:val="000000"/>
                <w:kern w:val="0"/>
                <w:sz w:val="28"/>
                <w:szCs w:val="28"/>
                <w:lang w:val="en-US" w:eastAsia="zh-CN"/>
              </w:rPr>
            </w:pPr>
            <w:r>
              <w:rPr>
                <w:rFonts w:hint="eastAsia" w:ascii="宋体" w:cs="宋体"/>
                <w:color w:val="000000"/>
                <w:kern w:val="0"/>
                <w:sz w:val="28"/>
                <w:szCs w:val="28"/>
                <w:lang w:val="en-US" w:eastAsia="zh-CN"/>
              </w:rPr>
              <w:t>10</w:t>
            </w:r>
          </w:p>
        </w:tc>
        <w:tc>
          <w:tcPr>
            <w:tcW w:w="1559" w:type="dxa"/>
            <w:tcBorders>
              <w:top w:val="nil"/>
              <w:left w:val="nil"/>
              <w:bottom w:val="single" w:color="auto" w:sz="4" w:space="0"/>
              <w:right w:val="single" w:color="auto" w:sz="4" w:space="0"/>
            </w:tcBorders>
            <w:noWrap/>
            <w:vAlign w:val="center"/>
          </w:tcPr>
          <w:p w14:paraId="7806A520">
            <w:pPr>
              <w:widowControl/>
              <w:jc w:val="center"/>
              <w:rPr>
                <w:rFonts w:ascii="宋体" w:cs="宋体"/>
                <w:color w:val="000000"/>
                <w:kern w:val="0"/>
                <w:sz w:val="28"/>
                <w:szCs w:val="28"/>
              </w:rPr>
            </w:pPr>
          </w:p>
        </w:tc>
        <w:tc>
          <w:tcPr>
            <w:tcW w:w="1560" w:type="dxa"/>
            <w:tcBorders>
              <w:top w:val="nil"/>
              <w:left w:val="nil"/>
              <w:bottom w:val="single" w:color="auto" w:sz="4" w:space="0"/>
              <w:right w:val="single" w:color="auto" w:sz="4" w:space="0"/>
            </w:tcBorders>
            <w:noWrap/>
            <w:vAlign w:val="center"/>
          </w:tcPr>
          <w:p w14:paraId="59517F87">
            <w:pPr>
              <w:widowControl/>
              <w:jc w:val="center"/>
              <w:rPr>
                <w:rFonts w:hint="default" w:ascii="宋体" w:eastAsia="宋体" w:cs="宋体"/>
                <w:color w:val="000000"/>
                <w:kern w:val="0"/>
                <w:sz w:val="28"/>
                <w:szCs w:val="28"/>
                <w:lang w:val="en-US" w:eastAsia="zh-CN"/>
              </w:rPr>
            </w:pPr>
          </w:p>
        </w:tc>
      </w:tr>
      <w:tr w14:paraId="0207F3D3">
        <w:tblPrEx>
          <w:tblCellMar>
            <w:top w:w="0" w:type="dxa"/>
            <w:left w:w="108" w:type="dxa"/>
            <w:bottom w:w="0" w:type="dxa"/>
            <w:right w:w="108" w:type="dxa"/>
          </w:tblCellMar>
        </w:tblPrEx>
        <w:trPr>
          <w:trHeight w:val="699" w:hRule="atLeast"/>
          <w:jc w:val="center"/>
        </w:trPr>
        <w:tc>
          <w:tcPr>
            <w:tcW w:w="1008" w:type="dxa"/>
            <w:tcBorders>
              <w:top w:val="nil"/>
              <w:left w:val="single" w:color="auto" w:sz="4" w:space="0"/>
              <w:bottom w:val="single" w:color="auto" w:sz="4" w:space="0"/>
              <w:right w:val="single" w:color="auto" w:sz="4" w:space="0"/>
            </w:tcBorders>
            <w:noWrap/>
            <w:vAlign w:val="center"/>
          </w:tcPr>
          <w:p w14:paraId="20A50545">
            <w:pPr>
              <w:widowControl/>
              <w:jc w:val="center"/>
              <w:rPr>
                <w:rFonts w:ascii="宋体" w:cs="宋体"/>
                <w:color w:val="000000"/>
                <w:kern w:val="0"/>
                <w:sz w:val="28"/>
                <w:szCs w:val="28"/>
              </w:rPr>
            </w:pPr>
            <w:r>
              <w:rPr>
                <w:rFonts w:hint="eastAsia" w:ascii="宋体" w:hAnsi="宋体" w:cs="宋体"/>
                <w:color w:val="000000"/>
                <w:kern w:val="0"/>
                <w:sz w:val="28"/>
                <w:szCs w:val="28"/>
              </w:rPr>
              <w:t>　</w:t>
            </w:r>
          </w:p>
        </w:tc>
        <w:tc>
          <w:tcPr>
            <w:tcW w:w="2693" w:type="dxa"/>
            <w:tcBorders>
              <w:top w:val="nil"/>
              <w:left w:val="nil"/>
              <w:bottom w:val="single" w:color="auto" w:sz="4" w:space="0"/>
              <w:right w:val="single" w:color="auto" w:sz="4" w:space="0"/>
            </w:tcBorders>
            <w:noWrap/>
            <w:vAlign w:val="center"/>
          </w:tcPr>
          <w:p w14:paraId="60EC76B4">
            <w:pPr>
              <w:widowControl/>
              <w:jc w:val="center"/>
              <w:rPr>
                <w:rFonts w:ascii="宋体" w:cs="宋体"/>
                <w:color w:val="000000"/>
                <w:kern w:val="0"/>
                <w:sz w:val="28"/>
                <w:szCs w:val="28"/>
              </w:rPr>
            </w:pPr>
            <w:r>
              <w:rPr>
                <w:rFonts w:hint="eastAsia" w:ascii="宋体" w:hAnsi="宋体" w:cs="宋体"/>
                <w:color w:val="000000"/>
                <w:kern w:val="0"/>
                <w:sz w:val="28"/>
                <w:szCs w:val="28"/>
              </w:rPr>
              <w:t>　</w:t>
            </w:r>
          </w:p>
        </w:tc>
        <w:tc>
          <w:tcPr>
            <w:tcW w:w="1559" w:type="dxa"/>
            <w:tcBorders>
              <w:top w:val="nil"/>
              <w:left w:val="nil"/>
              <w:bottom w:val="single" w:color="auto" w:sz="4" w:space="0"/>
              <w:right w:val="single" w:color="auto" w:sz="4" w:space="0"/>
            </w:tcBorders>
            <w:noWrap/>
            <w:vAlign w:val="center"/>
          </w:tcPr>
          <w:p w14:paraId="57FCB9B6">
            <w:pPr>
              <w:widowControl/>
              <w:jc w:val="center"/>
              <w:rPr>
                <w:rFonts w:ascii="宋体" w:cs="宋体"/>
                <w:color w:val="000000"/>
                <w:kern w:val="0"/>
                <w:sz w:val="28"/>
                <w:szCs w:val="28"/>
              </w:rPr>
            </w:pPr>
          </w:p>
        </w:tc>
        <w:tc>
          <w:tcPr>
            <w:tcW w:w="1559" w:type="dxa"/>
            <w:tcBorders>
              <w:top w:val="nil"/>
              <w:left w:val="nil"/>
              <w:bottom w:val="single" w:color="auto" w:sz="4" w:space="0"/>
              <w:right w:val="single" w:color="auto" w:sz="4" w:space="0"/>
            </w:tcBorders>
            <w:noWrap/>
            <w:vAlign w:val="center"/>
          </w:tcPr>
          <w:p w14:paraId="55F31EA4">
            <w:pPr>
              <w:widowControl/>
              <w:jc w:val="center"/>
              <w:rPr>
                <w:rFonts w:ascii="宋体" w:cs="宋体"/>
                <w:color w:val="000000"/>
                <w:kern w:val="0"/>
                <w:sz w:val="28"/>
                <w:szCs w:val="28"/>
              </w:rPr>
            </w:pPr>
            <w:r>
              <w:rPr>
                <w:rFonts w:hint="eastAsia" w:ascii="宋体" w:hAnsi="宋体" w:cs="宋体"/>
                <w:color w:val="000000"/>
                <w:kern w:val="0"/>
                <w:sz w:val="28"/>
                <w:szCs w:val="28"/>
              </w:rPr>
              <w:t>　</w:t>
            </w:r>
          </w:p>
        </w:tc>
        <w:tc>
          <w:tcPr>
            <w:tcW w:w="1560" w:type="dxa"/>
            <w:tcBorders>
              <w:top w:val="nil"/>
              <w:left w:val="nil"/>
              <w:bottom w:val="single" w:color="auto" w:sz="4" w:space="0"/>
              <w:right w:val="single" w:color="auto" w:sz="4" w:space="0"/>
            </w:tcBorders>
            <w:noWrap/>
            <w:vAlign w:val="center"/>
          </w:tcPr>
          <w:p w14:paraId="6029FE0A">
            <w:pPr>
              <w:widowControl/>
              <w:jc w:val="center"/>
              <w:rPr>
                <w:rFonts w:ascii="宋体" w:cs="宋体"/>
                <w:color w:val="000000"/>
                <w:kern w:val="0"/>
                <w:sz w:val="28"/>
                <w:szCs w:val="28"/>
              </w:rPr>
            </w:pPr>
          </w:p>
        </w:tc>
      </w:tr>
    </w:tbl>
    <w:p w14:paraId="104CCF1A">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087AA5D3">
      <w:pPr>
        <w:jc w:val="center"/>
        <w:outlineLvl w:val="0"/>
        <w:rPr>
          <w:rFonts w:ascii="宋体" w:hAnsi="宋体" w:eastAsia="宋体" w:cs="宋体"/>
          <w:b/>
          <w:bCs/>
          <w:sz w:val="30"/>
          <w:szCs w:val="30"/>
          <w:highlight w:val="none"/>
        </w:rPr>
      </w:pPr>
      <w:r>
        <w:rPr>
          <w:rFonts w:hint="eastAsia" w:ascii="宋体" w:hAnsi="宋体" w:eastAsia="宋体" w:cs="宋体"/>
          <w:b/>
          <w:bCs/>
          <w:sz w:val="30"/>
          <w:szCs w:val="30"/>
          <w:highlight w:val="none"/>
        </w:rPr>
        <w:t>四、评分标准</w:t>
      </w:r>
      <w:bookmarkEnd w:id="92"/>
      <w:bookmarkEnd w:id="93"/>
      <w:bookmarkEnd w:id="94"/>
      <w:bookmarkEnd w:id="98"/>
    </w:p>
    <w:p w14:paraId="409B1B5D">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1、本次磋商采用百分制评分法，商务（报价）权重30%，经评审满足磋商文件要求且最后报价最低的供应商的价格为磋商基准价，其价格为满分，得30分。其他供应商的价格分统一按照下列公式计算：</w:t>
      </w:r>
    </w:p>
    <w:p w14:paraId="758F14F1">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磋商报价得分=（磋商基准价/最后磋商报价）×30%×100。</w:t>
      </w:r>
    </w:p>
    <w:p w14:paraId="609257EE">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注：超过最高限价的最后磋商报价为无效报价，按废标处理。</w:t>
      </w:r>
    </w:p>
    <w:p w14:paraId="0082C9E7">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具体评分细则如下：</w:t>
      </w:r>
    </w:p>
    <w:tbl>
      <w:tblPr>
        <w:tblStyle w:val="34"/>
        <w:tblW w:w="10155" w:type="dxa"/>
        <w:jc w:val="center"/>
        <w:tblLayout w:type="fixed"/>
        <w:tblCellMar>
          <w:top w:w="0" w:type="dxa"/>
          <w:left w:w="50" w:type="dxa"/>
          <w:bottom w:w="0" w:type="dxa"/>
          <w:right w:w="50" w:type="dxa"/>
        </w:tblCellMar>
      </w:tblPr>
      <w:tblGrid>
        <w:gridCol w:w="1087"/>
        <w:gridCol w:w="1129"/>
        <w:gridCol w:w="6753"/>
        <w:gridCol w:w="1186"/>
      </w:tblGrid>
      <w:tr w14:paraId="022B8582">
        <w:tblPrEx>
          <w:tblCellMar>
            <w:top w:w="0" w:type="dxa"/>
            <w:left w:w="50" w:type="dxa"/>
            <w:bottom w:w="0" w:type="dxa"/>
            <w:right w:w="50" w:type="dxa"/>
          </w:tblCellMar>
        </w:tblPrEx>
        <w:trPr>
          <w:trHeight w:val="789" w:hRule="atLeast"/>
          <w:jc w:val="center"/>
        </w:trPr>
        <w:tc>
          <w:tcPr>
            <w:tcW w:w="108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25E274">
            <w:pPr>
              <w:autoSpaceDE w:val="0"/>
              <w:autoSpaceDN w:val="0"/>
              <w:adjustRightInd w:val="0"/>
              <w:jc w:val="center"/>
              <w:rPr>
                <w:rFonts w:ascii="宋体" w:hAnsi="宋体" w:cs="宋体"/>
                <w:kern w:val="0"/>
                <w:sz w:val="22"/>
                <w:szCs w:val="22"/>
                <w:lang w:val="zh-CN"/>
              </w:rPr>
            </w:pPr>
            <w:r>
              <w:rPr>
                <w:rFonts w:hint="eastAsia" w:ascii="宋体" w:hAnsi="宋体" w:cs="宋体"/>
                <w:b/>
                <w:bCs/>
                <w:kern w:val="0"/>
                <w:sz w:val="24"/>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11CD140">
            <w:pPr>
              <w:autoSpaceDE w:val="0"/>
              <w:autoSpaceDN w:val="0"/>
              <w:adjustRightInd w:val="0"/>
              <w:jc w:val="center"/>
              <w:rPr>
                <w:rFonts w:ascii="宋体" w:hAnsi="宋体" w:cs="宋体"/>
                <w:kern w:val="0"/>
                <w:sz w:val="22"/>
                <w:szCs w:val="22"/>
                <w:lang w:val="zh-CN"/>
              </w:rPr>
            </w:pPr>
            <w:r>
              <w:rPr>
                <w:rFonts w:hint="eastAsia" w:ascii="宋体" w:hAnsi="宋体" w:cs="宋体"/>
                <w:b/>
                <w:bCs/>
                <w:kern w:val="0"/>
                <w:sz w:val="24"/>
                <w:lang w:val="zh-CN"/>
              </w:rPr>
              <w:t>评分内容</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9673260">
            <w:pPr>
              <w:autoSpaceDE w:val="0"/>
              <w:autoSpaceDN w:val="0"/>
              <w:adjustRightInd w:val="0"/>
              <w:jc w:val="center"/>
              <w:rPr>
                <w:rFonts w:ascii="宋体" w:hAnsi="宋体" w:cs="宋体"/>
                <w:kern w:val="0"/>
                <w:sz w:val="22"/>
                <w:szCs w:val="22"/>
                <w:lang w:val="zh-CN"/>
              </w:rPr>
            </w:pPr>
            <w:r>
              <w:rPr>
                <w:rFonts w:hint="eastAsia" w:ascii="宋体" w:hAnsi="宋体" w:cs="宋体"/>
                <w:b/>
                <w:bCs/>
                <w:kern w:val="0"/>
                <w:sz w:val="24"/>
                <w:lang w:val="zh-CN"/>
              </w:rPr>
              <w:t>评分标准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BED7BB2">
            <w:pPr>
              <w:autoSpaceDE w:val="0"/>
              <w:autoSpaceDN w:val="0"/>
              <w:adjustRightInd w:val="0"/>
              <w:jc w:val="center"/>
              <w:rPr>
                <w:rFonts w:ascii="宋体" w:hAnsi="宋体" w:cs="宋体"/>
                <w:kern w:val="0"/>
                <w:sz w:val="22"/>
                <w:szCs w:val="22"/>
                <w:lang w:val="zh-CN"/>
              </w:rPr>
            </w:pPr>
            <w:r>
              <w:rPr>
                <w:rFonts w:hint="eastAsia" w:ascii="宋体" w:hAnsi="宋体" w:cs="宋体"/>
                <w:b/>
                <w:bCs/>
                <w:kern w:val="0"/>
                <w:sz w:val="24"/>
                <w:lang w:val="zh-CN"/>
              </w:rPr>
              <w:t>分值范围</w:t>
            </w:r>
          </w:p>
        </w:tc>
      </w:tr>
      <w:tr w14:paraId="3B154DDD">
        <w:tblPrEx>
          <w:tblCellMar>
            <w:top w:w="0" w:type="dxa"/>
            <w:left w:w="50" w:type="dxa"/>
            <w:bottom w:w="0" w:type="dxa"/>
            <w:right w:w="50" w:type="dxa"/>
          </w:tblCellMar>
        </w:tblPrEx>
        <w:trPr>
          <w:trHeight w:val="1755" w:hRule="atLeast"/>
          <w:jc w:val="center"/>
        </w:trPr>
        <w:tc>
          <w:tcPr>
            <w:tcW w:w="1087" w:type="dxa"/>
            <w:vMerge w:val="restart"/>
            <w:tcBorders>
              <w:top w:val="single" w:color="000000" w:sz="2" w:space="0"/>
              <w:left w:val="single" w:color="000000" w:sz="2" w:space="0"/>
              <w:right w:val="single" w:color="000000" w:sz="2" w:space="0"/>
            </w:tcBorders>
            <w:shd w:val="clear" w:color="000000" w:fill="FFFFFF"/>
            <w:noWrap w:val="0"/>
            <w:vAlign w:val="center"/>
          </w:tcPr>
          <w:p w14:paraId="5DCC5ED1">
            <w:pPr>
              <w:autoSpaceDE w:val="0"/>
              <w:autoSpaceDN w:val="0"/>
              <w:adjustRightInd w:val="0"/>
              <w:snapToGrid w:val="0"/>
              <w:jc w:val="center"/>
              <w:rPr>
                <w:rFonts w:ascii="宋体" w:hAnsi="宋体" w:cs="宋体"/>
                <w:kern w:val="0"/>
                <w:sz w:val="24"/>
                <w:lang w:val="zh-CN"/>
              </w:rPr>
            </w:pPr>
            <w:r>
              <w:rPr>
                <w:rFonts w:hint="eastAsia" w:ascii="宋体" w:hAnsi="宋体" w:cs="宋体"/>
                <w:kern w:val="0"/>
                <w:sz w:val="24"/>
                <w:lang w:val="zh-CN"/>
              </w:rPr>
              <w:t>技术标分</w:t>
            </w:r>
          </w:p>
          <w:p w14:paraId="5ABCF302">
            <w:pPr>
              <w:autoSpaceDE w:val="0"/>
              <w:autoSpaceDN w:val="0"/>
              <w:adjustRightInd w:val="0"/>
              <w:snapToGrid w:val="0"/>
              <w:jc w:val="center"/>
              <w:rPr>
                <w:rFonts w:ascii="宋体" w:hAnsi="宋体" w:cs="宋体"/>
                <w:kern w:val="0"/>
                <w:sz w:val="22"/>
                <w:szCs w:val="22"/>
                <w:lang w:val="zh-CN"/>
              </w:rPr>
            </w:pPr>
            <w:r>
              <w:rPr>
                <w:rFonts w:hint="eastAsia" w:ascii="宋体" w:hAnsi="宋体" w:cs="宋体"/>
                <w:kern w:val="0"/>
                <w:sz w:val="24"/>
                <w:lang w:val="zh-CN"/>
              </w:rPr>
              <w:t>（</w:t>
            </w:r>
            <w:r>
              <w:rPr>
                <w:rFonts w:hint="eastAsia" w:ascii="宋体" w:hAnsi="宋体" w:cs="宋体"/>
                <w:kern w:val="0"/>
                <w:sz w:val="24"/>
                <w:u w:val="single"/>
              </w:rPr>
              <w:t>7</w:t>
            </w:r>
            <w:r>
              <w:rPr>
                <w:rFonts w:hint="eastAsia" w:ascii="宋体" w:hAnsi="宋体" w:cs="宋体"/>
                <w:kern w:val="0"/>
                <w:sz w:val="24"/>
                <w:u w:val="single"/>
                <w:lang w:val="zh-CN"/>
              </w:rPr>
              <w:t>0</w:t>
            </w:r>
            <w:r>
              <w:rPr>
                <w:rFonts w:hint="eastAsia" w:ascii="宋体" w:hAnsi="宋体" w:cs="宋体"/>
                <w:kern w:val="0"/>
                <w:sz w:val="24"/>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C06990F">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供应商情况</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46E1118">
            <w:pPr>
              <w:autoSpaceDE w:val="0"/>
              <w:autoSpaceDN w:val="0"/>
              <w:adjustRightInd w:val="0"/>
              <w:jc w:val="left"/>
              <w:rPr>
                <w:rFonts w:ascii="宋体" w:hAnsi="宋体" w:cs="宋体"/>
                <w:kern w:val="0"/>
                <w:sz w:val="24"/>
              </w:rPr>
            </w:pPr>
            <w:r>
              <w:rPr>
                <w:rFonts w:hint="eastAsia" w:ascii="宋体" w:hAnsi="宋体" w:cs="宋体"/>
                <w:color w:val="000000"/>
                <w:kern w:val="0"/>
                <w:sz w:val="24"/>
              </w:rPr>
              <w:t>1、</w:t>
            </w:r>
            <w:r>
              <w:rPr>
                <w:rFonts w:hint="eastAsia" w:ascii="宋体" w:hAnsi="宋体" w:cs="宋体"/>
                <w:color w:val="000000"/>
                <w:kern w:val="0"/>
                <w:sz w:val="24"/>
                <w:lang w:val="zh-CN"/>
              </w:rPr>
              <w:t>具有劳务派遣经营许可证得</w:t>
            </w:r>
            <w:r>
              <w:rPr>
                <w:rFonts w:hint="eastAsia" w:ascii="宋体" w:hAnsi="宋体" w:cs="宋体"/>
                <w:color w:val="000000"/>
                <w:kern w:val="0"/>
                <w:sz w:val="24"/>
              </w:rPr>
              <w:t>4</w:t>
            </w:r>
            <w:r>
              <w:rPr>
                <w:rFonts w:hint="eastAsia" w:ascii="宋体" w:hAnsi="宋体" w:cs="宋体"/>
                <w:color w:val="000000"/>
                <w:kern w:val="0"/>
                <w:sz w:val="24"/>
                <w:lang w:val="zh-CN"/>
              </w:rPr>
              <w:t>分</w:t>
            </w:r>
          </w:p>
          <w:p w14:paraId="31B4343B">
            <w:pPr>
              <w:autoSpaceDE w:val="0"/>
              <w:autoSpaceDN w:val="0"/>
              <w:adjustRightInd w:val="0"/>
              <w:jc w:val="left"/>
              <w:rPr>
                <w:rFonts w:ascii="宋体" w:hAnsi="宋体" w:cs="宋体"/>
                <w:kern w:val="0"/>
                <w:sz w:val="24"/>
              </w:rPr>
            </w:pPr>
            <w:r>
              <w:rPr>
                <w:rFonts w:hint="eastAsia" w:ascii="宋体" w:hAnsi="宋体" w:cs="宋体"/>
                <w:color w:val="000000"/>
                <w:kern w:val="0"/>
                <w:sz w:val="24"/>
              </w:rPr>
              <w:t>2、</w:t>
            </w:r>
            <w:r>
              <w:rPr>
                <w:rFonts w:hint="eastAsia" w:ascii="宋体" w:hAnsi="宋体" w:cs="宋体"/>
                <w:color w:val="000000"/>
                <w:kern w:val="0"/>
                <w:sz w:val="24"/>
                <w:lang w:val="zh-CN"/>
              </w:rPr>
              <w:t>具有有效的食品经营许可证得</w:t>
            </w:r>
            <w:r>
              <w:rPr>
                <w:rFonts w:hint="eastAsia" w:ascii="宋体" w:hAnsi="宋体" w:cs="宋体"/>
                <w:color w:val="000000"/>
                <w:kern w:val="0"/>
                <w:sz w:val="24"/>
              </w:rPr>
              <w:t>4</w:t>
            </w:r>
            <w:r>
              <w:rPr>
                <w:rFonts w:hint="eastAsia" w:ascii="宋体" w:hAnsi="宋体" w:cs="宋体"/>
                <w:color w:val="000000"/>
                <w:kern w:val="0"/>
                <w:sz w:val="24"/>
                <w:lang w:val="zh-CN"/>
              </w:rPr>
              <w:t>分</w:t>
            </w:r>
          </w:p>
          <w:p w14:paraId="233BD1DA">
            <w:pPr>
              <w:autoSpaceDE w:val="0"/>
              <w:autoSpaceDN w:val="0"/>
              <w:adjustRightInd w:val="0"/>
              <w:jc w:val="left"/>
              <w:rPr>
                <w:rFonts w:ascii="宋体" w:hAnsi="宋体" w:cs="宋体"/>
                <w:color w:val="000000"/>
                <w:kern w:val="0"/>
                <w:sz w:val="24"/>
                <w:lang w:val="zh-CN"/>
              </w:rPr>
            </w:pPr>
            <w:r>
              <w:rPr>
                <w:rFonts w:hint="eastAsia" w:ascii="宋体" w:hAnsi="宋体" w:cs="宋体"/>
                <w:color w:val="000000"/>
                <w:kern w:val="0"/>
                <w:sz w:val="24"/>
              </w:rPr>
              <w:t>3</w:t>
            </w:r>
            <w:r>
              <w:rPr>
                <w:rFonts w:hint="eastAsia" w:ascii="宋体" w:hAnsi="宋体" w:cs="宋体"/>
                <w:color w:val="000000"/>
                <w:kern w:val="0"/>
                <w:sz w:val="24"/>
                <w:lang w:val="zh-CN"/>
              </w:rPr>
              <w:t>、具有质量管理体系认证书得</w:t>
            </w:r>
            <w:r>
              <w:rPr>
                <w:rFonts w:hint="eastAsia" w:ascii="宋体" w:hAnsi="宋体" w:cs="宋体"/>
                <w:color w:val="000000"/>
                <w:kern w:val="0"/>
                <w:sz w:val="24"/>
              </w:rPr>
              <w:t>4</w:t>
            </w:r>
            <w:r>
              <w:rPr>
                <w:rFonts w:hint="eastAsia" w:ascii="宋体" w:hAnsi="宋体" w:cs="宋体"/>
                <w:color w:val="000000"/>
                <w:kern w:val="0"/>
                <w:sz w:val="24"/>
                <w:lang w:val="zh-CN"/>
              </w:rPr>
              <w:t>分</w:t>
            </w:r>
          </w:p>
          <w:p w14:paraId="36B8876E">
            <w:pPr>
              <w:autoSpaceDE w:val="0"/>
              <w:autoSpaceDN w:val="0"/>
              <w:adjustRightInd w:val="0"/>
              <w:jc w:val="left"/>
              <w:rPr>
                <w:rFonts w:ascii="宋体" w:hAnsi="宋体" w:cs="宋体"/>
                <w:kern w:val="0"/>
                <w:sz w:val="22"/>
                <w:szCs w:val="22"/>
                <w:lang w:val="zh-CN"/>
              </w:rPr>
            </w:pPr>
            <w:r>
              <w:rPr>
                <w:rFonts w:hint="eastAsia" w:ascii="宋体" w:hAnsi="宋体" w:cs="宋体"/>
                <w:b/>
                <w:bCs/>
                <w:color w:val="000000"/>
                <w:kern w:val="0"/>
                <w:sz w:val="24"/>
                <w:lang w:val="zh-CN"/>
              </w:rPr>
              <w:t>注：响应文件中提供证书原件扫描件加盖公章或复印件加盖公章。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827C95A">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0-1</w:t>
            </w:r>
            <w:r>
              <w:rPr>
                <w:rFonts w:hint="eastAsia" w:ascii="宋体" w:hAnsi="宋体" w:cs="宋体"/>
                <w:color w:val="000000"/>
                <w:kern w:val="0"/>
                <w:sz w:val="24"/>
              </w:rPr>
              <w:t>2</w:t>
            </w:r>
          </w:p>
        </w:tc>
      </w:tr>
      <w:tr w14:paraId="60A348C9">
        <w:tblPrEx>
          <w:tblCellMar>
            <w:top w:w="0" w:type="dxa"/>
            <w:left w:w="50" w:type="dxa"/>
            <w:bottom w:w="0" w:type="dxa"/>
            <w:right w:w="50" w:type="dxa"/>
          </w:tblCellMar>
        </w:tblPrEx>
        <w:trPr>
          <w:trHeight w:val="2107"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51F8414D">
            <w:pPr>
              <w:autoSpaceDE w:val="0"/>
              <w:autoSpaceDN w:val="0"/>
              <w:adjustRightInd w:val="0"/>
              <w:spacing w:after="200" w:line="276" w:lineRule="auto"/>
              <w:jc w:val="left"/>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C3E8624">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同类项目业绩</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59FB95">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自20</w:t>
            </w:r>
            <w:r>
              <w:rPr>
                <w:rFonts w:hint="eastAsia" w:ascii="宋体" w:hAnsi="宋体" w:cs="宋体"/>
                <w:color w:val="000000"/>
                <w:kern w:val="0"/>
                <w:sz w:val="24"/>
              </w:rPr>
              <w:t>19年8</w:t>
            </w:r>
            <w:r>
              <w:rPr>
                <w:rFonts w:hint="eastAsia" w:ascii="宋体" w:hAnsi="宋体" w:cs="宋体"/>
                <w:color w:val="000000"/>
                <w:kern w:val="0"/>
                <w:sz w:val="24"/>
                <w:lang w:val="zh-CN"/>
              </w:rPr>
              <w:t>月1日以来</w:t>
            </w:r>
            <w:r>
              <w:rPr>
                <w:rFonts w:hint="eastAsia" w:ascii="宋体" w:hAnsi="宋体" w:cs="宋体"/>
                <w:color w:val="000000"/>
                <w:kern w:val="0"/>
                <w:sz w:val="24"/>
              </w:rPr>
              <w:t>有食堂</w:t>
            </w:r>
            <w:r>
              <w:rPr>
                <w:rFonts w:hint="eastAsia" w:ascii="宋体" w:hAnsi="宋体" w:cs="宋体"/>
                <w:color w:val="000000"/>
                <w:kern w:val="0"/>
                <w:sz w:val="24"/>
                <w:lang w:val="zh-CN"/>
              </w:rPr>
              <w:t>劳务派遣</w:t>
            </w:r>
            <w:r>
              <w:rPr>
                <w:rFonts w:hint="eastAsia" w:ascii="宋体" w:hAnsi="宋体" w:cs="宋体"/>
                <w:color w:val="000000"/>
                <w:kern w:val="0"/>
                <w:sz w:val="24"/>
              </w:rPr>
              <w:t>相关</w:t>
            </w:r>
            <w:r>
              <w:rPr>
                <w:rFonts w:hint="eastAsia" w:ascii="宋体" w:hAnsi="宋体" w:cs="宋体"/>
                <w:color w:val="000000"/>
                <w:kern w:val="0"/>
                <w:sz w:val="24"/>
                <w:lang w:val="zh-CN"/>
              </w:rPr>
              <w:t>业绩，得</w:t>
            </w:r>
            <w:r>
              <w:rPr>
                <w:rFonts w:hint="eastAsia" w:ascii="宋体" w:hAnsi="宋体" w:cs="宋体"/>
                <w:color w:val="000000"/>
                <w:kern w:val="0"/>
                <w:sz w:val="24"/>
              </w:rPr>
              <w:t>2</w:t>
            </w:r>
            <w:r>
              <w:rPr>
                <w:rFonts w:hint="eastAsia" w:ascii="宋体" w:hAnsi="宋体" w:cs="宋体"/>
                <w:color w:val="000000"/>
                <w:kern w:val="0"/>
                <w:sz w:val="24"/>
                <w:lang w:val="zh-CN"/>
              </w:rPr>
              <w:t>分。每增一个加</w:t>
            </w:r>
            <w:r>
              <w:rPr>
                <w:rFonts w:hint="eastAsia" w:ascii="宋体" w:hAnsi="宋体" w:cs="宋体"/>
                <w:color w:val="000000"/>
                <w:kern w:val="0"/>
                <w:sz w:val="24"/>
              </w:rPr>
              <w:t>2</w:t>
            </w:r>
            <w:r>
              <w:rPr>
                <w:rFonts w:hint="eastAsia" w:ascii="宋体" w:hAnsi="宋体" w:cs="宋体"/>
                <w:color w:val="000000"/>
                <w:kern w:val="0"/>
                <w:sz w:val="24"/>
                <w:lang w:val="zh-CN"/>
              </w:rPr>
              <w:t>分。满分</w:t>
            </w:r>
            <w:r>
              <w:rPr>
                <w:rFonts w:hint="eastAsia" w:ascii="宋体" w:hAnsi="宋体" w:cs="宋体"/>
                <w:color w:val="000000"/>
                <w:kern w:val="0"/>
                <w:sz w:val="24"/>
              </w:rPr>
              <w:t>6</w:t>
            </w:r>
            <w:r>
              <w:rPr>
                <w:rFonts w:hint="eastAsia" w:ascii="宋体" w:hAnsi="宋体" w:cs="宋体"/>
                <w:color w:val="000000"/>
                <w:kern w:val="0"/>
                <w:sz w:val="24"/>
                <w:lang w:val="zh-CN"/>
              </w:rPr>
              <w:t>分。</w:t>
            </w:r>
          </w:p>
          <w:p w14:paraId="7DD8DF4B">
            <w:pPr>
              <w:autoSpaceDE w:val="0"/>
              <w:autoSpaceDN w:val="0"/>
              <w:adjustRightInd w:val="0"/>
              <w:snapToGrid w:val="0"/>
              <w:jc w:val="left"/>
              <w:rPr>
                <w:rFonts w:ascii="宋体" w:hAnsi="宋体" w:cs="宋体"/>
                <w:kern w:val="0"/>
                <w:sz w:val="22"/>
                <w:szCs w:val="22"/>
                <w:lang w:val="zh-CN"/>
              </w:rPr>
            </w:pPr>
            <w:r>
              <w:rPr>
                <w:rFonts w:hint="eastAsia" w:ascii="宋体" w:hAnsi="宋体" w:cs="宋体"/>
                <w:b/>
                <w:bCs/>
                <w:color w:val="000000"/>
                <w:kern w:val="0"/>
                <w:sz w:val="24"/>
                <w:lang w:val="zh-CN"/>
              </w:rPr>
              <w:t>注：响应文件中提供</w:t>
            </w:r>
            <w:r>
              <w:rPr>
                <w:rFonts w:hint="eastAsia" w:ascii="宋体" w:hAnsi="宋体" w:cs="宋体"/>
                <w:b/>
                <w:bCs/>
                <w:color w:val="000000"/>
                <w:kern w:val="0"/>
                <w:sz w:val="24"/>
              </w:rPr>
              <w:t>中标（成交）通知书及</w:t>
            </w:r>
            <w:r>
              <w:rPr>
                <w:rFonts w:hint="eastAsia" w:ascii="宋体" w:hAnsi="宋体" w:cs="宋体"/>
                <w:b/>
                <w:bCs/>
                <w:color w:val="000000"/>
                <w:kern w:val="0"/>
                <w:sz w:val="24"/>
                <w:lang w:val="zh-CN"/>
              </w:rPr>
              <w:t>合同关键页（合同封面、合同内容页、签订合同双方的落款盖章、签订日期的关键页及</w:t>
            </w:r>
            <w:r>
              <w:rPr>
                <w:rFonts w:hint="eastAsia" w:ascii="宋体" w:hAnsi="宋体" w:cs="宋体"/>
                <w:b/>
                <w:bCs/>
                <w:color w:val="000000"/>
                <w:kern w:val="0"/>
                <w:sz w:val="24"/>
              </w:rPr>
              <w:t>劳务派遣单单位签字盖章</w:t>
            </w:r>
            <w:r>
              <w:rPr>
                <w:rFonts w:hint="eastAsia" w:ascii="宋体" w:hAnsi="宋体" w:cs="宋体"/>
                <w:b/>
                <w:bCs/>
                <w:color w:val="000000"/>
                <w:kern w:val="0"/>
                <w:sz w:val="24"/>
                <w:lang w:val="zh-CN"/>
              </w:rPr>
              <w:t>），以上证明文件均需加盖供应商公章。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07559C0">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w:t>
            </w:r>
            <w:r>
              <w:rPr>
                <w:rFonts w:hint="eastAsia" w:ascii="宋体" w:hAnsi="宋体" w:cs="宋体"/>
                <w:color w:val="000000"/>
                <w:kern w:val="0"/>
                <w:sz w:val="24"/>
              </w:rPr>
              <w:t>6</w:t>
            </w:r>
          </w:p>
        </w:tc>
      </w:tr>
      <w:tr w14:paraId="6717D120">
        <w:tblPrEx>
          <w:tblCellMar>
            <w:top w:w="0" w:type="dxa"/>
            <w:left w:w="50" w:type="dxa"/>
            <w:bottom w:w="0" w:type="dxa"/>
            <w:right w:w="50" w:type="dxa"/>
          </w:tblCellMar>
        </w:tblPrEx>
        <w:trPr>
          <w:trHeight w:val="3369"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5E2265F3">
            <w:pPr>
              <w:autoSpaceDE w:val="0"/>
              <w:autoSpaceDN w:val="0"/>
              <w:adjustRightInd w:val="0"/>
              <w:spacing w:after="200" w:line="276" w:lineRule="auto"/>
              <w:jc w:val="left"/>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7ACD017">
            <w:pPr>
              <w:autoSpaceDE w:val="0"/>
              <w:autoSpaceDN w:val="0"/>
              <w:adjustRightInd w:val="0"/>
              <w:spacing w:line="390" w:lineRule="atLeast"/>
              <w:rPr>
                <w:rFonts w:ascii="宋体" w:hAnsi="宋体" w:cs="宋体"/>
                <w:color w:val="000000"/>
                <w:kern w:val="0"/>
                <w:sz w:val="24"/>
                <w:lang w:val="zh-CN"/>
              </w:rPr>
            </w:pPr>
            <w:r>
              <w:rPr>
                <w:rFonts w:hint="eastAsia" w:ascii="宋体" w:hAnsi="宋体" w:cs="宋体"/>
                <w:color w:val="000000"/>
                <w:kern w:val="0"/>
                <w:sz w:val="24"/>
                <w:lang w:val="zh-CN"/>
              </w:rPr>
              <w:t>餐饮管理</w:t>
            </w:r>
          </w:p>
          <w:p w14:paraId="362AA5E4">
            <w:pPr>
              <w:autoSpaceDE w:val="0"/>
              <w:autoSpaceDN w:val="0"/>
              <w:adjustRightInd w:val="0"/>
              <w:spacing w:line="390" w:lineRule="atLeast"/>
              <w:jc w:val="center"/>
              <w:rPr>
                <w:rFonts w:ascii="宋体" w:hAnsi="宋体" w:cs="宋体"/>
                <w:color w:val="000000"/>
                <w:kern w:val="0"/>
                <w:sz w:val="24"/>
                <w:lang w:val="zh-CN"/>
              </w:rPr>
            </w:pPr>
            <w:r>
              <w:rPr>
                <w:rFonts w:hint="eastAsia" w:ascii="宋体" w:hAnsi="宋体" w:cs="宋体"/>
                <w:color w:val="000000"/>
                <w:kern w:val="0"/>
                <w:sz w:val="24"/>
                <w:lang w:val="zh-CN"/>
              </w:rPr>
              <w:t>服务人员</w:t>
            </w:r>
          </w:p>
          <w:p w14:paraId="52AFD947">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配备方案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1BBE8A3">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方案须包含服务人员配备原则、组织结构、岗位职责、应急预案等，由磋商小组根据投标供应商制定的食堂餐饮管理服务人员配备方案科学性、合理性、安全性、完整性和承诺的可行性等因素进行评分。</w:t>
            </w:r>
          </w:p>
          <w:p w14:paraId="1BDA9F9C">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（1）方案全面、科学合理，可行性高、针对性强的，得8-1</w:t>
            </w:r>
            <w:r>
              <w:rPr>
                <w:rFonts w:hint="eastAsia" w:ascii="宋体" w:hAnsi="宋体" w:cs="宋体"/>
                <w:color w:val="000000"/>
                <w:kern w:val="0"/>
                <w:sz w:val="24"/>
              </w:rPr>
              <w:t>0</w:t>
            </w:r>
            <w:r>
              <w:rPr>
                <w:rFonts w:hint="eastAsia" w:ascii="宋体" w:hAnsi="宋体" w:cs="宋体"/>
                <w:color w:val="000000"/>
                <w:kern w:val="0"/>
                <w:sz w:val="24"/>
                <w:lang w:val="zh-CN"/>
              </w:rPr>
              <w:t xml:space="preserve">分； </w:t>
            </w:r>
          </w:p>
          <w:p w14:paraId="1BDAF3A7">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（2）方案较为全面、科学合理，可行性、针对性基本符合要求的，得4-7分；</w:t>
            </w:r>
          </w:p>
          <w:p w14:paraId="114CB264">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（3）方案全面性、合理性一般，可行性一般、针对性一般的，得1-3分；</w:t>
            </w:r>
          </w:p>
          <w:p w14:paraId="22D3EE53">
            <w:pPr>
              <w:autoSpaceDE w:val="0"/>
              <w:autoSpaceDN w:val="0"/>
              <w:adjustRightInd w:val="0"/>
              <w:snapToGrid w:val="0"/>
              <w:jc w:val="left"/>
              <w:rPr>
                <w:rFonts w:ascii="宋体" w:hAnsi="宋体" w:cs="宋体"/>
                <w:kern w:val="0"/>
                <w:sz w:val="22"/>
                <w:szCs w:val="22"/>
                <w:lang w:val="zh-CN"/>
              </w:rPr>
            </w:pPr>
            <w:r>
              <w:rPr>
                <w:rFonts w:hint="eastAsia" w:ascii="宋体" w:hAnsi="宋体" w:cs="宋体"/>
                <w:color w:val="000000"/>
                <w:kern w:val="0"/>
                <w:sz w:val="24"/>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C72D019">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w:t>
            </w:r>
            <w:r>
              <w:rPr>
                <w:rFonts w:hint="eastAsia" w:ascii="宋体" w:hAnsi="宋体" w:cs="宋体"/>
                <w:color w:val="000000"/>
                <w:kern w:val="0"/>
                <w:sz w:val="24"/>
              </w:rPr>
              <w:t>10</w:t>
            </w:r>
          </w:p>
        </w:tc>
      </w:tr>
      <w:tr w14:paraId="74F95FE3">
        <w:tblPrEx>
          <w:tblCellMar>
            <w:top w:w="0" w:type="dxa"/>
            <w:left w:w="50" w:type="dxa"/>
            <w:bottom w:w="0" w:type="dxa"/>
            <w:right w:w="50" w:type="dxa"/>
          </w:tblCellMar>
        </w:tblPrEx>
        <w:trPr>
          <w:trHeight w:val="4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3EF217B9">
            <w:pPr>
              <w:autoSpaceDE w:val="0"/>
              <w:autoSpaceDN w:val="0"/>
              <w:adjustRightInd w:val="0"/>
              <w:spacing w:after="200" w:line="276" w:lineRule="auto"/>
              <w:jc w:val="left"/>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73B6502">
            <w:pPr>
              <w:autoSpaceDE w:val="0"/>
              <w:autoSpaceDN w:val="0"/>
              <w:adjustRightInd w:val="0"/>
              <w:spacing w:line="390" w:lineRule="atLeast"/>
              <w:jc w:val="left"/>
              <w:rPr>
                <w:rFonts w:ascii="宋体" w:hAnsi="宋体" w:cs="宋体"/>
                <w:color w:val="000000"/>
                <w:kern w:val="0"/>
                <w:sz w:val="24"/>
                <w:lang w:val="zh-CN"/>
              </w:rPr>
            </w:pPr>
            <w:r>
              <w:rPr>
                <w:rFonts w:hint="eastAsia" w:ascii="宋体" w:hAnsi="宋体" w:cs="宋体"/>
                <w:color w:val="000000"/>
                <w:kern w:val="0"/>
                <w:sz w:val="24"/>
                <w:lang w:val="zh-CN"/>
              </w:rPr>
              <w:t>食堂操作</w:t>
            </w:r>
          </w:p>
          <w:p w14:paraId="210E7302">
            <w:pPr>
              <w:autoSpaceDE w:val="0"/>
              <w:autoSpaceDN w:val="0"/>
              <w:adjustRightInd w:val="0"/>
              <w:spacing w:line="390" w:lineRule="atLeast"/>
              <w:jc w:val="left"/>
              <w:rPr>
                <w:rFonts w:ascii="宋体" w:hAnsi="宋体" w:cs="宋体"/>
                <w:kern w:val="0"/>
                <w:sz w:val="22"/>
                <w:szCs w:val="22"/>
                <w:lang w:val="zh-CN"/>
              </w:rPr>
            </w:pPr>
            <w:r>
              <w:rPr>
                <w:rFonts w:hint="eastAsia" w:ascii="宋体" w:hAnsi="宋体" w:cs="宋体"/>
                <w:color w:val="000000"/>
                <w:kern w:val="0"/>
                <w:sz w:val="24"/>
                <w:lang w:val="zh-CN"/>
              </w:rPr>
              <w:t>规范方案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60AAF92">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方案须包括培训计划、规范操作控制管理方案、台账管理、员工管理制度等，评标委员会根据投标供应商制定的食堂操作规范方案科学性、合理性、安全性、完整性和承诺的可行性等因素，进行评分。</w:t>
            </w:r>
          </w:p>
          <w:p w14:paraId="2A886736">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（1）方案全面、科学合理，可行性高、针对性强的，得8-1</w:t>
            </w:r>
            <w:r>
              <w:rPr>
                <w:rFonts w:hint="eastAsia" w:ascii="宋体" w:hAnsi="宋体" w:cs="宋体"/>
                <w:color w:val="000000"/>
                <w:kern w:val="0"/>
                <w:sz w:val="24"/>
              </w:rPr>
              <w:t>0</w:t>
            </w:r>
            <w:r>
              <w:rPr>
                <w:rFonts w:hint="eastAsia" w:ascii="宋体" w:hAnsi="宋体" w:cs="宋体"/>
                <w:color w:val="000000"/>
                <w:kern w:val="0"/>
                <w:sz w:val="24"/>
                <w:lang w:val="zh-CN"/>
              </w:rPr>
              <w:t xml:space="preserve">分； </w:t>
            </w:r>
          </w:p>
          <w:p w14:paraId="3E003E6E">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（2）方案较为全面、科学合理，可行性、针对性基本符合要求的，得4-7分；</w:t>
            </w:r>
          </w:p>
          <w:p w14:paraId="3D16834C">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（3）方案全面性、合理性一般，可行性一般、针对性一般的，得1-3分；</w:t>
            </w:r>
          </w:p>
          <w:p w14:paraId="2FD53775">
            <w:pPr>
              <w:autoSpaceDE w:val="0"/>
              <w:autoSpaceDN w:val="0"/>
              <w:adjustRightInd w:val="0"/>
              <w:snapToGrid w:val="0"/>
              <w:jc w:val="left"/>
              <w:rPr>
                <w:rFonts w:ascii="宋体" w:hAnsi="宋体" w:cs="宋体"/>
                <w:kern w:val="0"/>
                <w:sz w:val="22"/>
                <w:szCs w:val="22"/>
                <w:lang w:val="zh-CN"/>
              </w:rPr>
            </w:pPr>
            <w:r>
              <w:rPr>
                <w:rFonts w:hint="eastAsia" w:ascii="宋体" w:hAnsi="宋体" w:cs="宋体"/>
                <w:color w:val="000000"/>
                <w:kern w:val="0"/>
                <w:sz w:val="24"/>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333D3B3">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w:t>
            </w:r>
            <w:r>
              <w:rPr>
                <w:rFonts w:hint="eastAsia" w:ascii="宋体" w:hAnsi="宋体" w:cs="宋体"/>
                <w:color w:val="000000"/>
                <w:kern w:val="0"/>
                <w:sz w:val="24"/>
              </w:rPr>
              <w:t>10</w:t>
            </w:r>
          </w:p>
        </w:tc>
      </w:tr>
      <w:tr w14:paraId="638C9837">
        <w:tblPrEx>
          <w:tblCellMar>
            <w:top w:w="0" w:type="dxa"/>
            <w:left w:w="50" w:type="dxa"/>
            <w:bottom w:w="0" w:type="dxa"/>
            <w:right w:w="50" w:type="dxa"/>
          </w:tblCellMar>
        </w:tblPrEx>
        <w:trPr>
          <w:trHeight w:val="306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2963B346">
            <w:pPr>
              <w:autoSpaceDE w:val="0"/>
              <w:autoSpaceDN w:val="0"/>
              <w:adjustRightInd w:val="0"/>
              <w:spacing w:after="200" w:line="276" w:lineRule="auto"/>
              <w:jc w:val="left"/>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02E6261">
            <w:pPr>
              <w:autoSpaceDE w:val="0"/>
              <w:autoSpaceDN w:val="0"/>
              <w:adjustRightInd w:val="0"/>
              <w:jc w:val="left"/>
              <w:rPr>
                <w:rFonts w:ascii="宋体" w:hAnsi="宋体" w:cs="宋体"/>
                <w:kern w:val="0"/>
                <w:sz w:val="22"/>
                <w:szCs w:val="22"/>
                <w:lang w:val="zh-CN"/>
              </w:rPr>
            </w:pPr>
            <w:r>
              <w:rPr>
                <w:rFonts w:hint="eastAsia" w:ascii="宋体" w:hAnsi="宋体" w:cs="宋体"/>
                <w:color w:val="000000"/>
                <w:kern w:val="0"/>
                <w:sz w:val="24"/>
                <w:lang w:val="zh-CN"/>
              </w:rPr>
              <w:t>用工方案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6EA7B30">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方案须包括人员招聘、用工管理、薪酬管理、保险、考核办法等，评标委员会根据投标供应商提供的依法用工方案科学性、合理性、安全性、完整性和承诺的可行性等因素，进行评分。</w:t>
            </w:r>
          </w:p>
          <w:p w14:paraId="26AF6EEC">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（1）方案全面、科学合理，可行性高、针对性强的，得8-1</w:t>
            </w:r>
            <w:r>
              <w:rPr>
                <w:rFonts w:hint="eastAsia" w:ascii="宋体" w:hAnsi="宋体" w:cs="宋体"/>
                <w:color w:val="000000"/>
                <w:kern w:val="0"/>
                <w:sz w:val="24"/>
              </w:rPr>
              <w:t>0</w:t>
            </w:r>
            <w:r>
              <w:rPr>
                <w:rFonts w:hint="eastAsia" w:ascii="宋体" w:hAnsi="宋体" w:cs="宋体"/>
                <w:color w:val="000000"/>
                <w:kern w:val="0"/>
                <w:sz w:val="24"/>
                <w:lang w:val="zh-CN"/>
              </w:rPr>
              <w:t xml:space="preserve">分； </w:t>
            </w:r>
          </w:p>
          <w:p w14:paraId="75B42176">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（2）方案较为全面、科学合理，可行性、针对性基本符合要求的，得4-7分；</w:t>
            </w:r>
          </w:p>
          <w:p w14:paraId="05D246CE">
            <w:pPr>
              <w:autoSpaceDE w:val="0"/>
              <w:autoSpaceDN w:val="0"/>
              <w:adjustRightInd w:val="0"/>
              <w:snapToGrid w:val="0"/>
              <w:jc w:val="left"/>
              <w:rPr>
                <w:rFonts w:ascii="宋体" w:hAnsi="宋体" w:cs="宋体"/>
                <w:color w:val="000000"/>
                <w:kern w:val="0"/>
                <w:sz w:val="24"/>
                <w:lang w:val="zh-CN"/>
              </w:rPr>
            </w:pPr>
            <w:r>
              <w:rPr>
                <w:rFonts w:hint="eastAsia" w:ascii="宋体" w:hAnsi="宋体" w:cs="宋体"/>
                <w:color w:val="000000"/>
                <w:kern w:val="0"/>
                <w:sz w:val="24"/>
                <w:lang w:val="zh-CN"/>
              </w:rPr>
              <w:t>（3）方案全面性、合理性一般，可行性一般、针对性一般的，得1-3分；</w:t>
            </w:r>
          </w:p>
          <w:p w14:paraId="498EC48B">
            <w:pPr>
              <w:autoSpaceDE w:val="0"/>
              <w:autoSpaceDN w:val="0"/>
              <w:adjustRightInd w:val="0"/>
              <w:snapToGrid w:val="0"/>
              <w:jc w:val="left"/>
              <w:rPr>
                <w:rFonts w:ascii="宋体" w:hAnsi="宋体" w:cs="宋体"/>
                <w:kern w:val="0"/>
                <w:sz w:val="22"/>
                <w:szCs w:val="22"/>
                <w:lang w:val="zh-CN"/>
              </w:rPr>
            </w:pPr>
            <w:r>
              <w:rPr>
                <w:rFonts w:hint="eastAsia" w:ascii="宋体" w:hAnsi="宋体" w:cs="宋体"/>
                <w:color w:val="000000"/>
                <w:kern w:val="0"/>
                <w:sz w:val="24"/>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6634622">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0-1</w:t>
            </w:r>
            <w:r>
              <w:rPr>
                <w:rFonts w:hint="eastAsia" w:ascii="宋体" w:hAnsi="宋体" w:cs="宋体"/>
                <w:color w:val="000000"/>
                <w:kern w:val="0"/>
                <w:sz w:val="24"/>
              </w:rPr>
              <w:t>0</w:t>
            </w:r>
          </w:p>
        </w:tc>
      </w:tr>
      <w:tr w14:paraId="08060999">
        <w:tblPrEx>
          <w:tblCellMar>
            <w:top w:w="0" w:type="dxa"/>
            <w:left w:w="50" w:type="dxa"/>
            <w:bottom w:w="0" w:type="dxa"/>
            <w:right w:w="50" w:type="dxa"/>
          </w:tblCellMar>
        </w:tblPrEx>
        <w:trPr>
          <w:trHeight w:val="23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68B1CF8C">
            <w:pPr>
              <w:autoSpaceDE w:val="0"/>
              <w:autoSpaceDN w:val="0"/>
              <w:adjustRightInd w:val="0"/>
              <w:spacing w:after="200" w:line="276" w:lineRule="auto"/>
              <w:jc w:val="left"/>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413FD7F">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突发事件应急处置方案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A045094">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lang w:val="zh-CN"/>
              </w:rPr>
              <w:t>根据供应商突发事件（包括但不限于1、食品质量等突发事情的处理方案；2、应急响应时间、人员安排；3、突发情况的物资保障供应；）应急处置方案进行评分：</w:t>
            </w:r>
          </w:p>
          <w:p w14:paraId="38C5A45F">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lang w:val="zh-CN"/>
              </w:rPr>
              <w:t>1.应急方案具体、合理、符合采购需求得8-11分；</w:t>
            </w:r>
          </w:p>
          <w:p w14:paraId="5D625F89">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lang w:val="zh-CN"/>
              </w:rPr>
              <w:t>2.应急方案较详尽、较符合采购需求得4-7分；</w:t>
            </w:r>
          </w:p>
          <w:p w14:paraId="6EFAE127">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lang w:val="zh-CN"/>
              </w:rPr>
              <w:t>3.应急方案不够具体、基本可行得1-3分；</w:t>
            </w:r>
          </w:p>
          <w:p w14:paraId="6EB6A316">
            <w:pPr>
              <w:autoSpaceDE w:val="0"/>
              <w:autoSpaceDN w:val="0"/>
              <w:adjustRightInd w:val="0"/>
              <w:snapToGrid w:val="0"/>
              <w:rPr>
                <w:rFonts w:ascii="宋体" w:hAnsi="宋体" w:cs="宋体"/>
                <w:kern w:val="0"/>
                <w:sz w:val="22"/>
                <w:szCs w:val="22"/>
                <w:lang w:val="zh-CN"/>
              </w:rPr>
            </w:pPr>
            <w:r>
              <w:rPr>
                <w:rFonts w:hint="eastAsia" w:ascii="宋体" w:hAnsi="宋体" w:cs="宋体"/>
                <w:color w:val="000000"/>
                <w:kern w:val="0"/>
                <w:sz w:val="24"/>
                <w:lang w:val="zh-CN"/>
              </w:rPr>
              <w:t>4.不提供不得分。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9BF0597">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0-11</w:t>
            </w:r>
          </w:p>
        </w:tc>
      </w:tr>
      <w:tr w14:paraId="5EAA16CD">
        <w:tblPrEx>
          <w:tblCellMar>
            <w:top w:w="0" w:type="dxa"/>
            <w:left w:w="50" w:type="dxa"/>
            <w:bottom w:w="0" w:type="dxa"/>
            <w:right w:w="50" w:type="dxa"/>
          </w:tblCellMar>
        </w:tblPrEx>
        <w:trPr>
          <w:trHeight w:val="3046" w:hRule="atLeast"/>
          <w:jc w:val="center"/>
        </w:trPr>
        <w:tc>
          <w:tcPr>
            <w:tcW w:w="1087" w:type="dxa"/>
            <w:vMerge w:val="continue"/>
            <w:tcBorders>
              <w:left w:val="single" w:color="000000" w:sz="2" w:space="0"/>
              <w:bottom w:val="single" w:color="000000" w:sz="2" w:space="0"/>
              <w:right w:val="single" w:color="000000" w:sz="2" w:space="0"/>
            </w:tcBorders>
            <w:shd w:val="clear" w:color="000000" w:fill="FFFFFF"/>
            <w:noWrap w:val="0"/>
            <w:vAlign w:val="center"/>
          </w:tcPr>
          <w:p w14:paraId="50BC890A">
            <w:pPr>
              <w:autoSpaceDE w:val="0"/>
              <w:autoSpaceDN w:val="0"/>
              <w:adjustRightInd w:val="0"/>
              <w:spacing w:line="390" w:lineRule="atLeast"/>
              <w:jc w:val="center"/>
              <w:rPr>
                <w:rFonts w:ascii="宋体" w:hAnsi="宋体" w:cs="宋体"/>
                <w:kern w:val="0"/>
                <w:sz w:val="22"/>
                <w:szCs w:val="22"/>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DA41CE7">
            <w:pPr>
              <w:autoSpaceDE w:val="0"/>
              <w:autoSpaceDN w:val="0"/>
              <w:adjustRightInd w:val="0"/>
              <w:jc w:val="left"/>
              <w:rPr>
                <w:rFonts w:ascii="宋体" w:hAnsi="宋体" w:cs="宋体"/>
                <w:kern w:val="0"/>
                <w:sz w:val="22"/>
                <w:szCs w:val="22"/>
                <w:lang w:val="zh-CN"/>
              </w:rPr>
            </w:pPr>
            <w:r>
              <w:rPr>
                <w:rFonts w:hint="eastAsia" w:ascii="宋体" w:hAnsi="宋体" w:cs="宋体"/>
                <w:color w:val="000000"/>
                <w:kern w:val="0"/>
                <w:sz w:val="24"/>
                <w:lang w:val="zh-CN"/>
              </w:rPr>
              <w:t>服务承诺</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703A6E">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rPr>
              <w:t>1、</w:t>
            </w:r>
            <w:r>
              <w:rPr>
                <w:rFonts w:hint="eastAsia" w:ascii="宋体" w:hAnsi="宋体" w:cs="宋体"/>
                <w:color w:val="000000"/>
                <w:kern w:val="0"/>
                <w:sz w:val="24"/>
                <w:lang w:val="zh-CN"/>
              </w:rPr>
              <w:t>为保证本项目服务质量和安全，中标单位须承诺食堂运营前为在校用餐人员缴纳食品安全责任险，费用由成交供应商支付。</w:t>
            </w:r>
            <w:r>
              <w:rPr>
                <w:rFonts w:hint="eastAsia" w:ascii="宋体" w:hAnsi="宋体" w:cs="宋体"/>
                <w:color w:val="000000"/>
                <w:kern w:val="0"/>
                <w:sz w:val="24"/>
              </w:rPr>
              <w:t>提供</w:t>
            </w:r>
            <w:r>
              <w:rPr>
                <w:rFonts w:hint="eastAsia" w:ascii="宋体" w:hAnsi="宋体" w:cs="宋体"/>
                <w:color w:val="000000"/>
                <w:kern w:val="0"/>
                <w:sz w:val="24"/>
                <w:lang w:val="zh-CN"/>
              </w:rPr>
              <w:t>此承诺得</w:t>
            </w:r>
            <w:r>
              <w:rPr>
                <w:rFonts w:hint="eastAsia" w:ascii="宋体" w:hAnsi="宋体" w:cs="宋体"/>
                <w:color w:val="000000"/>
                <w:kern w:val="0"/>
                <w:sz w:val="24"/>
              </w:rPr>
              <w:t>6</w:t>
            </w:r>
            <w:r>
              <w:rPr>
                <w:rFonts w:hint="eastAsia" w:ascii="宋体" w:hAnsi="宋体" w:cs="宋体"/>
                <w:color w:val="000000"/>
                <w:kern w:val="0"/>
                <w:sz w:val="24"/>
                <w:lang w:val="zh-CN"/>
              </w:rPr>
              <w:t>分。</w:t>
            </w:r>
          </w:p>
          <w:p w14:paraId="1FA23B9E">
            <w:pPr>
              <w:autoSpaceDE w:val="0"/>
              <w:autoSpaceDN w:val="0"/>
              <w:adjustRightInd w:val="0"/>
              <w:snapToGrid w:val="0"/>
              <w:rPr>
                <w:rFonts w:ascii="宋体" w:hAnsi="宋体" w:cs="宋体"/>
                <w:color w:val="000000"/>
                <w:kern w:val="0"/>
                <w:sz w:val="24"/>
                <w:lang w:val="zh-CN"/>
              </w:rPr>
            </w:pPr>
            <w:r>
              <w:rPr>
                <w:rFonts w:hint="eastAsia" w:ascii="宋体" w:hAnsi="宋体" w:cs="宋体"/>
                <w:color w:val="000000"/>
                <w:kern w:val="0"/>
                <w:sz w:val="24"/>
              </w:rPr>
              <w:t>2、</w:t>
            </w:r>
            <w:r>
              <w:rPr>
                <w:rFonts w:hint="eastAsia" w:ascii="宋体" w:hAnsi="宋体" w:cs="宋体"/>
                <w:color w:val="000000"/>
                <w:kern w:val="0"/>
                <w:sz w:val="24"/>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rPr>
              <w:t>5</w:t>
            </w:r>
            <w:r>
              <w:rPr>
                <w:rFonts w:hint="eastAsia" w:ascii="宋体" w:hAnsi="宋体" w:cs="宋体"/>
                <w:color w:val="000000"/>
                <w:kern w:val="0"/>
                <w:sz w:val="24"/>
                <w:lang w:val="zh-CN"/>
              </w:rPr>
              <w:t>分。</w:t>
            </w:r>
          </w:p>
          <w:p w14:paraId="1FA00412">
            <w:pPr>
              <w:autoSpaceDE w:val="0"/>
              <w:autoSpaceDN w:val="0"/>
              <w:adjustRightInd w:val="0"/>
              <w:snapToGrid w:val="0"/>
              <w:rPr>
                <w:rFonts w:ascii="宋体" w:hAnsi="宋体" w:cs="宋体"/>
                <w:kern w:val="0"/>
                <w:sz w:val="22"/>
                <w:szCs w:val="22"/>
                <w:lang w:val="zh-CN"/>
              </w:rPr>
            </w:pPr>
            <w:r>
              <w:rPr>
                <w:rFonts w:hint="eastAsia" w:ascii="宋体" w:hAnsi="宋体" w:cs="宋体"/>
                <w:color w:val="000000"/>
                <w:kern w:val="0"/>
                <w:sz w:val="24"/>
                <w:lang w:val="zh-CN"/>
              </w:rPr>
              <w:t>注：（无此承诺或承诺不完整的不得分，响应文件中须提供单页承诺并加盖供应商公章）。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24BDAA4">
            <w:pPr>
              <w:autoSpaceDE w:val="0"/>
              <w:autoSpaceDN w:val="0"/>
              <w:adjustRightInd w:val="0"/>
              <w:spacing w:line="390" w:lineRule="atLeast"/>
              <w:jc w:val="center"/>
              <w:rPr>
                <w:rFonts w:ascii="宋体" w:hAnsi="宋体" w:cs="宋体"/>
                <w:kern w:val="0"/>
                <w:sz w:val="22"/>
                <w:szCs w:val="22"/>
              </w:rPr>
            </w:pPr>
            <w:r>
              <w:rPr>
                <w:rFonts w:hint="eastAsia" w:ascii="宋体" w:hAnsi="宋体" w:cs="宋体"/>
                <w:color w:val="000000"/>
                <w:kern w:val="0"/>
                <w:sz w:val="24"/>
                <w:lang w:val="zh-CN"/>
              </w:rPr>
              <w:t>0-</w:t>
            </w:r>
            <w:r>
              <w:rPr>
                <w:rFonts w:hint="eastAsia" w:ascii="宋体" w:hAnsi="宋体" w:cs="宋体"/>
                <w:color w:val="000000"/>
                <w:kern w:val="0"/>
                <w:sz w:val="24"/>
              </w:rPr>
              <w:t>11</w:t>
            </w:r>
          </w:p>
        </w:tc>
      </w:tr>
      <w:tr w14:paraId="6E91B6D0">
        <w:tblPrEx>
          <w:tblCellMar>
            <w:top w:w="0" w:type="dxa"/>
            <w:left w:w="50" w:type="dxa"/>
            <w:bottom w:w="0" w:type="dxa"/>
            <w:right w:w="50" w:type="dxa"/>
          </w:tblCellMar>
        </w:tblPrEx>
        <w:trPr>
          <w:trHeight w:val="2102" w:hRule="atLeast"/>
          <w:jc w:val="center"/>
        </w:trPr>
        <w:tc>
          <w:tcPr>
            <w:tcW w:w="2216"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93B3973">
            <w:pPr>
              <w:autoSpaceDE w:val="0"/>
              <w:autoSpaceDN w:val="0"/>
              <w:adjustRightInd w:val="0"/>
              <w:jc w:val="center"/>
              <w:rPr>
                <w:rFonts w:ascii="宋体" w:hAnsi="宋体" w:cs="宋体"/>
                <w:kern w:val="0"/>
                <w:sz w:val="22"/>
                <w:szCs w:val="22"/>
                <w:lang w:val="zh-CN"/>
              </w:rPr>
            </w:pPr>
            <w:r>
              <w:rPr>
                <w:rFonts w:hint="eastAsia" w:ascii="宋体" w:hAnsi="宋体" w:cs="宋体"/>
                <w:kern w:val="0"/>
                <w:sz w:val="24"/>
                <w:lang w:val="zh-CN"/>
              </w:rPr>
              <w:t>价格分（</w:t>
            </w:r>
            <w:r>
              <w:rPr>
                <w:rFonts w:hint="eastAsia" w:ascii="宋体" w:hAnsi="宋体" w:cs="宋体"/>
                <w:kern w:val="0"/>
                <w:sz w:val="24"/>
                <w:u w:val="single"/>
              </w:rPr>
              <w:t>3</w:t>
            </w:r>
            <w:r>
              <w:rPr>
                <w:rFonts w:hint="eastAsia" w:ascii="宋体" w:hAnsi="宋体" w:cs="宋体"/>
                <w:kern w:val="0"/>
                <w:sz w:val="24"/>
                <w:u w:val="single"/>
                <w:lang w:val="zh-CN"/>
              </w:rPr>
              <w:t>0</w:t>
            </w:r>
            <w:r>
              <w:rPr>
                <w:rFonts w:hint="eastAsia" w:ascii="宋体" w:hAnsi="宋体" w:cs="宋体"/>
                <w:kern w:val="0"/>
                <w:sz w:val="24"/>
                <w:lang w:val="zh-CN"/>
              </w:rPr>
              <w:t>分）</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E36FC61">
            <w:pPr>
              <w:adjustRightInd w:val="0"/>
              <w:snapToGrid w:val="0"/>
              <w:jc w:val="left"/>
              <w:rPr>
                <w:rFonts w:ascii="宋体" w:hAnsi="宋体" w:cs="宋体"/>
                <w:sz w:val="24"/>
                <w:szCs w:val="24"/>
              </w:rPr>
            </w:pPr>
            <w:r>
              <w:rPr>
                <w:rFonts w:hint="eastAsia" w:ascii="宋体" w:hAnsi="宋体" w:cs="宋体"/>
                <w:sz w:val="24"/>
                <w:szCs w:val="24"/>
              </w:rPr>
              <w:t>价格分统一采用低价优先法，即满足磋商文件要求且最终报价最低的价格作为评标基准价，其价格分为满分30分。其他磋商供应商的价格分统一按照下列公式计算（四舍五入保留至小数点后两位数）：</w:t>
            </w:r>
          </w:p>
          <w:p w14:paraId="5CDAD04F">
            <w:pPr>
              <w:autoSpaceDE w:val="0"/>
              <w:autoSpaceDN w:val="0"/>
              <w:adjustRightInd w:val="0"/>
              <w:snapToGrid w:val="0"/>
              <w:rPr>
                <w:rFonts w:ascii="宋体" w:hAnsi="宋体" w:cs="宋体"/>
                <w:kern w:val="0"/>
                <w:sz w:val="22"/>
                <w:szCs w:val="22"/>
                <w:lang w:val="zh-CN"/>
              </w:rPr>
            </w:pPr>
            <w:r>
              <w:rPr>
                <w:rFonts w:hint="eastAsia" w:ascii="宋体" w:hAnsi="宋体" w:cs="宋体"/>
                <w:sz w:val="24"/>
                <w:szCs w:val="24"/>
              </w:rPr>
              <w:t>磋商报价得分＝（评标基准价/磋商报价）×30%×100</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C583DC5">
            <w:pPr>
              <w:autoSpaceDE w:val="0"/>
              <w:autoSpaceDN w:val="0"/>
              <w:adjustRightInd w:val="0"/>
              <w:spacing w:line="390" w:lineRule="atLeast"/>
              <w:jc w:val="center"/>
              <w:rPr>
                <w:rFonts w:ascii="宋体" w:hAnsi="宋体" w:cs="宋体"/>
                <w:kern w:val="0"/>
                <w:sz w:val="22"/>
                <w:szCs w:val="22"/>
                <w:lang w:val="zh-CN"/>
              </w:rPr>
            </w:pPr>
            <w:r>
              <w:rPr>
                <w:rFonts w:hint="eastAsia" w:ascii="宋体" w:hAnsi="宋体" w:cs="宋体"/>
                <w:color w:val="000000"/>
                <w:kern w:val="0"/>
                <w:sz w:val="24"/>
                <w:lang w:val="zh-CN"/>
              </w:rPr>
              <w:t>0-</w:t>
            </w:r>
            <w:r>
              <w:rPr>
                <w:rFonts w:hint="eastAsia" w:ascii="宋体" w:hAnsi="宋体" w:cs="宋体"/>
                <w:color w:val="000000"/>
                <w:kern w:val="0"/>
                <w:sz w:val="24"/>
              </w:rPr>
              <w:t>3</w:t>
            </w:r>
            <w:r>
              <w:rPr>
                <w:rFonts w:hint="eastAsia" w:ascii="宋体" w:hAnsi="宋体" w:cs="宋体"/>
                <w:color w:val="000000"/>
                <w:kern w:val="0"/>
                <w:sz w:val="24"/>
                <w:lang w:val="zh-CN"/>
              </w:rPr>
              <w:t>0</w:t>
            </w:r>
          </w:p>
        </w:tc>
      </w:tr>
    </w:tbl>
    <w:p w14:paraId="06401801">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037222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6FA27ED">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24144CE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highlight w:val="none"/>
        </w:rPr>
      </w:pPr>
      <w:r>
        <w:rPr>
          <w:rFonts w:hint="eastAsia" w:ascii="宋体" w:hAnsi="宋体" w:cs="宋体"/>
          <w:sz w:val="24"/>
          <w:szCs w:val="24"/>
          <w:highlight w:val="none"/>
        </w:rPr>
        <w:t>（2）按照有效磋商供应商综合总得分由高到低依次排出成交供应商及成交候选供应商。</w:t>
      </w:r>
    </w:p>
    <w:p w14:paraId="3753443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p>
    <w:p w14:paraId="749F6E12">
      <w:pPr>
        <w:pStyle w:val="2"/>
        <w:spacing w:before="156" w:beforeLines="50" w:after="156" w:afterLines="50" w:line="560" w:lineRule="exact"/>
        <w:jc w:val="center"/>
        <w:outlineLvl w:val="0"/>
        <w:rPr>
          <w:rFonts w:ascii="宋体" w:hAnsi="宋体" w:eastAsia="宋体" w:cs="宋体"/>
          <w:sz w:val="28"/>
          <w:szCs w:val="28"/>
          <w:highlight w:val="none"/>
        </w:rPr>
      </w:pPr>
      <w:bookmarkStart w:id="99" w:name="_Toc5553"/>
      <w:bookmarkStart w:id="100" w:name="_Toc14458"/>
      <w:r>
        <w:rPr>
          <w:rFonts w:hint="eastAsia" w:ascii="宋体" w:hAnsi="宋体" w:eastAsia="宋体" w:cs="宋体"/>
          <w:sz w:val="28"/>
          <w:szCs w:val="28"/>
          <w:highlight w:val="none"/>
        </w:rPr>
        <w:br w:type="page"/>
      </w:r>
      <w:bookmarkStart w:id="101" w:name="_Toc8088"/>
      <w:bookmarkStart w:id="102" w:name="_Toc21797"/>
      <w:r>
        <w:rPr>
          <w:rFonts w:hint="eastAsia" w:ascii="宋体" w:hAnsi="宋体" w:eastAsia="宋体" w:cs="宋体"/>
          <w:sz w:val="30"/>
          <w:szCs w:val="30"/>
          <w:highlight w:val="none"/>
        </w:rPr>
        <w:t>五、响应文件格式</w:t>
      </w:r>
      <w:bookmarkEnd w:id="99"/>
      <w:bookmarkEnd w:id="100"/>
      <w:bookmarkEnd w:id="101"/>
      <w:bookmarkEnd w:id="102"/>
    </w:p>
    <w:p w14:paraId="6F0BF7C8">
      <w:pPr>
        <w:spacing w:line="500" w:lineRule="exact"/>
        <w:jc w:val="center"/>
        <w:rPr>
          <w:rFonts w:ascii="宋体" w:hAnsi="宋体" w:cs="宋体"/>
          <w:b/>
          <w:sz w:val="32"/>
          <w:highlight w:val="none"/>
        </w:rPr>
      </w:pPr>
    </w:p>
    <w:p w14:paraId="03107CCB">
      <w:pPr>
        <w:spacing w:line="500" w:lineRule="exact"/>
        <w:jc w:val="center"/>
        <w:outlineLvl w:val="9"/>
        <w:rPr>
          <w:rFonts w:ascii="宋体" w:hAnsi="宋体" w:cs="宋体"/>
          <w:b/>
          <w:sz w:val="32"/>
          <w:highlight w:val="none"/>
        </w:rPr>
      </w:pPr>
      <w:r>
        <w:rPr>
          <w:rFonts w:hint="eastAsia" w:ascii="宋体" w:hAnsi="宋体" w:cs="宋体"/>
          <w:b/>
          <w:sz w:val="32"/>
          <w:highlight w:val="none"/>
          <w:u w:val="single"/>
        </w:rPr>
        <w:t>　　　　　　　　　</w:t>
      </w:r>
      <w:bookmarkStart w:id="103" w:name="_Toc22685"/>
      <w:bookmarkStart w:id="104" w:name="_Toc4448"/>
      <w:r>
        <w:rPr>
          <w:rFonts w:hint="eastAsia" w:ascii="宋体" w:hAnsi="宋体" w:cs="宋体"/>
          <w:b/>
          <w:sz w:val="32"/>
          <w:highlight w:val="none"/>
        </w:rPr>
        <w:t>项目</w:t>
      </w:r>
      <w:bookmarkEnd w:id="103"/>
      <w:bookmarkEnd w:id="104"/>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r>
        <w:rPr>
          <w:rFonts w:hint="eastAsia" w:ascii="宋体" w:hAnsi="宋体" w:cs="宋体"/>
          <w:b/>
          <w:sz w:val="30"/>
          <w:szCs w:val="30"/>
          <w:highlight w:val="none"/>
        </w:rPr>
        <w:t>第</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包</w:t>
      </w:r>
    </w:p>
    <w:p w14:paraId="5ED124E9">
      <w:pPr>
        <w:spacing w:after="156" w:afterLines="50" w:line="500" w:lineRule="exact"/>
        <w:jc w:val="center"/>
        <w:rPr>
          <w:rFonts w:ascii="宋体" w:hAnsi="宋体" w:cs="宋体"/>
          <w:b/>
          <w:sz w:val="72"/>
          <w:highlight w:val="none"/>
        </w:rPr>
      </w:pP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9"/>
        <w:rPr>
          <w:rFonts w:ascii="宋体" w:hAnsi="宋体" w:cs="宋体"/>
          <w:sz w:val="24"/>
          <w:szCs w:val="28"/>
          <w:highlight w:val="none"/>
        </w:rPr>
      </w:pPr>
      <w:bookmarkStart w:id="105" w:name="_Toc4670"/>
      <w:bookmarkStart w:id="106" w:name="_Toc5792"/>
      <w:r>
        <w:rPr>
          <w:rFonts w:hint="eastAsia" w:ascii="宋体" w:hAnsi="宋体" w:cs="宋体"/>
          <w:b/>
          <w:sz w:val="32"/>
          <w:highlight w:val="none"/>
        </w:rPr>
        <w:t>年  月  日</w:t>
      </w:r>
      <w:bookmarkEnd w:id="105"/>
      <w:bookmarkEnd w:id="106"/>
    </w:p>
    <w:p w14:paraId="763B8393">
      <w:pPr>
        <w:pStyle w:val="3"/>
        <w:spacing w:before="156" w:beforeLines="50" w:after="156" w:afterLines="50" w:line="560" w:lineRule="exact"/>
        <w:jc w:val="center"/>
        <w:rPr>
          <w:rFonts w:ascii="宋体" w:hAnsi="宋体" w:eastAsia="宋体" w:cs="宋体"/>
          <w:sz w:val="24"/>
          <w:szCs w:val="24"/>
          <w:highlight w:val="none"/>
        </w:rPr>
      </w:pPr>
      <w:bookmarkStart w:id="107" w:name="_Toc20663"/>
      <w:r>
        <w:rPr>
          <w:rFonts w:hint="eastAsia" w:ascii="宋体" w:hAnsi="宋体" w:eastAsia="宋体" w:cs="宋体"/>
          <w:sz w:val="24"/>
          <w:szCs w:val="24"/>
          <w:highlight w:val="none"/>
        </w:rPr>
        <w:br w:type="page"/>
      </w:r>
      <w:bookmarkStart w:id="108" w:name="_Toc2602"/>
      <w:r>
        <w:rPr>
          <w:rFonts w:hint="eastAsia" w:ascii="宋体" w:hAnsi="宋体" w:eastAsia="宋体" w:cs="宋体"/>
          <w:sz w:val="24"/>
          <w:szCs w:val="24"/>
          <w:highlight w:val="none"/>
        </w:rPr>
        <w:t>响应文件资料清单</w:t>
      </w:r>
      <w:bookmarkEnd w:id="107"/>
      <w:bookmarkEnd w:id="108"/>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109" w:name="_Toc16318"/>
            <w:bookmarkStart w:id="110" w:name="_Toc6106"/>
            <w:bookmarkStart w:id="111" w:name="_Toc19445"/>
            <w:r>
              <w:rPr>
                <w:rStyle w:val="95"/>
                <w:rFonts w:hint="eastAsia" w:ascii="宋体" w:hAnsi="宋体" w:eastAsia="宋体" w:cs="宋体"/>
                <w:b w:val="0"/>
                <w:sz w:val="24"/>
                <w:szCs w:val="24"/>
                <w:highlight w:val="none"/>
              </w:rPr>
              <w:t>中小企业声明函、</w:t>
            </w:r>
            <w:bookmarkEnd w:id="109"/>
            <w:bookmarkEnd w:id="110"/>
            <w:bookmarkEnd w:id="111"/>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12" w:name="_Toc8158"/>
      <w:bookmarkStart w:id="113" w:name="_Toc21309"/>
      <w:bookmarkStart w:id="114" w:name="_Toc10603"/>
      <w:r>
        <w:rPr>
          <w:rFonts w:hint="eastAsia" w:ascii="宋体" w:hAnsi="宋体" w:eastAsia="宋体" w:cs="宋体"/>
          <w:b/>
          <w:bCs/>
          <w:sz w:val="24"/>
          <w:szCs w:val="24"/>
          <w:highlight w:val="none"/>
        </w:rPr>
        <w:t>附件一</w:t>
      </w:r>
      <w:bookmarkEnd w:id="112"/>
      <w:bookmarkEnd w:id="113"/>
      <w:bookmarkEnd w:id="114"/>
    </w:p>
    <w:p w14:paraId="4ECA6CD3">
      <w:pPr>
        <w:pStyle w:val="3"/>
        <w:spacing w:before="0" w:after="0" w:line="560" w:lineRule="exact"/>
        <w:jc w:val="center"/>
        <w:rPr>
          <w:rFonts w:ascii="宋体" w:hAnsi="宋体" w:eastAsia="宋体" w:cs="宋体"/>
          <w:sz w:val="24"/>
          <w:szCs w:val="24"/>
          <w:highlight w:val="none"/>
        </w:rPr>
      </w:pPr>
      <w:bookmarkStart w:id="115" w:name="_Toc5601"/>
      <w:bookmarkStart w:id="116" w:name="_Toc10816"/>
      <w:bookmarkStart w:id="117" w:name="_Toc9181"/>
      <w:r>
        <w:rPr>
          <w:rFonts w:hint="eastAsia" w:ascii="宋体" w:hAnsi="宋体" w:eastAsia="宋体" w:cs="宋体"/>
          <w:sz w:val="24"/>
          <w:szCs w:val="24"/>
          <w:highlight w:val="none"/>
        </w:rPr>
        <w:t>报价单</w:t>
      </w:r>
      <w:bookmarkEnd w:id="115"/>
      <w:bookmarkEnd w:id="116"/>
      <w:bookmarkEnd w:id="117"/>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60"/>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18" w:name="_Toc2007"/>
      <w:bookmarkStart w:id="119"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790FA5D">
      <w:pPr>
        <w:wordWrap w:val="0"/>
        <w:spacing w:before="0" w:after="0" w:line="52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20" w:name="_Toc22855"/>
      <w:r>
        <w:rPr>
          <w:rFonts w:hint="eastAsia" w:ascii="宋体" w:hAnsi="宋体" w:eastAsia="宋体" w:cs="宋体"/>
          <w:b/>
          <w:bCs/>
          <w:sz w:val="24"/>
          <w:szCs w:val="24"/>
          <w:highlight w:val="none"/>
        </w:rPr>
        <w:t>附件二</w:t>
      </w:r>
      <w:bookmarkEnd w:id="118"/>
      <w:bookmarkEnd w:id="119"/>
      <w:bookmarkEnd w:id="120"/>
    </w:p>
    <w:p w14:paraId="198DFB7F">
      <w:pPr>
        <w:pStyle w:val="3"/>
        <w:spacing w:before="0" w:after="0" w:line="520" w:lineRule="exact"/>
        <w:jc w:val="center"/>
        <w:rPr>
          <w:rFonts w:ascii="宋体" w:hAnsi="宋体" w:eastAsia="宋体" w:cs="宋体"/>
          <w:sz w:val="24"/>
          <w:szCs w:val="24"/>
          <w:highlight w:val="none"/>
        </w:rPr>
      </w:pPr>
      <w:bookmarkStart w:id="121" w:name="_Toc17280"/>
      <w:bookmarkStart w:id="122" w:name="_Toc3262"/>
      <w:bookmarkStart w:id="123" w:name="_Toc29464"/>
      <w:r>
        <w:rPr>
          <w:rFonts w:hint="eastAsia" w:ascii="宋体" w:hAnsi="宋体" w:eastAsia="宋体" w:cs="宋体"/>
          <w:sz w:val="24"/>
          <w:szCs w:val="24"/>
          <w:highlight w:val="none"/>
        </w:rPr>
        <w:t>供应商基本信息</w:t>
      </w:r>
      <w:bookmarkEnd w:id="121"/>
      <w:bookmarkEnd w:id="122"/>
      <w:bookmarkEnd w:id="123"/>
    </w:p>
    <w:p w14:paraId="761613D5">
      <w:pPr>
        <w:pStyle w:val="33"/>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wordWrap w:val="0"/>
        <w:spacing w:before="0" w:after="0" w:line="520" w:lineRule="exact"/>
        <w:outlineLvl w:val="9"/>
        <w:rPr>
          <w:rFonts w:ascii="宋体" w:hAnsi="宋体" w:eastAsia="宋体" w:cs="宋体"/>
          <w:b/>
          <w:bCs/>
          <w:sz w:val="24"/>
          <w:szCs w:val="24"/>
          <w:highlight w:val="none"/>
        </w:rPr>
      </w:pPr>
      <w:bookmarkStart w:id="124" w:name="_Toc11062"/>
      <w:bookmarkStart w:id="125" w:name="_Toc18369"/>
      <w:bookmarkStart w:id="126" w:name="_Toc10154"/>
      <w:r>
        <w:rPr>
          <w:rFonts w:hint="eastAsia" w:ascii="宋体" w:hAnsi="宋体" w:eastAsia="宋体" w:cs="宋体"/>
          <w:b/>
          <w:bCs/>
          <w:sz w:val="24"/>
          <w:szCs w:val="24"/>
          <w:highlight w:val="none"/>
        </w:rPr>
        <w:t>附件三</w:t>
      </w:r>
      <w:bookmarkEnd w:id="124"/>
      <w:bookmarkEnd w:id="125"/>
      <w:bookmarkEnd w:id="126"/>
    </w:p>
    <w:p w14:paraId="3E832E79">
      <w:pPr>
        <w:pStyle w:val="3"/>
        <w:spacing w:before="0" w:after="0" w:line="520" w:lineRule="exact"/>
        <w:jc w:val="center"/>
        <w:rPr>
          <w:rFonts w:ascii="宋体" w:hAnsi="宋体" w:eastAsia="宋体" w:cs="宋体"/>
          <w:sz w:val="24"/>
          <w:szCs w:val="24"/>
          <w:highlight w:val="none"/>
        </w:rPr>
      </w:pPr>
      <w:bookmarkStart w:id="127" w:name="_Toc13141"/>
      <w:bookmarkStart w:id="128" w:name="_Toc30135"/>
      <w:bookmarkStart w:id="129" w:name="_Toc10696"/>
      <w:r>
        <w:rPr>
          <w:rFonts w:hint="eastAsia" w:ascii="宋体" w:hAnsi="宋体" w:eastAsia="宋体" w:cs="宋体"/>
          <w:sz w:val="24"/>
          <w:szCs w:val="24"/>
          <w:highlight w:val="none"/>
        </w:rPr>
        <w:t>磋商授权书</w:t>
      </w:r>
      <w:bookmarkEnd w:id="127"/>
      <w:bookmarkEnd w:id="128"/>
      <w:bookmarkEnd w:id="129"/>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spacing w:line="520" w:lineRule="exact"/>
        <w:ind w:firstLine="1084" w:firstLineChars="450"/>
        <w:jc w:val="left"/>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18905256">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701A0DE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spacing w:line="520" w:lineRule="exact"/>
        <w:ind w:firstLine="1084" w:firstLineChars="450"/>
        <w:jc w:val="left"/>
        <w:rPr>
          <w:rFonts w:ascii="宋体" w:hAnsi="宋体" w:cs="宋体"/>
          <w:b/>
          <w:bCs/>
          <w:sz w:val="24"/>
          <w:szCs w:val="24"/>
          <w:highlight w:val="none"/>
        </w:rPr>
      </w:pPr>
    </w:p>
    <w:p w14:paraId="5D172124">
      <w:pPr>
        <w:spacing w:line="520" w:lineRule="exact"/>
        <w:ind w:firstLine="1084" w:firstLineChars="450"/>
        <w:jc w:val="left"/>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sz w:val="24"/>
          <w:szCs w:val="24"/>
          <w:highlight w:val="none"/>
          <w:u w:val="single"/>
        </w:rPr>
        <w:t xml:space="preserve">                     </w:t>
      </w:r>
    </w:p>
    <w:p w14:paraId="25FDDB1A">
      <w:pPr>
        <w:spacing w:line="520" w:lineRule="exact"/>
        <w:jc w:val="left"/>
        <w:rPr>
          <w:rFonts w:ascii="宋体" w:hAnsi="宋体" w:cs="宋体"/>
          <w:sz w:val="24"/>
          <w:szCs w:val="24"/>
          <w:highlight w:val="non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064692FE">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2088672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hint="eastAsia" w:ascii="宋体" w:hAnsi="宋体" w:cs="宋体"/>
          <w:b/>
          <w:bCs/>
          <w:sz w:val="24"/>
          <w:szCs w:val="24"/>
          <w:highlight w:val="none"/>
        </w:rPr>
      </w:pPr>
      <w:r>
        <w:rPr>
          <w:rFonts w:hint="eastAsia" w:ascii="宋体" w:hAnsi="宋体" w:cs="宋体"/>
          <w:b/>
          <w:bCs/>
          <w:sz w:val="24"/>
          <w:szCs w:val="24"/>
          <w:highlight w:val="none"/>
        </w:rPr>
        <w:t>日期：</w:t>
      </w:r>
    </w:p>
    <w:p w14:paraId="2318747A">
      <w:pPr>
        <w:tabs>
          <w:tab w:val="left" w:pos="630"/>
        </w:tabs>
        <w:spacing w:line="520" w:lineRule="exac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附件：</w:t>
      </w:r>
      <w:r>
        <w:rPr>
          <w:rFonts w:hint="eastAsia" w:ascii="宋体" w:hAnsi="宋体" w:cs="宋体"/>
          <w:b/>
          <w:bCs/>
          <w:sz w:val="24"/>
          <w:szCs w:val="24"/>
          <w:highlight w:val="none"/>
        </w:rPr>
        <w:t>法定代表人</w:t>
      </w:r>
      <w:r>
        <w:rPr>
          <w:rFonts w:hint="eastAsia" w:ascii="宋体" w:hAnsi="宋体" w:cs="宋体"/>
          <w:b/>
          <w:bCs/>
          <w:sz w:val="24"/>
          <w:szCs w:val="24"/>
          <w:highlight w:val="none"/>
          <w:lang w:val="en-US" w:eastAsia="zh-CN"/>
        </w:rPr>
        <w:t>及</w:t>
      </w: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身份证复印件</w:t>
      </w:r>
    </w:p>
    <w:p w14:paraId="5DC574AA">
      <w:pPr>
        <w:spacing w:before="0" w:after="0" w:line="560" w:lineRule="exact"/>
        <w:outlineLvl w:val="9"/>
        <w:rPr>
          <w:rFonts w:ascii="宋体" w:hAnsi="宋体" w:eastAsia="宋体" w:cs="宋体"/>
          <w:sz w:val="24"/>
          <w:szCs w:val="24"/>
          <w:highlight w:val="none"/>
        </w:rPr>
      </w:pPr>
      <w:bookmarkStart w:id="130" w:name="_Toc23589"/>
      <w:bookmarkStart w:id="131" w:name="_Toc17226"/>
      <w:r>
        <w:rPr>
          <w:rFonts w:hint="eastAsia" w:ascii="宋体" w:hAnsi="宋体" w:eastAsia="宋体" w:cs="宋体"/>
          <w:sz w:val="24"/>
          <w:szCs w:val="24"/>
          <w:highlight w:val="none"/>
        </w:rPr>
        <w:br w:type="page"/>
      </w:r>
      <w:bookmarkStart w:id="132" w:name="_Toc17888"/>
      <w:r>
        <w:rPr>
          <w:rFonts w:hint="eastAsia" w:ascii="宋体" w:hAnsi="宋体" w:eastAsia="宋体" w:cs="宋体"/>
          <w:sz w:val="24"/>
          <w:szCs w:val="24"/>
          <w:highlight w:val="none"/>
        </w:rPr>
        <w:t>附件四</w:t>
      </w:r>
      <w:bookmarkEnd w:id="130"/>
      <w:bookmarkEnd w:id="131"/>
      <w:bookmarkEnd w:id="132"/>
    </w:p>
    <w:p w14:paraId="01A6441A">
      <w:pPr>
        <w:pStyle w:val="3"/>
        <w:spacing w:before="0" w:after="156" w:afterLines="50" w:line="560" w:lineRule="exact"/>
        <w:jc w:val="center"/>
        <w:rPr>
          <w:rFonts w:ascii="宋体" w:hAnsi="宋体" w:eastAsia="宋体" w:cs="宋体"/>
          <w:sz w:val="24"/>
          <w:szCs w:val="24"/>
          <w:highlight w:val="none"/>
        </w:rPr>
      </w:pPr>
      <w:bookmarkStart w:id="133" w:name="_Toc6278"/>
      <w:bookmarkStart w:id="134" w:name="_Toc28665"/>
      <w:bookmarkStart w:id="135" w:name="_Toc29263"/>
      <w:bookmarkStart w:id="136" w:name="_Toc417045478"/>
      <w:r>
        <w:rPr>
          <w:rFonts w:hint="eastAsia" w:ascii="宋体" w:hAnsi="宋体" w:eastAsia="宋体" w:cs="宋体"/>
          <w:sz w:val="24"/>
          <w:szCs w:val="24"/>
          <w:highlight w:val="none"/>
        </w:rPr>
        <w:t>磋商响应函</w:t>
      </w:r>
      <w:bookmarkEnd w:id="133"/>
      <w:bookmarkEnd w:id="134"/>
      <w:bookmarkEnd w:id="135"/>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37" w:name="_Toc30354"/>
      <w:bookmarkStart w:id="138" w:name="_Toc16627"/>
      <w:bookmarkStart w:id="139" w:name="_Toc21593"/>
      <w:r>
        <w:rPr>
          <w:rFonts w:hint="eastAsia" w:ascii="宋体" w:hAnsi="宋体" w:eastAsia="宋体" w:cs="宋体"/>
          <w:b/>
          <w:bCs/>
          <w:sz w:val="24"/>
          <w:szCs w:val="24"/>
          <w:highlight w:val="none"/>
        </w:rPr>
        <w:t>附件</w:t>
      </w:r>
      <w:bookmarkEnd w:id="136"/>
      <w:r>
        <w:rPr>
          <w:rFonts w:hint="eastAsia" w:ascii="宋体" w:hAnsi="宋体" w:eastAsia="宋体" w:cs="宋体"/>
          <w:b/>
          <w:bCs/>
          <w:sz w:val="24"/>
          <w:szCs w:val="24"/>
          <w:highlight w:val="none"/>
        </w:rPr>
        <w:t>五</w:t>
      </w:r>
      <w:bookmarkEnd w:id="137"/>
      <w:bookmarkEnd w:id="138"/>
      <w:bookmarkEnd w:id="139"/>
    </w:p>
    <w:p w14:paraId="38255504">
      <w:pPr>
        <w:pStyle w:val="33"/>
        <w:ind w:firstLine="281"/>
        <w:rPr>
          <w:b/>
          <w:sz w:val="28"/>
          <w:szCs w:val="28"/>
          <w:highlight w:val="none"/>
        </w:rPr>
      </w:pPr>
      <w:bookmarkStart w:id="140" w:name="_Toc26949"/>
      <w:bookmarkStart w:id="141" w:name="_Toc10256"/>
      <w:bookmarkStart w:id="142" w:name="_Toc26881"/>
    </w:p>
    <w:p w14:paraId="6A46F008">
      <w:pPr>
        <w:pStyle w:val="33"/>
        <w:ind w:firstLine="2891" w:firstLineChars="1200"/>
        <w:outlineLvl w:val="1"/>
        <w:rPr>
          <w:rFonts w:ascii="宋体" w:hAnsi="宋体" w:cs="宋体"/>
          <w:b/>
          <w:szCs w:val="24"/>
          <w:highlight w:val="none"/>
          <w:lang w:val="zh-CN"/>
        </w:rPr>
      </w:pPr>
      <w:bookmarkStart w:id="143" w:name="_Hlk77793942"/>
      <w:r>
        <w:rPr>
          <w:rFonts w:hint="eastAsia" w:ascii="宋体" w:hAnsi="宋体" w:cs="宋体"/>
          <w:b/>
          <w:szCs w:val="24"/>
          <w:highlight w:val="none"/>
          <w:lang w:val="zh-CN"/>
        </w:rPr>
        <w:t>无重大违法记录声明函</w:t>
      </w:r>
    </w:p>
    <w:p w14:paraId="7D63D753">
      <w:pPr>
        <w:pStyle w:val="33"/>
        <w:ind w:firstLine="480" w:firstLineChars="200"/>
        <w:rPr>
          <w:rFonts w:ascii="宋体" w:hAnsi="宋体"/>
          <w:szCs w:val="24"/>
          <w:highlight w:val="none"/>
        </w:rPr>
      </w:pPr>
      <w:bookmarkStart w:id="144"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44"/>
    <w:p w14:paraId="352424BB">
      <w:pPr>
        <w:pStyle w:val="33"/>
        <w:ind w:firstLine="210"/>
        <w:rPr>
          <w:highlight w:val="none"/>
        </w:rPr>
      </w:pPr>
    </w:p>
    <w:p w14:paraId="760C0F6B">
      <w:pPr>
        <w:pStyle w:val="33"/>
        <w:ind w:firstLine="210"/>
        <w:rPr>
          <w:highlight w:val="none"/>
        </w:rPr>
      </w:pPr>
    </w:p>
    <w:p w14:paraId="7BA7DB68">
      <w:pPr>
        <w:tabs>
          <w:tab w:val="left" w:pos="630"/>
        </w:tabs>
        <w:spacing w:after="156" w:afterLines="50" w:line="360" w:lineRule="auto"/>
        <w:ind w:firstLine="3188" w:firstLineChars="1323"/>
        <w:outlineLvl w:val="1"/>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45"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资格或者不授予合同，所有责任由我公司自行承担。同时，我公司愿意无条件接受监管部门的调查处理。</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40"/>
      <w:bookmarkEnd w:id="141"/>
      <w:bookmarkEnd w:id="142"/>
      <w:bookmarkEnd w:id="143"/>
      <w:bookmarkEnd w:id="145"/>
      <w:bookmarkStart w:id="146" w:name="_Toc363199274"/>
      <w:r>
        <w:rPr>
          <w:rFonts w:hint="eastAsia" w:ascii="宋体" w:hAnsi="宋体" w:cs="宋体"/>
          <w:sz w:val="24"/>
          <w:szCs w:val="24"/>
          <w:highlight w:val="none"/>
        </w:rPr>
        <w:br w:type="page"/>
      </w:r>
      <w:bookmarkStart w:id="147" w:name="_Toc20743"/>
      <w:bookmarkStart w:id="148" w:name="_Toc17797"/>
      <w:bookmarkStart w:id="149" w:name="_Toc18709"/>
      <w:r>
        <w:rPr>
          <w:rFonts w:hint="eastAsia" w:ascii="宋体" w:hAnsi="宋体" w:cs="宋体"/>
          <w:b/>
          <w:bCs/>
          <w:sz w:val="24"/>
          <w:szCs w:val="24"/>
          <w:highlight w:val="none"/>
        </w:rPr>
        <w:t>附件</w:t>
      </w:r>
      <w:bookmarkEnd w:id="146"/>
      <w:r>
        <w:rPr>
          <w:rFonts w:hint="eastAsia" w:ascii="宋体" w:hAnsi="宋体" w:cs="宋体"/>
          <w:b/>
          <w:bCs/>
          <w:sz w:val="24"/>
          <w:szCs w:val="24"/>
          <w:highlight w:val="none"/>
        </w:rPr>
        <w:t>六</w:t>
      </w:r>
      <w:bookmarkEnd w:id="147"/>
      <w:bookmarkEnd w:id="148"/>
      <w:bookmarkEnd w:id="149"/>
    </w:p>
    <w:p w14:paraId="7D8E33E4">
      <w:pPr>
        <w:pStyle w:val="3"/>
        <w:spacing w:before="0" w:after="0" w:line="560" w:lineRule="exact"/>
        <w:jc w:val="center"/>
        <w:rPr>
          <w:rFonts w:ascii="宋体" w:hAnsi="宋体" w:eastAsia="宋体" w:cs="宋体"/>
          <w:sz w:val="24"/>
          <w:szCs w:val="24"/>
          <w:highlight w:val="none"/>
          <w:lang w:val="zh-CN"/>
        </w:rPr>
      </w:pPr>
      <w:bookmarkStart w:id="150" w:name="_Toc18402"/>
      <w:bookmarkStart w:id="151" w:name="_Toc30075"/>
      <w:bookmarkStart w:id="152" w:name="_Toc25238"/>
      <w:r>
        <w:rPr>
          <w:rFonts w:hint="eastAsia" w:ascii="宋体" w:hAnsi="宋体" w:eastAsia="宋体" w:cs="宋体"/>
          <w:sz w:val="24"/>
          <w:szCs w:val="24"/>
          <w:highlight w:val="none"/>
          <w:lang w:val="zh-CN"/>
        </w:rPr>
        <w:t>响应情况表</w:t>
      </w:r>
      <w:bookmarkEnd w:id="150"/>
      <w:bookmarkEnd w:id="151"/>
      <w:bookmarkEnd w:id="152"/>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53"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54" w:name="_Toc22037"/>
      <w:bookmarkStart w:id="155" w:name="_Toc29422"/>
      <w:r>
        <w:rPr>
          <w:rStyle w:val="95"/>
          <w:rFonts w:hint="eastAsia" w:ascii="宋体" w:hAnsi="宋体" w:eastAsia="宋体" w:cs="宋体"/>
          <w:b/>
          <w:bCs/>
          <w:sz w:val="24"/>
          <w:szCs w:val="24"/>
          <w:highlight w:val="none"/>
        </w:rPr>
        <w:t>附件</w:t>
      </w:r>
      <w:bookmarkEnd w:id="153"/>
      <w:r>
        <w:rPr>
          <w:rStyle w:val="95"/>
          <w:rFonts w:hint="eastAsia" w:ascii="宋体" w:hAnsi="宋体" w:eastAsia="宋体" w:cs="宋体"/>
          <w:b/>
          <w:bCs/>
          <w:sz w:val="24"/>
          <w:szCs w:val="24"/>
          <w:highlight w:val="none"/>
        </w:rPr>
        <w:t>七</w:t>
      </w:r>
      <w:bookmarkEnd w:id="154"/>
      <w:bookmarkEnd w:id="155"/>
    </w:p>
    <w:p w14:paraId="4F7498EA">
      <w:pPr>
        <w:pStyle w:val="3"/>
        <w:spacing w:before="0" w:after="0" w:line="560" w:lineRule="exact"/>
        <w:jc w:val="center"/>
        <w:rPr>
          <w:rFonts w:ascii="宋体" w:hAnsi="宋体" w:eastAsia="宋体" w:cs="宋体"/>
          <w:sz w:val="24"/>
          <w:szCs w:val="24"/>
          <w:highlight w:val="none"/>
        </w:rPr>
      </w:pPr>
      <w:bookmarkStart w:id="156" w:name="_Toc30527"/>
      <w:bookmarkStart w:id="157" w:name="_Toc18625"/>
      <w:bookmarkStart w:id="158" w:name="_Toc1624"/>
      <w:r>
        <w:rPr>
          <w:rFonts w:hint="eastAsia" w:ascii="宋体" w:hAnsi="宋体" w:eastAsia="宋体" w:cs="宋体"/>
          <w:sz w:val="24"/>
          <w:szCs w:val="24"/>
          <w:highlight w:val="none"/>
        </w:rPr>
        <w:t>相关服务承诺函</w:t>
      </w:r>
      <w:bookmarkEnd w:id="156"/>
      <w:bookmarkEnd w:id="157"/>
      <w:bookmarkEnd w:id="158"/>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spacing w:before="120" w:after="120"/>
        <w:outlineLvl w:val="9"/>
        <w:rPr>
          <w:rFonts w:ascii="宋体" w:hAnsi="宋体" w:eastAsia="宋体" w:cs="宋体"/>
          <w:sz w:val="24"/>
          <w:szCs w:val="24"/>
          <w:highlight w:val="none"/>
        </w:rPr>
      </w:pPr>
      <w:bookmarkStart w:id="159" w:name="_Toc3177"/>
      <w:r>
        <w:rPr>
          <w:rFonts w:hint="eastAsia" w:ascii="宋体" w:hAnsi="宋体" w:eastAsia="宋体" w:cs="宋体"/>
          <w:sz w:val="24"/>
          <w:szCs w:val="24"/>
          <w:highlight w:val="none"/>
        </w:rPr>
        <w:br w:type="page"/>
      </w:r>
      <w:bookmarkStart w:id="160" w:name="_Toc13577"/>
      <w:bookmarkStart w:id="161" w:name="_Toc2879"/>
      <w:bookmarkStart w:id="162" w:name="_Toc3796"/>
      <w:r>
        <w:rPr>
          <w:rFonts w:hint="eastAsia" w:ascii="宋体" w:hAnsi="宋体" w:eastAsia="宋体" w:cs="宋体"/>
          <w:b/>
          <w:bCs/>
          <w:sz w:val="24"/>
          <w:szCs w:val="24"/>
          <w:highlight w:val="none"/>
        </w:rPr>
        <w:t>附件八</w:t>
      </w:r>
      <w:bookmarkEnd w:id="160"/>
      <w:bookmarkEnd w:id="161"/>
      <w:bookmarkEnd w:id="162"/>
    </w:p>
    <w:bookmarkEnd w:id="159"/>
    <w:p w14:paraId="42FCDE96">
      <w:pPr>
        <w:pStyle w:val="3"/>
        <w:spacing w:before="0" w:after="0" w:line="560" w:lineRule="exact"/>
        <w:jc w:val="center"/>
        <w:rPr>
          <w:rFonts w:ascii="宋体" w:hAnsi="宋体" w:eastAsia="宋体" w:cs="宋体"/>
          <w:sz w:val="24"/>
          <w:szCs w:val="24"/>
          <w:highlight w:val="none"/>
        </w:rPr>
      </w:pPr>
      <w:bookmarkStart w:id="163" w:name="_Toc20094"/>
      <w:bookmarkStart w:id="164" w:name="_Toc5794"/>
      <w:bookmarkStart w:id="165" w:name="_Toc23763"/>
      <w:bookmarkStart w:id="166" w:name="_Toc28327"/>
      <w:r>
        <w:rPr>
          <w:rFonts w:hint="eastAsia" w:ascii="宋体" w:hAnsi="宋体" w:eastAsia="宋体" w:cs="宋体"/>
          <w:sz w:val="24"/>
          <w:szCs w:val="24"/>
          <w:highlight w:val="none"/>
        </w:rPr>
        <w:t>联合体协议</w:t>
      </w:r>
      <w:bookmarkEnd w:id="163"/>
      <w:bookmarkEnd w:id="164"/>
      <w:bookmarkEnd w:id="165"/>
      <w:bookmarkEnd w:id="166"/>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outlineLvl w:val="9"/>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9"/>
        <w:rPr>
          <w:rStyle w:val="95"/>
          <w:rFonts w:hint="eastAsia" w:ascii="宋体" w:hAnsi="宋体" w:eastAsia="宋体" w:cs="宋体"/>
          <w:sz w:val="24"/>
          <w:szCs w:val="24"/>
          <w:highlight w:val="none"/>
          <w:lang w:val="en-US" w:eastAsia="zh-CN"/>
        </w:rPr>
      </w:pPr>
      <w:bookmarkStart w:id="167" w:name="_Toc3162"/>
      <w:bookmarkStart w:id="168" w:name="_Toc2238"/>
      <w:bookmarkStart w:id="169" w:name="_Toc7571"/>
      <w:r>
        <w:rPr>
          <w:rStyle w:val="95"/>
          <w:rFonts w:hint="eastAsia" w:ascii="宋体" w:hAnsi="宋体" w:eastAsia="宋体" w:cs="宋体"/>
          <w:sz w:val="24"/>
          <w:szCs w:val="24"/>
          <w:highlight w:val="none"/>
        </w:rPr>
        <w:t>附件</w:t>
      </w:r>
      <w:bookmarkEnd w:id="167"/>
      <w:bookmarkEnd w:id="168"/>
      <w:r>
        <w:rPr>
          <w:rStyle w:val="95"/>
          <w:rFonts w:hint="eastAsia" w:ascii="宋体" w:hAnsi="宋体" w:cs="宋体"/>
          <w:sz w:val="24"/>
          <w:szCs w:val="24"/>
          <w:highlight w:val="none"/>
          <w:lang w:val="en-US" w:eastAsia="zh-CN"/>
        </w:rPr>
        <w:t>九</w:t>
      </w:r>
    </w:p>
    <w:bookmarkEnd w:id="169"/>
    <w:p w14:paraId="78B61DEB">
      <w:pPr>
        <w:spacing w:line="360" w:lineRule="auto"/>
        <w:rPr>
          <w:rFonts w:ascii="宋体" w:hAnsi="宋体" w:cs="宋体"/>
          <w:bCs/>
          <w:sz w:val="24"/>
          <w:szCs w:val="24"/>
          <w:highlight w:val="none"/>
        </w:rPr>
      </w:pPr>
      <w:bookmarkStart w:id="170" w:name="_Toc28850"/>
    </w:p>
    <w:p w14:paraId="513421A7">
      <w:pPr>
        <w:spacing w:line="360" w:lineRule="auto"/>
        <w:jc w:val="center"/>
        <w:outlineLvl w:val="1"/>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70"/>
    </w:p>
    <w:p w14:paraId="0DDE71BB">
      <w:pPr>
        <w:jc w:val="center"/>
        <w:outlineLvl w:val="9"/>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br w:type="page"/>
      </w:r>
    </w:p>
    <w:p w14:paraId="6F287BF5">
      <w:pPr>
        <w:adjustRightInd w:val="0"/>
        <w:snapToGrid w:val="0"/>
        <w:spacing w:line="32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最终磋商报价书</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E7061D7">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B3FD8DE">
            <w:pPr>
              <w:spacing w:line="360" w:lineRule="exact"/>
              <w:jc w:val="center"/>
              <w:rPr>
                <w:rFonts w:hint="eastAsia" w:ascii="宋体" w:hAnsi="宋体"/>
                <w:bCs/>
                <w:color w:val="auto"/>
                <w:sz w:val="24"/>
                <w:szCs w:val="24"/>
                <w:highlight w:val="none"/>
                <w:u w:val="single"/>
              </w:rPr>
            </w:pPr>
          </w:p>
        </w:tc>
      </w:tr>
      <w:tr w14:paraId="60DA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4CB84E21">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97322E4">
            <w:pPr>
              <w:jc w:val="center"/>
              <w:rPr>
                <w:rFonts w:hint="eastAsia" w:ascii="宋体" w:hAnsi="宋体"/>
                <w:bCs/>
                <w:color w:val="auto"/>
                <w:sz w:val="24"/>
                <w:szCs w:val="24"/>
                <w:highlight w:val="none"/>
              </w:rPr>
            </w:pPr>
          </w:p>
        </w:tc>
      </w:tr>
      <w:tr w14:paraId="441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B9DE3B2">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供应商全称</w:t>
            </w:r>
          </w:p>
        </w:tc>
        <w:tc>
          <w:tcPr>
            <w:tcW w:w="6667" w:type="dxa"/>
            <w:tcBorders>
              <w:top w:val="nil"/>
            </w:tcBorders>
            <w:noWrap w:val="0"/>
            <w:vAlign w:val="center"/>
          </w:tcPr>
          <w:p w14:paraId="675AAE64">
            <w:pPr>
              <w:spacing w:line="360" w:lineRule="auto"/>
              <w:rPr>
                <w:rFonts w:hint="eastAsia" w:ascii="宋体" w:hAnsi="宋体"/>
                <w:bCs/>
                <w:color w:val="auto"/>
                <w:sz w:val="24"/>
                <w:szCs w:val="24"/>
                <w:highlight w:val="none"/>
              </w:rPr>
            </w:pPr>
          </w:p>
        </w:tc>
      </w:tr>
      <w:tr w14:paraId="69E3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A36E95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范围</w:t>
            </w:r>
          </w:p>
        </w:tc>
        <w:tc>
          <w:tcPr>
            <w:tcW w:w="6667" w:type="dxa"/>
            <w:tcBorders>
              <w:top w:val="nil"/>
            </w:tcBorders>
            <w:noWrap w:val="0"/>
            <w:vAlign w:val="center"/>
          </w:tcPr>
          <w:p w14:paraId="2CBBA4A2">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53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jc w:val="center"/>
        </w:trPr>
        <w:tc>
          <w:tcPr>
            <w:tcW w:w="2471" w:type="dxa"/>
            <w:tcBorders>
              <w:top w:val="nil"/>
            </w:tcBorders>
            <w:noWrap w:val="0"/>
            <w:vAlign w:val="center"/>
          </w:tcPr>
          <w:p w14:paraId="4027139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报价</w:t>
            </w:r>
          </w:p>
          <w:p w14:paraId="20703B43">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7E8E0E1D">
            <w:pPr>
              <w:spacing w:line="360" w:lineRule="auto"/>
              <w:ind w:right="-670"/>
              <w:rPr>
                <w:rFonts w:hint="eastAsia" w:ascii="宋体" w:hAnsi="宋体"/>
                <w:bCs/>
                <w:color w:val="auto"/>
                <w:sz w:val="24"/>
                <w:szCs w:val="24"/>
                <w:highlight w:val="none"/>
                <w:u w:val="single"/>
              </w:rPr>
            </w:pPr>
            <w:r>
              <w:rPr>
                <w:rFonts w:hint="eastAsia" w:ascii="宋体" w:hAnsi="宋体"/>
                <w:bCs/>
                <w:color w:val="auto"/>
                <w:sz w:val="24"/>
                <w:szCs w:val="24"/>
                <w:highlight w:val="none"/>
              </w:rPr>
              <w:t>大写：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元</w:t>
            </w:r>
            <w:r>
              <w:rPr>
                <w:rFonts w:hint="eastAsia" w:ascii="宋体" w:hAnsi="宋体"/>
                <w:bCs/>
                <w:color w:val="auto"/>
                <w:sz w:val="24"/>
                <w:szCs w:val="24"/>
                <w:highlight w:val="none"/>
                <w:u w:val="single"/>
              </w:rPr>
              <w:t xml:space="preserve"> </w:t>
            </w:r>
          </w:p>
          <w:p w14:paraId="14CB0B11">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eastAsia="zh-CN"/>
              </w:rPr>
              <w:t>小写：</w:t>
            </w:r>
            <w:r>
              <w:rPr>
                <w:rFonts w:hint="eastAsia" w:ascii="宋体" w:hAnsi="宋体"/>
                <w:bCs/>
                <w:color w:val="auto"/>
                <w:sz w:val="24"/>
                <w:szCs w:val="24"/>
                <w:highlight w:val="none"/>
                <w:u w:val="single"/>
                <w:lang w:val="en-US" w:eastAsia="zh-CN"/>
              </w:rPr>
              <w:t xml:space="preserve">                    元 </w:t>
            </w:r>
          </w:p>
        </w:tc>
      </w:tr>
      <w:tr w14:paraId="2D5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A2A20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69938989">
            <w:pPr>
              <w:spacing w:line="360" w:lineRule="auto"/>
              <w:jc w:val="left"/>
              <w:rPr>
                <w:rFonts w:hint="eastAsia" w:ascii="宋体" w:hAnsi="宋体"/>
                <w:bCs/>
                <w:color w:val="auto"/>
                <w:sz w:val="24"/>
                <w:szCs w:val="24"/>
                <w:highlight w:val="none"/>
              </w:rPr>
            </w:pPr>
          </w:p>
        </w:tc>
      </w:tr>
    </w:tbl>
    <w:p w14:paraId="39B74557">
      <w:pPr>
        <w:adjustRightInd w:val="0"/>
        <w:snapToGrid w:val="0"/>
        <w:spacing w:line="320" w:lineRule="auto"/>
        <w:rPr>
          <w:rFonts w:hint="eastAsia" w:ascii="宋体" w:hAnsi="宋体" w:cs="宋体"/>
          <w:color w:val="auto"/>
          <w:szCs w:val="21"/>
          <w:highlight w:val="none"/>
        </w:rPr>
      </w:pPr>
    </w:p>
    <w:p w14:paraId="7C2EBD96">
      <w:pPr>
        <w:pStyle w:val="28"/>
        <w:adjustRightInd w:val="0"/>
        <w:snapToGrid w:val="0"/>
        <w:spacing w:line="320" w:lineRule="auto"/>
        <w:rPr>
          <w:rFonts w:hint="eastAsia" w:ascii="宋体" w:hAnsi="宋体" w:eastAsia="宋体" w:cs="宋体"/>
          <w:b w:val="0"/>
          <w:color w:val="auto"/>
          <w:sz w:val="21"/>
          <w:szCs w:val="21"/>
          <w:highlight w:val="none"/>
        </w:rPr>
      </w:pPr>
    </w:p>
    <w:p w14:paraId="1C268C37">
      <w:pPr>
        <w:pStyle w:val="28"/>
        <w:adjustRightInd w:val="0"/>
        <w:snapToGrid w:val="0"/>
        <w:spacing w:line="320" w:lineRule="auto"/>
        <w:rPr>
          <w:rFonts w:hint="eastAsia" w:ascii="宋体" w:hAnsi="宋体" w:eastAsia="宋体" w:cs="宋体"/>
          <w:b w:val="0"/>
          <w:color w:val="auto"/>
          <w:sz w:val="21"/>
          <w:szCs w:val="21"/>
          <w:highlight w:val="none"/>
          <w:u w:val="single"/>
        </w:rPr>
      </w:pPr>
      <w:r>
        <w:rPr>
          <w:rFonts w:hint="eastAsia" w:ascii="宋体" w:hAnsi="宋体" w:eastAsia="宋体" w:cs="宋体"/>
          <w:b w:val="0"/>
          <w:color w:val="auto"/>
          <w:sz w:val="21"/>
          <w:szCs w:val="21"/>
          <w:highlight w:val="none"/>
        </w:rPr>
        <w:t>供应商公章或授权代表签字：</w:t>
      </w:r>
    </w:p>
    <w:p w14:paraId="19D7860E">
      <w:pPr>
        <w:spacing w:line="440" w:lineRule="exact"/>
        <w:rPr>
          <w:rFonts w:hint="eastAsia" w:ascii="宋体" w:hAnsi="宋体" w:cs="宋体"/>
          <w:color w:val="auto"/>
          <w:szCs w:val="21"/>
          <w:highlight w:val="none"/>
        </w:rPr>
      </w:pPr>
    </w:p>
    <w:p w14:paraId="13CEF86B">
      <w:pPr>
        <w:widowControl/>
        <w:adjustRightInd w:val="0"/>
        <w:snapToGrid w:val="0"/>
        <w:spacing w:line="32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2A110AE4">
      <w:pPr>
        <w:widowControl/>
        <w:adjustRightInd w:val="0"/>
        <w:snapToGrid w:val="0"/>
        <w:spacing w:line="320" w:lineRule="auto"/>
        <w:ind w:firstLine="315" w:firstLineChars="150"/>
        <w:jc w:val="left"/>
        <w:rPr>
          <w:rFonts w:hint="eastAsia" w:ascii="宋体" w:hAnsi="宋体" w:eastAsia="宋体" w:cs="宋体"/>
          <w:b w:val="0"/>
          <w:bCs/>
          <w:color w:val="auto"/>
          <w:sz w:val="21"/>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zh-CN"/>
        </w:rPr>
        <w:t>磋商报价为供应商在竞争性磋商文件中提出的各项支付金额的总和。包括本次磋商全部内容及人员工资、材料费、工具费、税费等所发生的所有费用</w:t>
      </w:r>
      <w:r>
        <w:rPr>
          <w:rFonts w:hint="eastAsia" w:ascii="宋体" w:hAnsi="宋体" w:cs="宋体"/>
          <w:color w:val="auto"/>
          <w:szCs w:val="21"/>
          <w:highlight w:val="none"/>
        </w:rPr>
        <w:t>等。</w:t>
      </w:r>
    </w:p>
    <w:p w14:paraId="4D18B39D">
      <w:pPr>
        <w:widowControl/>
        <w:adjustRightInd w:val="0"/>
        <w:snapToGrid w:val="0"/>
        <w:spacing w:line="320" w:lineRule="auto"/>
        <w:ind w:firstLine="315" w:firstLineChars="1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2、本《最终磋商报价书》中如存在大写金额与小写金额不一致的，供应商须以大写金额为准进行修正；总价金额与依据单价计算出的结果不一致的，须以单价金额为准进行修正，除单价金额小数点有明显错误。</w:t>
      </w:r>
    </w:p>
    <w:p w14:paraId="7F23875E">
      <w:pPr>
        <w:widowControl/>
        <w:adjustRightInd w:val="0"/>
        <w:snapToGrid w:val="0"/>
        <w:spacing w:line="320" w:lineRule="auto"/>
        <w:ind w:firstLine="315" w:firstLineChars="15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3、最终成交单价价格将按照成交人最终报价的金额按照报价下浮比例同比计算清单单价。</w:t>
      </w:r>
    </w:p>
    <w:p w14:paraId="58894853">
      <w:pPr>
        <w:jc w:val="center"/>
        <w:outlineLvl w:val="9"/>
        <w:rPr>
          <w:rFonts w:hint="eastAsia" w:ascii="宋体" w:hAnsi="宋体" w:cs="宋体"/>
          <w:bCs/>
          <w:sz w:val="24"/>
          <w:szCs w:val="24"/>
          <w:highlight w:val="none"/>
          <w:lang w:eastAsia="zh-CN"/>
        </w:rPr>
      </w:pPr>
    </w:p>
    <w:sectPr>
      <w:footerReference r:id="rId6" w:type="default"/>
      <w:pgSz w:w="11906" w:h="16838"/>
      <w:pgMar w:top="1440" w:right="1531" w:bottom="1440"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0F878">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F4353">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4F4353">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keepNext w:val="0"/>
      <w:keepLines w:val="0"/>
      <w:pageBreakBefore w:val="0"/>
      <w:widowControl w:val="0"/>
      <w:pBdr>
        <w:bottom w:val="single" w:color="auto" w:sz="6" w:space="0"/>
      </w:pBdr>
      <w:tabs>
        <w:tab w:val="left" w:pos="8460"/>
        <w:tab w:val="left" w:pos="9180"/>
        <w:tab w:val="clear" w:pos="4153"/>
        <w:tab w:val="clear" w:pos="8306"/>
      </w:tabs>
      <w:kinsoku/>
      <w:wordWrap/>
      <w:overflowPunct/>
      <w:topLinePunct w:val="0"/>
      <w:bidi w:val="0"/>
      <w:adjustRightInd/>
      <w:snapToGrid w:val="0"/>
      <w:ind w:right="0"/>
      <w:textAlignment w:val="auto"/>
    </w:pPr>
    <w:r>
      <w:rPr>
        <w:rFonts w:hint="eastAsia"/>
        <w:lang w:eastAsia="zh-CN"/>
      </w:rPr>
      <w:t>霍山县新城小学食堂劳务派遣项目</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33C99"/>
    <w:rsid w:val="05045387"/>
    <w:rsid w:val="05104E6D"/>
    <w:rsid w:val="05ED76CD"/>
    <w:rsid w:val="06262FF6"/>
    <w:rsid w:val="06496ED9"/>
    <w:rsid w:val="07267565"/>
    <w:rsid w:val="078C18B4"/>
    <w:rsid w:val="07A20F5E"/>
    <w:rsid w:val="080B49C0"/>
    <w:rsid w:val="08531B86"/>
    <w:rsid w:val="0861256E"/>
    <w:rsid w:val="09013345"/>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6E31A9A"/>
    <w:rsid w:val="17162FF6"/>
    <w:rsid w:val="173850A7"/>
    <w:rsid w:val="174C0AC9"/>
    <w:rsid w:val="175A753C"/>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21928B8"/>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43D9D"/>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AA57E79"/>
    <w:rsid w:val="5B0CF2D3"/>
    <w:rsid w:val="5B7B30F8"/>
    <w:rsid w:val="5BBC1D09"/>
    <w:rsid w:val="5BEC2BF6"/>
    <w:rsid w:val="5C34380B"/>
    <w:rsid w:val="5CBB6877"/>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8E73E96"/>
    <w:rsid w:val="692D45F0"/>
    <w:rsid w:val="697D619C"/>
    <w:rsid w:val="69992F6F"/>
    <w:rsid w:val="69EE3D79"/>
    <w:rsid w:val="6A0E091D"/>
    <w:rsid w:val="6A5F2208"/>
    <w:rsid w:val="6ABA50AD"/>
    <w:rsid w:val="6B58725B"/>
    <w:rsid w:val="6BA94127"/>
    <w:rsid w:val="6BFE46EA"/>
    <w:rsid w:val="6C7F53F2"/>
    <w:rsid w:val="6C8B20CC"/>
    <w:rsid w:val="6C95A85E"/>
    <w:rsid w:val="6D176247"/>
    <w:rsid w:val="6D9F5635"/>
    <w:rsid w:val="6F053873"/>
    <w:rsid w:val="6F1ECFF8"/>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rPr>
      <w:rFonts w:ascii="仿宋_GB2312" w:eastAsia="仿宋_GB2312"/>
      <w:b/>
      <w:sz w:val="24"/>
    </w:r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67"/>
    <w:semiHidden/>
    <w:qFormat/>
    <w:uiPriority w:val="99"/>
    <w:rPr>
      <w:b/>
      <w:bCs/>
    </w:rPr>
  </w:style>
  <w:style w:type="paragraph" w:styleId="33">
    <w:name w:val="Body Text First Indent"/>
    <w:basedOn w:val="10"/>
    <w:unhideWhenUsed/>
    <w:qFormat/>
    <w:uiPriority w:val="99"/>
    <w:pPr>
      <w:spacing w:line="400" w:lineRule="atLeast"/>
      <w:ind w:firstLine="426"/>
    </w:pPr>
    <w:rPr>
      <w:sz w:val="24"/>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2"/>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98">
    <w:name w:val="WPSOffice手动目录 1"/>
    <w:qFormat/>
    <w:uiPriority w:val="0"/>
    <w:pPr>
      <w:ind w:leftChars="0"/>
    </w:pPr>
    <w:rPr>
      <w:rFonts w:ascii="Times New Roman" w:hAnsi="Times New Roman" w:eastAsia="宋体" w:cs="Times New Roman"/>
      <w:sz w:val="20"/>
      <w:szCs w:val="20"/>
    </w:rPr>
  </w:style>
  <w:style w:type="paragraph" w:customStyle="1" w:styleId="99">
    <w:name w:val="模板普通正文"/>
    <w:basedOn w:val="11"/>
    <w:autoRedefine/>
    <w:qFormat/>
    <w:uiPriority w:val="0"/>
    <w:pPr>
      <w:spacing w:beforeLines="50" w:after="10"/>
      <w:ind w:left="0" w:leftChars="0" w:firstLine="490" w:firstLineChars="175"/>
      <w:jc w:val="left"/>
    </w:pPr>
    <w:rPr>
      <w:sz w:val="20"/>
    </w:rPr>
  </w:style>
  <w:style w:type="character" w:customStyle="1" w:styleId="100">
    <w:name w:val="font01"/>
    <w:basedOn w:val="3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12766</Words>
  <Characters>13324</Characters>
  <Lines>177</Lines>
  <Paragraphs>49</Paragraphs>
  <TotalTime>14</TotalTime>
  <ScaleCrop>false</ScaleCrop>
  <LinksUpToDate>false</LinksUpToDate>
  <CharactersWithSpaces>14091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Administrator</cp:lastModifiedBy>
  <cp:lastPrinted>2024-08-30T07:13:49Z</cp:lastPrinted>
  <dcterms:modified xsi:type="dcterms:W3CDTF">2024-08-30T08:59:43Z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69D4A80C501F4C549175D824B5093EDE_13</vt:lpwstr>
  </property>
</Properties>
</file>