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0"/>
        <w:ind w:firstLine="0"/>
        <w:rPr>
          <w:highlight w:val="none"/>
        </w:rPr>
      </w:pPr>
    </w:p>
    <w:p w14:paraId="29985288">
      <w:pPr>
        <w:pStyle w:val="20"/>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w:t>
      </w:r>
      <w:r>
        <w:rPr>
          <w:rFonts w:hint="eastAsia" w:ascii="宋体" w:hAnsi="宋体"/>
          <w:b/>
          <w:bCs/>
          <w:sz w:val="52"/>
          <w:szCs w:val="52"/>
          <w:highlight w:val="none"/>
          <w:lang w:val="en-US" w:eastAsia="zh-CN"/>
        </w:rPr>
        <w:t>货物</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1"/>
        <w:jc w:val="center"/>
        <w:rPr>
          <w:rFonts w:hint="default" w:ascii="宋体" w:hAnsi="等线" w:eastAsia="宋体" w:cs="Times New Roman"/>
          <w:b/>
          <w:bCs/>
          <w:spacing w:val="20"/>
          <w:kern w:val="0"/>
          <w:sz w:val="32"/>
          <w:szCs w:val="32"/>
          <w:highlight w:val="none"/>
          <w:lang w:val="en-US" w:eastAsia="zh-CN"/>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霍山县生态环境分局水质监测监管能力建设项目执法装备采购项目</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bookmarkStart w:id="76" w:name="_GoBack"/>
      <w:r>
        <w:rPr>
          <w:rFonts w:hint="eastAsia" w:ascii="宋体" w:hAnsi="等线"/>
          <w:b/>
          <w:bCs/>
          <w:kern w:val="0"/>
          <w:sz w:val="32"/>
          <w:szCs w:val="32"/>
          <w:highlight w:val="none"/>
          <w:lang w:eastAsia="zh-CN"/>
        </w:rPr>
        <w:t>DBSCG-2025-</w:t>
      </w:r>
      <w:r>
        <w:rPr>
          <w:rFonts w:hint="eastAsia" w:ascii="宋体" w:hAnsi="等线"/>
          <w:b/>
          <w:bCs/>
          <w:kern w:val="0"/>
          <w:sz w:val="32"/>
          <w:szCs w:val="32"/>
          <w:highlight w:val="none"/>
          <w:lang w:val="en-US" w:eastAsia="zh-CN"/>
        </w:rPr>
        <w:t>104</w:t>
      </w:r>
      <w:bookmarkEnd w:id="76"/>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六安市霍山县生态环境分局</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9</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14:paraId="1E6C6A2F">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r>
        <w:rPr>
          <w:rFonts w:hint="eastAsia" w:ascii="宋体" w:hAnsi="宋体" w:cs="宋体"/>
          <w:color w:val="000000"/>
          <w:szCs w:val="21"/>
          <w:highlight w:val="none"/>
          <w:lang w:eastAsia="zh-CN"/>
        </w:rPr>
        <w:t>。</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3019243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highlight w:val="none"/>
          <w:lang w:val="en-US" w:eastAsia="zh-CN" w:bidi="ar-SA"/>
        </w:rPr>
        <w:id w:val="147481529"/>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5BEEC9C5">
          <w:pPr>
            <w:pStyle w:val="17"/>
            <w:tabs>
              <w:tab w:val="right" w:leader="dot" w:pos="9040"/>
            </w:tabs>
            <w:rPr>
              <w:rFonts w:hint="eastAsia" w:ascii="宋体" w:hAnsi="宋体" w:eastAsia="宋体" w:cs="宋体"/>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_Toc28820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_Toc28820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54B0BAAB">
          <w:pPr>
            <w:pStyle w:val="17"/>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_Toc22869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_Toc22869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071BB334">
          <w:pPr>
            <w:pStyle w:val="17"/>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_Toc11525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_Toc11525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9</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18D4CA31">
          <w:pPr>
            <w:pStyle w:val="17"/>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_Toc17811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_Toc17811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10</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450FE769">
          <w:pPr>
            <w:pStyle w:val="17"/>
            <w:tabs>
              <w:tab w:val="right" w:leader="dot" w:pos="9040"/>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_Toc18622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_Toc18622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24</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24F9F284">
          <w:pPr>
            <w:rPr>
              <w:highlight w:val="none"/>
            </w:rPr>
          </w:pPr>
          <w:r>
            <w:rPr>
              <w:highlight w:val="none"/>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1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六安市霍山县生态环境分局</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霍山县生态环境分局水质监测监管能力建设项目执法装备采购项目</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rPr>
        <w:t>，根据《安徽省政府集中采购目录及标准(2024年版)》的通知，本项目为采购人自行组织实施项目，现采用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w:t>
      </w:r>
      <w:r>
        <w:rPr>
          <w:rFonts w:hint="eastAsia" w:ascii="宋体" w:hAnsi="宋体" w:cs="宋体"/>
          <w:kern w:val="2"/>
          <w:sz w:val="21"/>
          <w:szCs w:val="21"/>
          <w:highlight w:val="none"/>
          <w:lang w:eastAsia="zh-CN"/>
        </w:rPr>
        <w:t>。根据采购人研究决定，邀请</w:t>
      </w:r>
      <w:r>
        <w:rPr>
          <w:rFonts w:hint="eastAsia" w:ascii="宋体" w:hAnsi="宋体" w:cs="宋体"/>
          <w:kern w:val="2"/>
          <w:sz w:val="21"/>
          <w:szCs w:val="21"/>
          <w:highlight w:val="none"/>
          <w:u w:val="single"/>
          <w:lang w:eastAsia="zh-CN"/>
        </w:rPr>
        <w:t>合肥宏科仪器有限公司</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u w:val="single"/>
          <w:lang w:eastAsia="zh-CN"/>
        </w:rPr>
        <w:t>安徽瑞臣科学仪器有限公司</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u w:val="single"/>
          <w:lang w:eastAsia="zh-CN"/>
        </w:rPr>
        <w:t>合肥瀚宇科学仪器有限公司</w:t>
      </w:r>
      <w:r>
        <w:rPr>
          <w:rFonts w:hint="eastAsia" w:ascii="宋体" w:hAnsi="宋体" w:cs="宋体"/>
          <w:kern w:val="2"/>
          <w:sz w:val="21"/>
          <w:szCs w:val="21"/>
          <w:highlight w:val="none"/>
          <w:lang w:eastAsia="zh-CN"/>
        </w:rPr>
        <w:t>参与本项目询价采购活动，未受邀请的供应商响应无效。</w:t>
      </w:r>
    </w:p>
    <w:p w14:paraId="3B555BE1">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霍山县生态环境分局水质监测监管能力建设项目执法装备采购项目</w:t>
      </w:r>
    </w:p>
    <w:p w14:paraId="0960E403">
      <w:pPr>
        <w:pStyle w:val="19"/>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DBSCG-2025-</w:t>
      </w:r>
      <w:r>
        <w:rPr>
          <w:rFonts w:hint="eastAsia" w:ascii="宋体" w:hAnsi="宋体" w:cs="宋体"/>
          <w:sz w:val="21"/>
          <w:szCs w:val="21"/>
          <w:highlight w:val="none"/>
          <w:shd w:val="clear" w:color="auto" w:fill="FFFFFF"/>
          <w:lang w:val="en-US" w:eastAsia="zh-CN"/>
        </w:rPr>
        <w:t>104</w:t>
      </w:r>
    </w:p>
    <w:p w14:paraId="25F68A91">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货物类</w:t>
      </w:r>
    </w:p>
    <w:p w14:paraId="30C60237">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六安市霍山县生态环境分局</w:t>
      </w:r>
    </w:p>
    <w:p w14:paraId="20BBED30">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262800.00</w:t>
      </w:r>
      <w:r>
        <w:rPr>
          <w:rFonts w:hint="eastAsia" w:ascii="宋体" w:hAnsi="宋体" w:cs="宋体"/>
          <w:sz w:val="21"/>
          <w:szCs w:val="21"/>
          <w:highlight w:val="none"/>
          <w:shd w:val="clear" w:color="auto" w:fill="FFFFFF"/>
        </w:rPr>
        <w:t>元</w:t>
      </w:r>
    </w:p>
    <w:p w14:paraId="6369AFA3">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262800.00</w:t>
      </w:r>
      <w:r>
        <w:rPr>
          <w:rFonts w:hint="eastAsia" w:ascii="宋体" w:hAnsi="宋体" w:cs="宋体"/>
          <w:sz w:val="21"/>
          <w:szCs w:val="21"/>
          <w:highlight w:val="none"/>
          <w:shd w:val="clear" w:color="auto" w:fill="FFFFFF"/>
        </w:rPr>
        <w:t>元</w:t>
      </w:r>
    </w:p>
    <w:p w14:paraId="0CB1A8B1">
      <w:pPr>
        <w:pStyle w:val="19"/>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w:t>
      </w:r>
      <w:r>
        <w:rPr>
          <w:rFonts w:hint="eastAsia" w:ascii="宋体" w:hAnsi="宋体"/>
          <w:b w:val="0"/>
          <w:bCs w:val="0"/>
          <w:color w:val="auto"/>
          <w:sz w:val="21"/>
          <w:szCs w:val="21"/>
          <w:highlight w:val="none"/>
          <w:lang w:val="en-US" w:eastAsia="zh-CN"/>
        </w:rPr>
        <w:t>项目供货期：合同签订后按采购人计划要求供货。</w:t>
      </w:r>
    </w:p>
    <w:p w14:paraId="6AA6096B">
      <w:pPr>
        <w:pStyle w:val="19"/>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本项目主要采购内容为便携式多参数水质测定仪等设备，详见采购需求。</w:t>
      </w:r>
    </w:p>
    <w:p w14:paraId="3C3A84EF">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7050499">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1、供应商须具有有效的营业执照；</w:t>
      </w:r>
    </w:p>
    <w:p w14:paraId="53D45D8B">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14:paraId="5DED982F">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14:paraId="1AFB2049">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34A59662">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14:paraId="0A26BEC9">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14:paraId="5538A10B">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746D24B">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本项目勿需报名，供应商于</w:t>
      </w:r>
      <w:r>
        <w:rPr>
          <w:rFonts w:hint="eastAsia" w:ascii="宋体" w:hAnsi="宋体" w:cs="宋体"/>
          <w:sz w:val="21"/>
          <w:szCs w:val="21"/>
          <w:highlight w:val="none"/>
          <w:shd w:val="clear" w:color="auto" w:fill="FFFFFF"/>
          <w:lang w:eastAsia="zh-CN"/>
        </w:rPr>
        <w:t>2025年9月10日</w:t>
      </w:r>
      <w:r>
        <w:rPr>
          <w:rFonts w:hint="eastAsia" w:ascii="宋体" w:hAnsi="宋体" w:cs="宋体"/>
          <w:sz w:val="21"/>
          <w:szCs w:val="21"/>
          <w:highlight w:val="none"/>
          <w:shd w:val="clear" w:color="auto" w:fill="FFFFFF"/>
        </w:rPr>
        <w:t>起（北京时间，下同）起自行登录安徽霍山国有资产投资控股集团有限公司（http://ahdmig.cn/）“招标采购”栏目中下载</w:t>
      </w:r>
      <w:r>
        <w:rPr>
          <w:rFonts w:hint="eastAsia" w:ascii="宋体" w:hAnsi="宋体" w:cs="宋体"/>
          <w:sz w:val="21"/>
          <w:szCs w:val="21"/>
          <w:highlight w:val="none"/>
          <w:shd w:val="clear" w:color="auto" w:fill="FFFFFF"/>
          <w:lang w:val="en-US" w:eastAsia="zh-CN"/>
        </w:rPr>
        <w:t>询价</w:t>
      </w:r>
      <w:r>
        <w:rPr>
          <w:rFonts w:hint="eastAsia" w:ascii="宋体" w:hAnsi="宋体" w:cs="宋体"/>
          <w:sz w:val="21"/>
          <w:szCs w:val="21"/>
          <w:highlight w:val="none"/>
          <w:shd w:val="clear" w:color="auto" w:fill="FFFFFF"/>
        </w:rPr>
        <w:t>文件等相关资料。请投标供应商关注安徽霍山国有资产投资控股集团有限公司（http://ahdmig.cn/）“招标采购”“补充公告”中关于本项目的补遗、答疑等内容。</w:t>
      </w:r>
    </w:p>
    <w:p w14:paraId="08747BED">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w:t>
      </w:r>
      <w:r>
        <w:rPr>
          <w:rFonts w:hint="eastAsia" w:ascii="宋体" w:hAnsi="宋体" w:cs="宋体"/>
          <w:color w:val="auto"/>
          <w:sz w:val="21"/>
          <w:szCs w:val="21"/>
          <w:highlight w:val="none"/>
          <w:u w:val="none"/>
          <w:shd w:val="clear" w:color="auto" w:fill="FFFFFF"/>
          <w:lang w:eastAsia="zh-CN"/>
        </w:rPr>
        <w:t>2025年9月16日15时00分</w:t>
      </w:r>
      <w:r>
        <w:rPr>
          <w:rFonts w:hint="eastAsia" w:ascii="宋体" w:hAnsi="宋体" w:cs="宋体"/>
          <w:sz w:val="21"/>
          <w:szCs w:val="21"/>
          <w:highlight w:val="none"/>
          <w:shd w:val="clear" w:color="auto" w:fill="FFFFFF"/>
        </w:rPr>
        <w:t>。</w:t>
      </w:r>
    </w:p>
    <w:p w14:paraId="5A746F44">
      <w:pPr>
        <w:pStyle w:val="19"/>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2025年9月16日15时00分</w:t>
      </w:r>
      <w:r>
        <w:rPr>
          <w:rFonts w:hint="eastAsia" w:ascii="宋体" w:hAnsi="宋体" w:cs="宋体"/>
          <w:sz w:val="21"/>
          <w:szCs w:val="21"/>
          <w:highlight w:val="none"/>
          <w:shd w:val="clear" w:color="auto" w:fill="FFFFFF"/>
        </w:rPr>
        <w:t>。</w:t>
      </w:r>
    </w:p>
    <w:p w14:paraId="4DE0EE91">
      <w:pPr>
        <w:pStyle w:val="19"/>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204857BE">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六安市霍山县生态环境分局</w:t>
      </w:r>
    </w:p>
    <w:p w14:paraId="4B21EF55">
      <w:pPr>
        <w:pStyle w:val="19"/>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霍山县新政务区</w:t>
      </w:r>
    </w:p>
    <w:p w14:paraId="5C9F30D7">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刘女士</w:t>
      </w:r>
    </w:p>
    <w:p w14:paraId="42A82D75">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18805648698</w:t>
      </w:r>
    </w:p>
    <w:p w14:paraId="7D493512">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1BD46A57">
      <w:pPr>
        <w:pStyle w:val="19"/>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六安市霍山县生态环境分局</w:t>
      </w:r>
    </w:p>
    <w:p w14:paraId="01BF823D">
      <w:pPr>
        <w:pStyle w:val="19"/>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19"/>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2025年9月10日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2869"/>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2"/>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六安市霍山县生态环境分局</w:t>
            </w:r>
          </w:p>
          <w:p w14:paraId="0C440AC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霍山县新政务区</w:t>
            </w:r>
          </w:p>
          <w:p w14:paraId="3BFDFCDC">
            <w:pPr>
              <w:pStyle w:val="19"/>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刘女士</w:t>
            </w:r>
          </w:p>
          <w:p w14:paraId="2065C87D">
            <w:pPr>
              <w:pStyle w:val="19"/>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18805648698</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19"/>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5"/>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霍山县生态环境分局水质监测监管能力建设项目执法装备采购项目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DBSCG-2025-</w:t>
            </w:r>
            <w:r>
              <w:rPr>
                <w:rFonts w:hint="eastAsia" w:cs="宋体"/>
                <w:b w:val="0"/>
                <w:bCs/>
                <w:kern w:val="2"/>
                <w:sz w:val="21"/>
                <w:szCs w:val="21"/>
                <w:highlight w:val="none"/>
                <w:lang w:val="en-US" w:eastAsia="zh-CN"/>
              </w:rPr>
              <w:t>104</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5"/>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贰拾陆万贰仟捌佰元整</w:t>
            </w:r>
            <w:r>
              <w:rPr>
                <w:rFonts w:hint="eastAsia" w:cs="宋体"/>
                <w:b w:val="0"/>
                <w:bCs w:val="0"/>
                <w:sz w:val="21"/>
                <w:szCs w:val="21"/>
                <w:highlight w:val="none"/>
              </w:rPr>
              <w:t>（￥</w:t>
            </w:r>
            <w:r>
              <w:rPr>
                <w:rFonts w:hint="eastAsia" w:cs="宋体"/>
                <w:b w:val="0"/>
                <w:bCs w:val="0"/>
                <w:sz w:val="21"/>
                <w:szCs w:val="21"/>
                <w:highlight w:val="none"/>
                <w:lang w:val="en-US" w:eastAsia="zh-CN"/>
              </w:rPr>
              <w:t>262800.00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完成所有货物供货经采购人验收合格后一次性付清。</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供货地点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供货（服务）期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合同签订后按采购人计划要求供货。</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3年</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none"/>
                <w:lang w:eastAsia="zh-CN"/>
              </w:rPr>
              <w:t>2025年9月16日15时00分</w:t>
            </w:r>
            <w:r>
              <w:rPr>
                <w:rFonts w:hint="eastAsia" w:ascii="宋体" w:hAnsi="宋体" w:cs="宋体"/>
                <w:b/>
                <w:szCs w:val="21"/>
                <w:highlight w:val="none"/>
                <w:u w:val="none"/>
              </w:rPr>
              <w:t>前</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556DF87F">
            <w:pPr>
              <w:adjustRightInd w:val="0"/>
              <w:snapToGrid w:val="0"/>
              <w:spacing w:line="320" w:lineRule="exact"/>
              <w:rPr>
                <w:rFonts w:ascii="宋体" w:hAnsi="宋体" w:cs="宋体"/>
                <w:szCs w:val="21"/>
                <w:highlight w:val="none"/>
              </w:rPr>
            </w:pPr>
            <w:r>
              <w:rPr>
                <w:rFonts w:hint="eastAsia" w:ascii="宋体" w:hAnsi="宋体" w:cs="宋体"/>
                <w:szCs w:val="21"/>
                <w:highlight w:val="none"/>
              </w:rPr>
              <w:t>标书要求：纸质响应文件，</w:t>
            </w:r>
            <w:r>
              <w:rPr>
                <w:rFonts w:hint="eastAsia" w:ascii="宋体" w:hAnsi="宋体" w:cs="宋体"/>
                <w:spacing w:val="-4"/>
                <w:szCs w:val="21"/>
                <w:highlight w:val="none"/>
              </w:rPr>
              <w:t>应在响应文件递交截止时间内</w:t>
            </w:r>
            <w:r>
              <w:rPr>
                <w:rFonts w:hint="eastAsia" w:ascii="宋体" w:hAnsi="宋体" w:cs="宋体"/>
                <w:szCs w:val="21"/>
                <w:highlight w:val="none"/>
              </w:rPr>
              <w:t>递交到</w:t>
            </w:r>
            <w:r>
              <w:rPr>
                <w:rFonts w:hint="eastAsia" w:ascii="宋体" w:hAnsi="宋体" w:cs="宋体"/>
                <w:szCs w:val="21"/>
                <w:highlight w:val="none"/>
                <w:shd w:val="clear" w:color="auto" w:fill="FFFFFF"/>
              </w:rPr>
              <w:t>安徽大别山工程咨询有限公司二楼第一开标厅（201室）</w:t>
            </w:r>
            <w:r>
              <w:rPr>
                <w:rFonts w:hint="eastAsia" w:ascii="宋体" w:hAnsi="宋体" w:cs="宋体"/>
                <w:spacing w:val="-4"/>
                <w:szCs w:val="21"/>
                <w:highlight w:val="none"/>
              </w:rPr>
              <w:t>。</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2"/>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1"/>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报名及询价文件获取</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本项目勿需报名，供应商于2025年</w:t>
            </w:r>
            <w:r>
              <w:rPr>
                <w:rFonts w:hint="eastAsia" w:ascii="宋体" w:hAnsi="宋体"/>
                <w:szCs w:val="21"/>
                <w:highlight w:val="none"/>
                <w:lang w:val="en-US" w:eastAsia="zh-CN"/>
              </w:rPr>
              <w:t>9</w:t>
            </w:r>
            <w:r>
              <w:rPr>
                <w:rFonts w:hint="eastAsia" w:ascii="宋体" w:hAnsi="宋体"/>
                <w:szCs w:val="21"/>
                <w:highlight w:val="none"/>
              </w:rPr>
              <w:t>月</w:t>
            </w:r>
            <w:r>
              <w:rPr>
                <w:rFonts w:hint="eastAsia" w:ascii="宋体" w:hAnsi="宋体"/>
                <w:szCs w:val="21"/>
                <w:highlight w:val="none"/>
                <w:lang w:val="en-US" w:eastAsia="zh-CN"/>
              </w:rPr>
              <w:t>10</w:t>
            </w:r>
            <w:r>
              <w:rPr>
                <w:rFonts w:hint="eastAsia" w:ascii="宋体" w:hAnsi="宋体"/>
                <w:szCs w:val="21"/>
                <w:highlight w:val="none"/>
              </w:rPr>
              <w:t>日起（北京时间，下同）起自行登录安徽霍山国有资产投资控股集团有限公司（http://ahdmig.cn/）“招标采购”栏目中下载询价文件等相关资料。请投标供应商关注安徽霍山国有资产投资控股集团有限公司（http://ahdmig.cn/）“招标采购”“补充公告”中关于本项目的补遗、答疑等内容。</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安徽霍山国有资产投资控股集团有限公司（http://ahdmig.cn/）</w:t>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6"/>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14:paraId="4646D0D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14:paraId="7AE3594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14:paraId="019D515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14:paraId="1C380A00">
            <w:pPr>
              <w:pStyle w:val="46"/>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6"/>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2BC92731">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highlight w:val="none"/>
              </w:rPr>
            </w:pPr>
            <w:r>
              <w:rPr>
                <w:rFonts w:hint="eastAsia"/>
                <w:highlight w:val="none"/>
              </w:rPr>
              <w:t>备注：</w:t>
            </w:r>
          </w:p>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1、本项目采购代理费由中标人支付。根据《国家发展改革委关于进一步放开建设项目专业服务价格的通知》（发改价格【2015】299号）文件精神，现将费用标准予以告知，采购代理服务费以中标价（成交价）为计算基数，本项目采购代理费具体计算公式为：为中标价（成交价）*1.5%（不足3000.00元按3000.00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39"/>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highlight w:val="none"/>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3"/>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p w14:paraId="57EB7FDA">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2"/>
        <w:tblW w:w="9779" w:type="dxa"/>
        <w:jc w:val="center"/>
        <w:tblLayout w:type="fixed"/>
        <w:tblCellMar>
          <w:top w:w="0" w:type="dxa"/>
          <w:left w:w="108" w:type="dxa"/>
          <w:bottom w:w="0" w:type="dxa"/>
          <w:right w:w="108" w:type="dxa"/>
        </w:tblCellMar>
      </w:tblPr>
      <w:tblGrid>
        <w:gridCol w:w="821"/>
        <w:gridCol w:w="2243"/>
        <w:gridCol w:w="6715"/>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43"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43"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814"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43"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供应商须具有有效的营业执照</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left"/>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营业执照正本或副本（</w:t>
            </w:r>
            <w:r>
              <w:rPr>
                <w:rFonts w:hint="eastAsia" w:ascii="宋体" w:hAnsi="宋体" w:cs="宋体"/>
                <w:b/>
                <w:bCs/>
                <w:color w:val="000000"/>
                <w:spacing w:val="-2"/>
                <w:szCs w:val="21"/>
                <w:highlight w:val="none"/>
              </w:rPr>
              <w:t>响应文件中需提供加盖投标人公章的复印件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413"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以上评审有任何一项未通过的，资格审查不合格，按无效投标处理。</w:t>
            </w:r>
          </w:p>
        </w:tc>
      </w:tr>
    </w:tbl>
    <w:p w14:paraId="54FE1B5D">
      <w:pPr>
        <w:adjustRightInd w:val="0"/>
        <w:snapToGrid w:val="0"/>
        <w:spacing w:line="260" w:lineRule="exact"/>
        <w:rPr>
          <w:rFonts w:hint="eastAsia" w:ascii="宋体" w:hAnsi="宋体" w:eastAsia="宋体" w:cs="宋体"/>
          <w:color w:val="000000"/>
          <w:szCs w:val="21"/>
          <w:highlight w:val="none"/>
        </w:rPr>
      </w:pPr>
    </w:p>
    <w:p w14:paraId="3E7149C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2"/>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03DF0E11">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w:t>
            </w:r>
          </w:p>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603E0171">
      <w:pPr>
        <w:adjustRightInd w:val="0"/>
        <w:snapToGrid w:val="0"/>
        <w:spacing w:line="260" w:lineRule="exact"/>
        <w:rPr>
          <w:rFonts w:hint="eastAsia" w:ascii="宋体" w:hAnsi="宋体" w:eastAsia="宋体" w:cs="宋体"/>
          <w:b/>
          <w:color w:val="000000"/>
          <w:kern w:val="10"/>
          <w:sz w:val="24"/>
          <w:szCs w:val="24"/>
          <w:highlight w:val="none"/>
        </w:rPr>
      </w:pPr>
    </w:p>
    <w:p w14:paraId="477A80FF">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2"/>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供货（</w:t>
            </w:r>
            <w:r>
              <w:rPr>
                <w:rFonts w:hint="eastAsia" w:ascii="宋体" w:hAnsi="宋体" w:eastAsia="宋体" w:cs="宋体"/>
                <w:color w:val="000000"/>
                <w:szCs w:val="21"/>
                <w:highlight w:val="none"/>
              </w:rPr>
              <w:t>服务</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文件的要求</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项目完成时间</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文件的要求。</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售后服务响应</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文件的要求。</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3"/>
        <w:snapToGrid w:val="0"/>
        <w:spacing w:before="100" w:after="100" w:line="360" w:lineRule="exact"/>
        <w:jc w:val="center"/>
        <w:rPr>
          <w:rFonts w:ascii="宋体" w:hAnsi="宋体" w:cs="宋体"/>
          <w:szCs w:val="21"/>
          <w:highlight w:val="none"/>
        </w:rPr>
      </w:pPr>
      <w:bookmarkStart w:id="12" w:name="_Toc438648662"/>
      <w:bookmarkStart w:id="13" w:name="_Toc12806"/>
      <w:bookmarkStart w:id="14" w:name="_Toc216158625"/>
      <w:bookmarkStart w:id="15" w:name="_Toc363199266"/>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询价</w:t>
      </w:r>
      <w:r>
        <w:rPr>
          <w:rFonts w:hint="eastAsia" w:ascii="宋体" w:hAnsi="宋体" w:cs="宋体"/>
          <w:highlight w:val="none"/>
          <w:lang w:eastAsia="zh-CN"/>
        </w:rPr>
        <w:t>响应文件所有正、副本均应密封在一个文件袋中，并在封套上加盖供应商公章，封套上应写明：“</w:t>
      </w:r>
      <w:r>
        <w:rPr>
          <w:rFonts w:hint="eastAsia" w:ascii="宋体" w:hAnsi="宋体" w:cs="宋体"/>
          <w:highlight w:val="none"/>
          <w:u w:val="single"/>
          <w:lang w:eastAsia="zh-CN"/>
        </w:rPr>
        <w:t xml:space="preserve">  （采购项目名称）  </w:t>
      </w:r>
      <w:r>
        <w:rPr>
          <w:rFonts w:hint="eastAsia" w:ascii="宋体" w:hAnsi="宋体" w:cs="宋体"/>
          <w:highlight w:val="none"/>
          <w:lang w:eastAsia="zh-CN"/>
        </w:rPr>
        <w:t>响应文件、</w:t>
      </w:r>
      <w:r>
        <w:rPr>
          <w:rFonts w:hint="eastAsia" w:ascii="宋体" w:hAnsi="宋体" w:cs="宋体"/>
          <w:highlight w:val="none"/>
          <w:u w:val="single"/>
          <w:lang w:eastAsia="zh-CN"/>
        </w:rPr>
        <w:t xml:space="preserve">      </w:t>
      </w:r>
      <w:r>
        <w:rPr>
          <w:rFonts w:hint="eastAsia" w:ascii="宋体" w:hAnsi="宋体" w:cs="宋体"/>
          <w:highlight w:val="none"/>
          <w:lang w:eastAsia="zh-CN"/>
        </w:rPr>
        <w:t>年</w:t>
      </w:r>
      <w:r>
        <w:rPr>
          <w:rFonts w:hint="eastAsia" w:ascii="宋体" w:hAnsi="宋体" w:cs="宋体"/>
          <w:highlight w:val="none"/>
          <w:u w:val="single"/>
          <w:lang w:eastAsia="zh-CN"/>
        </w:rPr>
        <w:t xml:space="preserve">   </w:t>
      </w:r>
      <w:r>
        <w:rPr>
          <w:rFonts w:hint="eastAsia" w:ascii="宋体" w:hAnsi="宋体" w:cs="宋体"/>
          <w:highlight w:val="none"/>
          <w:lang w:eastAsia="zh-CN"/>
        </w:rPr>
        <w:t>月</w:t>
      </w:r>
      <w:r>
        <w:rPr>
          <w:rFonts w:hint="eastAsia" w:ascii="宋体" w:hAnsi="宋体" w:cs="宋体"/>
          <w:highlight w:val="none"/>
          <w:u w:val="single"/>
          <w:lang w:eastAsia="zh-CN"/>
        </w:rPr>
        <w:t xml:space="preserve">   </w:t>
      </w:r>
      <w:r>
        <w:rPr>
          <w:rFonts w:hint="eastAsia" w:ascii="宋体" w:hAnsi="宋体" w:cs="宋体"/>
          <w:highlight w:val="none"/>
          <w:lang w:eastAsia="zh-CN"/>
        </w:rPr>
        <w:t>日</w:t>
      </w:r>
      <w:r>
        <w:rPr>
          <w:rFonts w:hint="eastAsia" w:ascii="宋体" w:hAnsi="宋体" w:cs="宋体"/>
          <w:highlight w:val="none"/>
          <w:u w:val="single"/>
          <w:lang w:eastAsia="zh-CN"/>
        </w:rPr>
        <w:t xml:space="preserve">   </w:t>
      </w:r>
      <w:r>
        <w:rPr>
          <w:rFonts w:hint="eastAsia" w:ascii="宋体" w:hAnsi="宋体" w:cs="宋体"/>
          <w:highlight w:val="none"/>
          <w:lang w:eastAsia="zh-CN"/>
        </w:rPr>
        <w:t>时</w:t>
      </w:r>
      <w:r>
        <w:rPr>
          <w:rFonts w:hint="eastAsia" w:ascii="宋体" w:hAnsi="宋体" w:cs="宋体"/>
          <w:highlight w:val="none"/>
          <w:u w:val="single"/>
          <w:lang w:eastAsia="zh-CN"/>
        </w:rPr>
        <w:t xml:space="preserve">   </w:t>
      </w:r>
      <w:r>
        <w:rPr>
          <w:rFonts w:hint="eastAsia" w:ascii="宋体" w:hAnsi="宋体" w:cs="宋体"/>
          <w:highlight w:val="none"/>
          <w:lang w:eastAsia="zh-CN"/>
        </w:rPr>
        <w:t>分前不得开启”字样。</w:t>
      </w:r>
      <w:r>
        <w:rPr>
          <w:rFonts w:hint="eastAsia" w:ascii="宋体" w:hAnsi="宋体" w:cs="宋体"/>
          <w:b/>
          <w:bCs/>
          <w:highlight w:val="none"/>
        </w:rPr>
        <w:t>（注：投标书不准活页装订，应胶装成册，响应人所递交的响应性文件应按照响应性文件组成及格式、响应性文件的密封要求以及</w:t>
      </w:r>
      <w:r>
        <w:rPr>
          <w:rFonts w:hint="eastAsia" w:ascii="宋体" w:hAnsi="宋体" w:cs="宋体"/>
          <w:highlight w:val="none"/>
        </w:rPr>
        <w:t>，</w:t>
      </w:r>
      <w:r>
        <w:rPr>
          <w:rFonts w:hint="eastAsia" w:ascii="宋体" w:hAnsi="宋体" w:cs="宋体"/>
          <w:b/>
          <w:bCs/>
          <w:highlight w:val="none"/>
        </w:rPr>
        <w:t>否则视为无效投标。响应性文件所有内容以纸质正本为准</w:t>
      </w:r>
      <w:r>
        <w:rPr>
          <w:rFonts w:hint="eastAsia" w:ascii="宋体" w:hAnsi="宋体" w:cs="宋体"/>
          <w:highlight w:val="none"/>
        </w:rPr>
        <w:t>。</w:t>
      </w:r>
      <w:r>
        <w:rPr>
          <w:rFonts w:hint="eastAsia" w:ascii="宋体" w:hAnsi="宋体" w:cs="宋体"/>
          <w:b/>
          <w:bCs/>
          <w:highlight w:val="none"/>
        </w:rPr>
        <w:t>）</w:t>
      </w:r>
      <w:r>
        <w:rPr>
          <w:rFonts w:hint="eastAsia" w:hAnsi="宋体" w:cs="宋体"/>
          <w:b/>
          <w:bCs/>
          <w:highlight w:val="none"/>
        </w:rPr>
        <w:t>。</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18"/>
        <w:rPr>
          <w:highlight w:val="none"/>
        </w:rPr>
      </w:pP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471299093"/>
      <w:bookmarkStart w:id="22" w:name="_Toc31686"/>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23222"/>
      <w:bookmarkStart w:id="28" w:name="_Toc471299096"/>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六安市霍山县生态环境分局</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7"/>
        <w:tabs>
          <w:tab w:val="left" w:pos="1978"/>
          <w:tab w:val="center" w:pos="4482"/>
        </w:tabs>
        <w:jc w:val="center"/>
        <w:outlineLvl w:val="0"/>
        <w:rPr>
          <w:rFonts w:cs="宋体"/>
          <w:bCs/>
          <w:sz w:val="30"/>
          <w:szCs w:val="30"/>
          <w:highlight w:val="none"/>
        </w:rPr>
      </w:pPr>
      <w:bookmarkStart w:id="31" w:name="_Toc11525"/>
      <w:bookmarkStart w:id="32" w:name="_Toc12757"/>
      <w:bookmarkStart w:id="33" w:name="_Toc16484_WPSOffice_Level1"/>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7"/>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0"/>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tbl>
      <w:tblPr>
        <w:tblStyle w:val="23"/>
        <w:tblW w:w="101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420"/>
        <w:gridCol w:w="6900"/>
        <w:gridCol w:w="1100"/>
      </w:tblGrid>
      <w:tr w14:paraId="3647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7D8B4EE4">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序号</w:t>
            </w:r>
          </w:p>
        </w:tc>
        <w:tc>
          <w:tcPr>
            <w:tcW w:w="1420" w:type="dxa"/>
            <w:vAlign w:val="center"/>
          </w:tcPr>
          <w:p w14:paraId="5AFAF9D4">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货物名称</w:t>
            </w:r>
          </w:p>
        </w:tc>
        <w:tc>
          <w:tcPr>
            <w:tcW w:w="6900" w:type="dxa"/>
            <w:vAlign w:val="center"/>
          </w:tcPr>
          <w:p w14:paraId="5F3C52E7">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招标技术参数及要求</w:t>
            </w:r>
          </w:p>
        </w:tc>
        <w:tc>
          <w:tcPr>
            <w:tcW w:w="1100" w:type="dxa"/>
            <w:vAlign w:val="center"/>
          </w:tcPr>
          <w:p w14:paraId="059E9017">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数量</w:t>
            </w:r>
          </w:p>
          <w:p w14:paraId="5BF8E9CE">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（单位）</w:t>
            </w:r>
          </w:p>
        </w:tc>
      </w:tr>
      <w:tr w14:paraId="43284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Pr>
          <w:p w14:paraId="4815F6DD">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420" w:type="dxa"/>
          </w:tcPr>
          <w:p w14:paraId="32AB1169">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便携式多参数水质测定仪</w:t>
            </w:r>
          </w:p>
        </w:tc>
        <w:tc>
          <w:tcPr>
            <w:tcW w:w="6900" w:type="dxa"/>
          </w:tcPr>
          <w:p w14:paraId="4839199C">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一、功能特点</w:t>
            </w:r>
          </w:p>
          <w:p w14:paraId="5E603CB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1.主机采用手持式设计，主机重量0.70kg，尺寸（235*95*83）mm，可单手握持，户外操作极其方便。</w:t>
            </w:r>
          </w:p>
          <w:p w14:paraId="09130B7A">
            <w:pPr>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b/>
                <w:bCs/>
                <w:spacing w:val="-6"/>
                <w:sz w:val="24"/>
                <w:szCs w:val="24"/>
                <w:lang w:val="en-US" w:eastAsia="zh-CN"/>
              </w:rPr>
              <w:t>2</w:t>
            </w:r>
            <w:r>
              <w:rPr>
                <w:rFonts w:hint="eastAsia" w:ascii="宋体" w:hAnsi="宋体" w:eastAsia="宋体" w:cs="宋体"/>
                <w:sz w:val="24"/>
                <w:szCs w:val="24"/>
                <w:vertAlign w:val="baseline"/>
                <w:lang w:val="en-US" w:eastAsia="zh-CN"/>
              </w:rPr>
              <w:t>.仪器内置420nm、510nm、535nm、560nm、610nm、700nm共6个波长的LED光源，可见光区域全覆盖，无需预热，开机即用，维护成本低，光源寿命可达10万小时；</w:t>
            </w:r>
          </w:p>
          <w:p w14:paraId="70B7E17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3.可检测40+测定指标，90+测量模式，所有指标浓度直读。可直接测定化学需氧量（COD）、氨氮、总磷、总氮、悬浮物、色度、浊度、重金属、有机污染物和无机污染物等多项指标，并支持多种比色方式；</w:t>
            </w:r>
          </w:p>
          <w:p w14:paraId="718D957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4.拥有高锰酸盐指数检测方法，该方法拥有自主知识产权，拥有发明专利；</w:t>
            </w:r>
          </w:p>
          <w:p w14:paraId="06BBD90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5.仪器内置曲线770条，用户可根据需要调用相应的曲线使用；</w:t>
            </w:r>
          </w:p>
          <w:p w14:paraId="47AF813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6.仪器可快速校准，用户可根据需求选择单个浓度溶液进行校准，输入浓度即可校准，简单快捷；</w:t>
            </w:r>
          </w:p>
          <w:p w14:paraId="291F577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7.可快速输入稀释倍数，稀释倍数自动带入实验结果的计算；</w:t>
            </w:r>
          </w:p>
          <w:p w14:paraId="387F4A3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8.用户可根据当地相关指标处理要求设定检测限值，超限后仪器报警提示；</w:t>
            </w:r>
          </w:p>
          <w:p w14:paraId="10A5FF9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9.具有超量程提示功能，通过测值区数值及表盘色彩变化直观显示测定结果是否超出量程，是否需要稀释检测；</w:t>
            </w:r>
          </w:p>
          <w:p w14:paraId="27205CC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10.仪器具有蓝牙功能，标配蓝牙热敏行式打印机，可将仪器检测数据或保存数据实时打印；</w:t>
            </w:r>
          </w:p>
          <w:p w14:paraId="7B10521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11.仪器内置1300万像素的摄像头，可现场拍摄照片取证，方便现场执法记录；</w:t>
            </w:r>
          </w:p>
          <w:p w14:paraId="41EC2B3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12.仪器具有屏幕截图功能，屏幕内容可一键截图，及时真实得获取屏幕信息，方便数据记录；</w:t>
            </w:r>
          </w:p>
          <w:p w14:paraId="55DE4F2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13.仪器具有USB数据导出功能，可通过USB将数据导出，支持excel格式数据导出；</w:t>
            </w:r>
          </w:p>
          <w:p w14:paraId="58272F0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14.仪器具有光学校准功能，实现光源能量自动补偿；</w:t>
            </w:r>
          </w:p>
          <w:p w14:paraId="378C7DF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15.仪器拥有64G超大存储空间，海量存储5000万条检测数据，接入物联网平台后可实现无上限数据存储；</w:t>
            </w:r>
          </w:p>
          <w:p w14:paraId="279D591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16.系统具备实时保护功能，支持硬件模块自检，仪器运行状态直观显示，如有软件运行出现异常，仪器自动将异常保存记录并进行系统自动恢复，解决运行故障问题；</w:t>
            </w:r>
          </w:p>
          <w:p w14:paraId="35A4E070">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17.同时支持4G和wifi两种方式网络链接，支持物联网应用，可随时随地实现用户对仪器进行远程监测及控制，上传数据至云端服务器，支持接入用户数据库进行查询及大数据应用；</w:t>
            </w:r>
          </w:p>
          <w:p w14:paraId="41C09A6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18.具有卫星定位功能，支持北斗、GPS、GLONASS、Galileo全球四大卫星定位服务，可将定位坐标打印出来；</w:t>
            </w:r>
          </w:p>
          <w:p w14:paraId="4DECE49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19.仪器标配6个消解孔的便携式消解仪，支持锂电池和适配器两种供电方式，采用实时操作系统，操作简单；</w:t>
            </w:r>
          </w:p>
          <w:p w14:paraId="3EC7C9B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20.消解仪3.5吋液晶触摸屏，仪器内置9种消解模式，满足常用消解需求。</w:t>
            </w:r>
          </w:p>
          <w:p w14:paraId="4B3E691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21.仪器具有智能电能调节功能，可保证8分钟快速从室温升温中165℃；</w:t>
            </w:r>
          </w:p>
          <w:p w14:paraId="757FB21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22.具有超温报警功能，每个消解模式超温后背景变为红色，给予用户视觉提醒，同时仪器具有蜂鸣报警功能；</w:t>
            </w:r>
          </w:p>
          <w:p w14:paraId="10FF8BC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23.仪器具有智能加热功能，消解温度到达时自动调整加热功率，保持温度恒定，保证消解准确性；</w:t>
            </w:r>
          </w:p>
          <w:p w14:paraId="1CFEBC3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24.消解模块上端附有聚四氟隔热层，有效防止烫伤；</w:t>
            </w:r>
          </w:p>
          <w:p w14:paraId="235DB524">
            <w:pPr>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vertAlign w:val="baseline"/>
                <w:lang w:val="en-US" w:eastAsia="zh-CN"/>
              </w:rPr>
              <w:t>25.锂电池自带两个USB充电口，可同时为主机和手机应急充电；</w:t>
            </w:r>
          </w:p>
          <w:p w14:paraId="01E225A8">
            <w:pPr>
              <w:spacing w:before="26" w:line="233" w:lineRule="auto"/>
              <w:ind w:right="104"/>
              <w:jc w:val="both"/>
              <w:rPr>
                <w:rFonts w:hint="eastAsia" w:ascii="宋体" w:hAnsi="宋体" w:eastAsia="宋体" w:cs="宋体"/>
                <w:sz w:val="24"/>
                <w:szCs w:val="24"/>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b/>
                <w:bCs/>
                <w:spacing w:val="-3"/>
                <w:sz w:val="24"/>
                <w:szCs w:val="24"/>
                <w:lang w:val="en-US" w:eastAsia="zh-CN"/>
              </w:rPr>
              <w:t>26.</w:t>
            </w:r>
            <w:r>
              <w:rPr>
                <w:rFonts w:hint="eastAsia" w:ascii="宋体" w:hAnsi="宋体" w:eastAsia="宋体" w:cs="宋体"/>
                <w:spacing w:val="-3"/>
                <w:sz w:val="24"/>
                <w:szCs w:val="24"/>
              </w:rPr>
              <w:t>测COD时浓度在20000mg/L以内氯离子样品无需稀释</w:t>
            </w:r>
            <w:r>
              <w:rPr>
                <w:rFonts w:hint="eastAsia" w:ascii="宋体" w:hAnsi="宋体" w:eastAsia="宋体" w:cs="宋体"/>
                <w:spacing w:val="-5"/>
                <w:sz w:val="24"/>
                <w:szCs w:val="24"/>
              </w:rPr>
              <w:t>可直接测样，COD</w:t>
            </w:r>
            <w:r>
              <w:rPr>
                <w:rFonts w:hint="eastAsia" w:ascii="宋体" w:hAnsi="宋体" w:eastAsia="宋体" w:cs="宋体"/>
                <w:spacing w:val="-51"/>
                <w:sz w:val="24"/>
                <w:szCs w:val="24"/>
              </w:rPr>
              <w:t xml:space="preserve"> </w:t>
            </w:r>
            <w:r>
              <w:rPr>
                <w:rFonts w:hint="eastAsia" w:ascii="宋体" w:hAnsi="宋体" w:eastAsia="宋体" w:cs="宋体"/>
                <w:spacing w:val="-5"/>
                <w:sz w:val="24"/>
                <w:szCs w:val="24"/>
              </w:rPr>
              <w:t>浓度在</w:t>
            </w:r>
            <w:r>
              <w:rPr>
                <w:rFonts w:hint="eastAsia" w:ascii="宋体" w:hAnsi="宋体" w:eastAsia="宋体" w:cs="宋体"/>
                <w:spacing w:val="-33"/>
                <w:sz w:val="24"/>
                <w:szCs w:val="24"/>
              </w:rPr>
              <w:t xml:space="preserve"> </w:t>
            </w:r>
            <w:r>
              <w:rPr>
                <w:rFonts w:hint="eastAsia" w:ascii="宋体" w:hAnsi="宋体" w:eastAsia="宋体" w:cs="宋体"/>
                <w:spacing w:val="-5"/>
                <w:sz w:val="24"/>
                <w:szCs w:val="24"/>
              </w:rPr>
              <w:t>15000mg/L内样品无需稀释直接</w:t>
            </w:r>
            <w:r>
              <w:rPr>
                <w:rFonts w:hint="eastAsia" w:ascii="宋体" w:hAnsi="宋体" w:eastAsia="宋体" w:cs="宋体"/>
                <w:spacing w:val="-6"/>
                <w:sz w:val="24"/>
                <w:szCs w:val="24"/>
              </w:rPr>
              <w:t>上机</w:t>
            </w:r>
            <w:r>
              <w:rPr>
                <w:rFonts w:hint="eastAsia" w:ascii="宋体" w:hAnsi="宋体" w:eastAsia="宋体" w:cs="宋体"/>
                <w:spacing w:val="-3"/>
                <w:sz w:val="24"/>
                <w:szCs w:val="24"/>
              </w:rPr>
              <w:t>测试即可</w:t>
            </w:r>
            <w:r>
              <w:rPr>
                <w:rFonts w:hint="eastAsia" w:ascii="宋体" w:hAnsi="宋体" w:eastAsia="宋体" w:cs="宋体"/>
                <w:b/>
                <w:bCs/>
                <w:spacing w:val="-3"/>
                <w:sz w:val="24"/>
                <w:szCs w:val="24"/>
              </w:rPr>
              <w:t>（需提供</w:t>
            </w:r>
            <w:r>
              <w:rPr>
                <w:rFonts w:hint="eastAsia" w:ascii="宋体" w:hAnsi="宋体" w:eastAsia="宋体" w:cs="宋体"/>
                <w:b/>
                <w:bCs/>
                <w:spacing w:val="-3"/>
                <w:sz w:val="24"/>
                <w:szCs w:val="24"/>
                <w:lang w:val="en-US" w:eastAsia="zh-CN"/>
              </w:rPr>
              <w:t>相关实物图片的实验数据</w:t>
            </w:r>
            <w:r>
              <w:rPr>
                <w:rFonts w:hint="eastAsia" w:ascii="宋体" w:hAnsi="宋体" w:eastAsia="宋体" w:cs="宋体"/>
                <w:b/>
                <w:bCs/>
                <w:spacing w:val="-3"/>
                <w:sz w:val="24"/>
                <w:szCs w:val="24"/>
              </w:rPr>
              <w:t>佐证</w:t>
            </w:r>
            <w:r>
              <w:rPr>
                <w:rFonts w:hint="eastAsia" w:ascii="宋体" w:hAnsi="宋体" w:eastAsia="宋体" w:cs="宋体"/>
                <w:b/>
                <w:bCs/>
                <w:spacing w:val="-3"/>
                <w:sz w:val="24"/>
                <w:szCs w:val="24"/>
                <w:lang w:eastAsia="zh-CN"/>
              </w:rPr>
              <w:t>并加盖厂商公章</w:t>
            </w:r>
            <w:r>
              <w:rPr>
                <w:rFonts w:hint="eastAsia" w:ascii="宋体" w:hAnsi="宋体" w:eastAsia="宋体" w:cs="宋体"/>
                <w:b/>
                <w:bCs/>
                <w:spacing w:val="5"/>
                <w:sz w:val="24"/>
                <w:szCs w:val="24"/>
              </w:rPr>
              <w:t>）</w:t>
            </w:r>
            <w:r>
              <w:rPr>
                <w:rFonts w:hint="eastAsia" w:ascii="宋体" w:hAnsi="宋体" w:eastAsia="宋体" w:cs="宋体"/>
                <w:spacing w:val="5"/>
                <w:sz w:val="24"/>
                <w:szCs w:val="24"/>
              </w:rPr>
              <w:t>；</w:t>
            </w:r>
          </w:p>
          <w:p w14:paraId="40268F56">
            <w:pPr>
              <w:spacing w:before="27" w:line="230" w:lineRule="auto"/>
              <w:ind w:right="125"/>
              <w:rPr>
                <w:rFonts w:hint="eastAsia" w:ascii="宋体" w:hAnsi="宋体" w:eastAsia="宋体" w:cs="宋体"/>
                <w:spacing w:val="-2"/>
                <w:sz w:val="24"/>
                <w:szCs w:val="24"/>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b/>
                <w:bCs/>
                <w:spacing w:val="-3"/>
                <w:sz w:val="24"/>
                <w:szCs w:val="24"/>
                <w:lang w:val="en-US" w:eastAsia="zh-CN"/>
              </w:rPr>
              <w:t>27.</w:t>
            </w:r>
            <w:r>
              <w:rPr>
                <w:rFonts w:hint="eastAsia" w:ascii="宋体" w:hAnsi="宋体" w:eastAsia="宋体" w:cs="宋体"/>
                <w:spacing w:val="-3"/>
                <w:sz w:val="24"/>
                <w:szCs w:val="24"/>
              </w:rPr>
              <w:t>特殊水样厂家提供片剂提高抗干扰能力</w:t>
            </w:r>
            <w:r>
              <w:rPr>
                <w:rFonts w:hint="eastAsia" w:ascii="宋体" w:hAnsi="宋体" w:eastAsia="宋体" w:cs="宋体"/>
                <w:b/>
                <w:bCs/>
                <w:spacing w:val="-3"/>
                <w:sz w:val="24"/>
                <w:szCs w:val="24"/>
              </w:rPr>
              <w:t>（需提供</w:t>
            </w:r>
            <w:r>
              <w:rPr>
                <w:rFonts w:hint="eastAsia" w:ascii="宋体" w:hAnsi="宋体" w:eastAsia="宋体" w:cs="宋体"/>
                <w:b/>
                <w:bCs/>
                <w:spacing w:val="-3"/>
                <w:sz w:val="24"/>
                <w:szCs w:val="24"/>
                <w:lang w:val="en-US" w:eastAsia="zh-CN"/>
              </w:rPr>
              <w:t>抗干扰能力片剂</w:t>
            </w:r>
            <w:r>
              <w:rPr>
                <w:rFonts w:hint="eastAsia" w:ascii="宋体" w:hAnsi="宋体" w:eastAsia="宋体" w:cs="宋体"/>
                <w:b/>
                <w:bCs/>
                <w:spacing w:val="-3"/>
                <w:sz w:val="24"/>
                <w:szCs w:val="24"/>
              </w:rPr>
              <w:t>实物图</w:t>
            </w:r>
            <w:r>
              <w:rPr>
                <w:rFonts w:hint="eastAsia" w:ascii="宋体" w:hAnsi="宋体" w:eastAsia="宋体" w:cs="宋体"/>
                <w:b/>
                <w:bCs/>
                <w:spacing w:val="-7"/>
                <w:sz w:val="24"/>
                <w:szCs w:val="24"/>
              </w:rPr>
              <w:t>片佐证</w:t>
            </w:r>
            <w:r>
              <w:rPr>
                <w:rFonts w:hint="eastAsia" w:ascii="宋体" w:hAnsi="宋体" w:eastAsia="宋体" w:cs="宋体"/>
                <w:b/>
                <w:bCs/>
                <w:spacing w:val="-2"/>
                <w:sz w:val="24"/>
                <w:szCs w:val="24"/>
              </w:rPr>
              <w:t>）</w:t>
            </w:r>
            <w:r>
              <w:rPr>
                <w:rFonts w:hint="eastAsia" w:ascii="宋体" w:hAnsi="宋体" w:eastAsia="宋体" w:cs="宋体"/>
                <w:spacing w:val="-2"/>
                <w:sz w:val="24"/>
                <w:szCs w:val="24"/>
              </w:rPr>
              <w:t>；</w:t>
            </w:r>
          </w:p>
          <w:p w14:paraId="6CDE3D0D">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三、技术参数</w:t>
            </w:r>
          </w:p>
          <w:p w14:paraId="0D7FC54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1.测量范围：COD：(0-15000)mg/L  氨氮：(0-200)mg/L</w:t>
            </w:r>
          </w:p>
          <w:p w14:paraId="06C98C1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总磷：(0-100)mg/L  总氮：(1-150)mg/L</w:t>
            </w:r>
          </w:p>
          <w:p w14:paraId="4798080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2.示值误差：常规指标≤±5%；其他指标：≤±10%</w:t>
            </w:r>
          </w:p>
          <w:p w14:paraId="622D5D5D">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3.分辨率：0.001Abs</w:t>
            </w:r>
          </w:p>
          <w:p w14:paraId="09BF1F3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4.曲线数量：770</w:t>
            </w:r>
          </w:p>
          <w:p w14:paraId="13CDC02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5.重复性：≤±3%</w:t>
            </w:r>
          </w:p>
          <w:p w14:paraId="0C883D3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6.比色方式：16mm/25mm比色管，旋转管比色</w:t>
            </w:r>
          </w:p>
          <w:p w14:paraId="77E2D38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7.主机显示屏：5吋；720×1280触屏</w:t>
            </w:r>
          </w:p>
          <w:p w14:paraId="17E46690">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8.摄像头像素：1300万</w:t>
            </w:r>
          </w:p>
          <w:p w14:paraId="65A1090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9.主机电池容量：5V 7000mAh</w:t>
            </w:r>
          </w:p>
          <w:p w14:paraId="4621A89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10.存储数据：5000万条</w:t>
            </w:r>
          </w:p>
          <w:p w14:paraId="329C3E1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11.充电方式：Type-C充电接口，AC220V</w:t>
            </w:r>
          </w:p>
          <w:p w14:paraId="7220AAA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12.打印机：外置蓝牙热敏行式打印机</w:t>
            </w:r>
          </w:p>
          <w:p w14:paraId="71EDDE4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13.主机重量：0.7kg</w:t>
            </w:r>
          </w:p>
          <w:p w14:paraId="5AFE9AD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14.主机尺寸：(235×95×83)mm</w:t>
            </w:r>
          </w:p>
          <w:p w14:paraId="405FBAD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15.消解器显示屏：3.5吋触屏</w:t>
            </w:r>
          </w:p>
          <w:p w14:paraId="53C4CFA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16.消解仪控温范围：室温-190℃</w:t>
            </w:r>
          </w:p>
          <w:p w14:paraId="0EC6601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17.消解仪温度示值误差：&lt;±2℃</w:t>
            </w:r>
          </w:p>
          <w:p w14:paraId="7A390CE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18.消解仪温场均匀性：≤2℃</w:t>
            </w:r>
          </w:p>
          <w:p w14:paraId="57DBB10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19.消解模式：内置9种消解模式</w:t>
            </w:r>
          </w:p>
          <w:p w14:paraId="3FA3407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20.定时范围：1-600分钟</w:t>
            </w:r>
          </w:p>
          <w:p w14:paraId="10BC23C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21.定时精度：0.2秒/小时</w:t>
            </w:r>
          </w:p>
          <w:p w14:paraId="1E3CD90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22.供电方式：AC 220V或锂电池</w:t>
            </w:r>
          </w:p>
          <w:p w14:paraId="2DE24AC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23.消解仪重量：2.1kg</w:t>
            </w:r>
          </w:p>
          <w:p w14:paraId="3FD2D4F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24.消解仪尺寸：（135×194×147）mm</w:t>
            </w:r>
          </w:p>
          <w:p w14:paraId="22CDD71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25.便携式锂电池容量：24V/12.8AH</w:t>
            </w:r>
          </w:p>
          <w:p w14:paraId="2F800AD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26.USB口数量：2个</w:t>
            </w:r>
          </w:p>
          <w:p w14:paraId="5A1A01D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27.便携式锂电池重量：2.55kg</w:t>
            </w:r>
          </w:p>
          <w:p w14:paraId="5A7039AD">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28.便携式锂电池尺寸：（180×110×113）mm</w:t>
            </w:r>
          </w:p>
          <w:p w14:paraId="5EC3E2A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29.整机重量（含便携箱、主机、消解器、锂电池及其他所有配件）：13.5kg</w:t>
            </w:r>
          </w:p>
          <w:p w14:paraId="6D1A16D5">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30.整机尺寸：（560*430*280）mm</w:t>
            </w:r>
          </w:p>
          <w:p w14:paraId="7D392F4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31.环境温度：（5-40）℃</w:t>
            </w:r>
          </w:p>
          <w:p w14:paraId="416243A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32.环境湿度：≤85%（无冷凝）</w:t>
            </w:r>
          </w:p>
          <w:p w14:paraId="279CDC2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四、数据处理器及便携式打印机各1套</w:t>
            </w:r>
          </w:p>
          <w:p w14:paraId="3A2B72ED">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1、数据处理器配置：CPU为i5-13500,内存容量：24GB,硬盘容量：1TB,显卡类型：集成显卡，屏幕尺寸：16英寸OLED，配原装包鼠</w:t>
            </w:r>
          </w:p>
          <w:p w14:paraId="0794564E">
            <w:pP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2、便携式打印机规格参数</w:t>
            </w:r>
          </w:p>
          <w:p w14:paraId="2941233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（1）端口：USB、WiFi端口</w:t>
            </w:r>
          </w:p>
          <w:p w14:paraId="6CB7E5F3">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（2）打印功能：非自动双面</w:t>
            </w:r>
          </w:p>
          <w:p w14:paraId="72CC1932">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（3）基础功能：打印</w:t>
            </w:r>
          </w:p>
          <w:p w14:paraId="6F1653F3">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（4）网络打印：支持无线网络打印</w:t>
            </w:r>
          </w:p>
          <w:p w14:paraId="02706719">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（5）最大支持幅面：A4</w:t>
            </w:r>
          </w:p>
          <w:p w14:paraId="666CCDE0">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（6）照片打印：支持照片打印</w:t>
            </w:r>
          </w:p>
        </w:tc>
        <w:tc>
          <w:tcPr>
            <w:tcW w:w="1100" w:type="dxa"/>
          </w:tcPr>
          <w:p w14:paraId="3A29723A">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1套</w:t>
            </w:r>
          </w:p>
        </w:tc>
      </w:tr>
      <w:tr w14:paraId="3D2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Pr>
          <w:p w14:paraId="79C6FDE7">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420" w:type="dxa"/>
          </w:tcPr>
          <w:p w14:paraId="589BE4F7">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采样设备（含采样器、车载转运箱）</w:t>
            </w:r>
          </w:p>
        </w:tc>
        <w:tc>
          <w:tcPr>
            <w:tcW w:w="6900" w:type="dxa"/>
          </w:tcPr>
          <w:p w14:paraId="1DCCC107">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采样器技术参数：</w:t>
            </w:r>
          </w:p>
          <w:p w14:paraId="05932B95">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一、产品特点</w:t>
            </w:r>
          </w:p>
          <w:p w14:paraId="3BBF779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1、抗摔、耐老化、耐腐蚀</w:t>
            </w:r>
          </w:p>
          <w:p w14:paraId="0C82DD6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2、硅橡胶密封，保证所采水样没有遗洒</w:t>
            </w:r>
          </w:p>
          <w:p w14:paraId="0568932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3、304不锈钢配重，避免传统铅块配重对水质造成的交叉污染便于携带，无需电源</w:t>
            </w:r>
          </w:p>
          <w:p w14:paraId="0FA0748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4、质保三年</w:t>
            </w:r>
          </w:p>
          <w:p w14:paraId="7612895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二、主要指标</w:t>
            </w:r>
          </w:p>
          <w:p w14:paraId="3CC3904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1、投放式采样</w:t>
            </w:r>
          </w:p>
          <w:p w14:paraId="0E1A828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2、容量：2.5L</w:t>
            </w:r>
          </w:p>
          <w:p w14:paraId="63B5D6D0">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3、采样深度：标配15米（耐腐蚀耐摩擦专用采样绳）</w:t>
            </w:r>
          </w:p>
          <w:p w14:paraId="60785995">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4、采样环境：无杂草或无其他较大颗粒固体杂质的水中</w:t>
            </w:r>
          </w:p>
          <w:p w14:paraId="58AF454D">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5、工作温度：0℃—60℃</w:t>
            </w:r>
          </w:p>
          <w:p w14:paraId="027958E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6、采桶材质：高强度、高分子材质采样桶</w:t>
            </w:r>
          </w:p>
          <w:p w14:paraId="6102A2B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7、配重材质：304不锈钢，耐腐蚀氧化</w:t>
            </w:r>
          </w:p>
          <w:p w14:paraId="6ACF82C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8、内置温度计显示温度</w:t>
            </w:r>
          </w:p>
          <w:p w14:paraId="3CF14C3B">
            <w:pP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三、样品运输箱技术参数</w:t>
            </w:r>
          </w:p>
          <w:p w14:paraId="322A365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1、快速制冷到-20°C，制冷剂：R134a,可在1小时达到最低温度；</w:t>
            </w:r>
          </w:p>
          <w:p w14:paraId="3574DF5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2、静音防震，冰箱运行时噪音分贝低于45dB；</w:t>
            </w:r>
          </w:p>
          <w:p w14:paraId="2AB1286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3、高效节能，运输箱采用优质隔热层，配备压缩机，平均功率为55W；</w:t>
            </w:r>
          </w:p>
          <w:p w14:paraId="38395F0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4、配有拉杆箱和轮子，便于携带；</w:t>
            </w:r>
          </w:p>
          <w:p w14:paraId="53C27ED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5、风冷设计温度更均匀。</w:t>
            </w:r>
          </w:p>
          <w:p w14:paraId="6F640C8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四、数据处理器及便携式打印机各1套</w:t>
            </w:r>
          </w:p>
          <w:p w14:paraId="2F4CEE2D">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1、数据处理器配置：CPU为i5-13500,内存容量：24GB,硬盘容量：1TB,显卡类型：集成显卡，屏幕尺寸：16英寸OLED，配原装包鼠</w:t>
            </w:r>
          </w:p>
          <w:p w14:paraId="2982EE4C">
            <w:pP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2、便携式打印机规格参数</w:t>
            </w:r>
          </w:p>
          <w:p w14:paraId="390BC39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（1）端口：USB、WiFi端口</w:t>
            </w:r>
          </w:p>
          <w:p w14:paraId="3307FCA9">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（2）打印功能：非自动双面</w:t>
            </w:r>
          </w:p>
          <w:p w14:paraId="26F0A458">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（3）基础功能：打印</w:t>
            </w:r>
          </w:p>
          <w:p w14:paraId="7C433215">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（4）网络打印：支持无线网络打印</w:t>
            </w:r>
          </w:p>
          <w:p w14:paraId="74EB4E54">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（5）最大支持幅面：A4</w:t>
            </w:r>
          </w:p>
          <w:p w14:paraId="4C1ED19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（6）照片打印：支持照片打印</w:t>
            </w:r>
          </w:p>
        </w:tc>
        <w:tc>
          <w:tcPr>
            <w:tcW w:w="1100" w:type="dxa"/>
          </w:tcPr>
          <w:p w14:paraId="16E4FADA">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1套</w:t>
            </w:r>
          </w:p>
        </w:tc>
      </w:tr>
      <w:tr w14:paraId="6CB74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Pr>
          <w:p w14:paraId="7947E829">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420" w:type="dxa"/>
          </w:tcPr>
          <w:p w14:paraId="1A67CDB3">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便携式多普勒流量仪</w:t>
            </w:r>
          </w:p>
        </w:tc>
        <w:tc>
          <w:tcPr>
            <w:tcW w:w="6900" w:type="dxa"/>
          </w:tcPr>
          <w:p w14:paraId="32BD2B8D">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一、产品技术参数</w:t>
            </w:r>
          </w:p>
          <w:p w14:paraId="5149296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1、测量方向：排水管网流量、液位监测</w:t>
            </w:r>
          </w:p>
          <w:p w14:paraId="12AD827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2、测量原理：多普勒+投入式静压</w:t>
            </w:r>
          </w:p>
          <w:p w14:paraId="77A08E2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3、主机防护：防腐、防爆、IP68</w:t>
            </w:r>
          </w:p>
          <w:p w14:paraId="15E2C82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4、工作频率：2000KHz</w:t>
            </w:r>
          </w:p>
          <w:p w14:paraId="48A63AE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5、声路：单声路平面阵列型</w:t>
            </w:r>
          </w:p>
          <w:p w14:paraId="5464155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6、与仪器底部夹角：45°</w:t>
            </w:r>
          </w:p>
          <w:p w14:paraId="45FEBF7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7、流速测量范围：±6m/s  </w:t>
            </w:r>
          </w:p>
          <w:p w14:paraId="04700913">
            <w:pPr>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vertAlign w:val="baseline"/>
                <w:lang w:val="en-US" w:eastAsia="zh-CN"/>
              </w:rPr>
              <w:t>★8、双向测流：支持判断水流方向</w:t>
            </w:r>
            <w:r>
              <w:rPr>
                <w:rFonts w:hint="eastAsia" w:ascii="宋体" w:hAnsi="宋体" w:eastAsia="宋体" w:cs="宋体"/>
                <w:b/>
                <w:bCs/>
                <w:sz w:val="24"/>
                <w:szCs w:val="24"/>
                <w:vertAlign w:val="baseline"/>
                <w:lang w:val="en-US" w:eastAsia="zh-CN"/>
              </w:rPr>
              <w:t>（需提供具有 CMA或 CNAS 标识的第三方检测报告或提供第三方权威机构证明材料）</w:t>
            </w:r>
          </w:p>
          <w:p w14:paraId="2CC6FA93">
            <w:pPr>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vertAlign w:val="baseline"/>
                <w:lang w:val="en-US" w:eastAsia="zh-CN"/>
              </w:rPr>
              <w:t>9、流速测量精度：±1.0% FS</w:t>
            </w:r>
          </w:p>
          <w:p w14:paraId="1E65E46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10、流速分辨率：0.001m/s</w:t>
            </w:r>
          </w:p>
          <w:p w14:paraId="0F8823A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11、温度传感器测量范围：－25℃～75℃</w:t>
            </w:r>
          </w:p>
          <w:p w14:paraId="05736C1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12、水温测量精度：0.4℃</w:t>
            </w:r>
          </w:p>
          <w:p w14:paraId="3D6CCCB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13、内置压力传感器：</w:t>
            </w:r>
          </w:p>
          <w:p w14:paraId="790D107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14、水位测量范围：0-10m</w:t>
            </w:r>
          </w:p>
          <w:p w14:paraId="6F750CD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15、水位测量精度：±0.1%FS</w:t>
            </w:r>
          </w:p>
          <w:p w14:paraId="2E2AA74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16、瞬时流量范围：0.001-65.535立方米/秒</w:t>
            </w:r>
          </w:p>
          <w:p w14:paraId="40B00E5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17、数据输出：实时水位、单元流速、正逆流、断面面积、流量、水量等数据</w:t>
            </w:r>
          </w:p>
          <w:p w14:paraId="53FD80B5">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18、工作温度：－10℃～60℃</w:t>
            </w:r>
          </w:p>
          <w:p w14:paraId="64B5956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19、存贮温度：－20℃～70℃</w:t>
            </w:r>
          </w:p>
          <w:p w14:paraId="42009614">
            <w:pPr>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vertAlign w:val="baseline"/>
                <w:lang w:val="en-US" w:eastAsia="zh-CN"/>
              </w:rPr>
              <w:t>★20、防爆认证：Ex ia IIC T6 Ga</w:t>
            </w:r>
            <w:r>
              <w:rPr>
                <w:rFonts w:hint="eastAsia" w:ascii="宋体" w:hAnsi="宋体" w:eastAsia="宋体" w:cs="宋体"/>
                <w:b/>
                <w:bCs/>
                <w:sz w:val="24"/>
                <w:szCs w:val="24"/>
                <w:vertAlign w:val="baseline"/>
                <w:lang w:val="en-US" w:eastAsia="zh-CN"/>
              </w:rPr>
              <w:t xml:space="preserve">（需提供国家低压防爆电器质量检验检测中心出具的防爆检验报告） </w:t>
            </w:r>
          </w:p>
          <w:p w14:paraId="3D58DFC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★21、防护等级：IP68</w:t>
            </w:r>
            <w:r>
              <w:rPr>
                <w:rFonts w:hint="eastAsia" w:ascii="宋体" w:hAnsi="宋体" w:eastAsia="宋体" w:cs="宋体"/>
                <w:b/>
                <w:bCs/>
                <w:sz w:val="24"/>
                <w:szCs w:val="24"/>
                <w:vertAlign w:val="baseline"/>
                <w:lang w:val="en-US" w:eastAsia="zh-CN"/>
              </w:rPr>
              <w:t>（需提供具有 CMA或 CNAS 标识的第三方检测报告或提供第三方权威机构证明材料）</w:t>
            </w:r>
          </w:p>
          <w:p w14:paraId="3726D43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22、工作电压：DC 7~15V</w:t>
            </w:r>
          </w:p>
          <w:p w14:paraId="468BFE3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23、工作压力：最大10bar</w:t>
            </w:r>
          </w:p>
          <w:p w14:paraId="3AA12EED">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★24、空载功耗：≤0.28W 额定电压：≤0.5W</w:t>
            </w:r>
            <w:r>
              <w:rPr>
                <w:rFonts w:hint="eastAsia" w:ascii="宋体" w:hAnsi="宋体" w:eastAsia="宋体" w:cs="宋体"/>
                <w:b/>
                <w:bCs/>
                <w:sz w:val="24"/>
                <w:szCs w:val="24"/>
                <w:vertAlign w:val="baseline"/>
                <w:lang w:val="en-US" w:eastAsia="zh-CN"/>
              </w:rPr>
              <w:t>（需提供具有 CMA或 CNAS 标识的第三方检测报告或提供第三方权威机构证明材料）</w:t>
            </w:r>
          </w:p>
          <w:p w14:paraId="7291E4D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25、通讯协议：MODBUS-RTU/RS485</w:t>
            </w:r>
          </w:p>
          <w:p w14:paraId="1700AE8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26、内置各种面积模型计算公式：圆形、梯形、矩形、费规则断面</w:t>
            </w:r>
          </w:p>
          <w:p w14:paraId="2ACB2272">
            <w:pPr>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vertAlign w:val="baseline"/>
                <w:lang w:val="en-US" w:eastAsia="zh-CN"/>
              </w:rPr>
              <w:t>★27、外壳具有耐腐蚀盐雾报告：</w:t>
            </w:r>
            <w:r>
              <w:rPr>
                <w:rFonts w:hint="eastAsia" w:ascii="宋体" w:hAnsi="宋体" w:eastAsia="宋体" w:cs="宋体"/>
                <w:b/>
                <w:bCs/>
                <w:sz w:val="24"/>
                <w:szCs w:val="24"/>
                <w:vertAlign w:val="baseline"/>
                <w:lang w:val="en-US" w:eastAsia="zh-CN"/>
              </w:rPr>
              <w:t>（符合GB/T 2423.17-2008标准，需提供具有CNAS认证检测机构出具的盐雾检测报告，测试时间不小于300小时）</w:t>
            </w:r>
          </w:p>
          <w:p w14:paraId="256E597D">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★28、配置软件：提供配套专用软件，可在电脑上显示监测数据和配置参数，可以显示流速、水位、瞬时流量、温度、累计水量和设备倾角等实时数据。</w:t>
            </w:r>
            <w:r>
              <w:rPr>
                <w:rFonts w:hint="eastAsia" w:ascii="宋体" w:hAnsi="宋体" w:eastAsia="宋体" w:cs="宋体"/>
                <w:b/>
                <w:bCs/>
                <w:sz w:val="24"/>
                <w:szCs w:val="24"/>
                <w:vertAlign w:val="baseline"/>
                <w:lang w:val="en-US" w:eastAsia="zh-CN"/>
              </w:rPr>
              <w:t>（需提供具有CMA或CNAS标识的第三方检测报告或提供第三方权威机构证明材料）</w:t>
            </w:r>
          </w:p>
          <w:p w14:paraId="2177D037">
            <w:pPr>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vertAlign w:val="baseline"/>
                <w:lang w:val="en-US" w:eastAsia="zh-CN"/>
              </w:rPr>
              <w:t>★29、内置面积计算模型具备梯形、圆形、矩形、非规则模型。</w:t>
            </w:r>
            <w:r>
              <w:rPr>
                <w:rFonts w:hint="eastAsia" w:ascii="宋体" w:hAnsi="宋体" w:eastAsia="宋体" w:cs="宋体"/>
                <w:b/>
                <w:bCs/>
                <w:sz w:val="24"/>
                <w:szCs w:val="24"/>
                <w:vertAlign w:val="baseline"/>
                <w:lang w:val="en-US" w:eastAsia="zh-CN"/>
              </w:rPr>
              <w:t>（需提供具有CMA或CNAS标识的第三方检测报告或提供第三方权威机构证明材料）</w:t>
            </w:r>
          </w:p>
          <w:p w14:paraId="320CB47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30、传感器尺寸：220*68*30mm</w:t>
            </w:r>
          </w:p>
          <w:p w14:paraId="3CC8549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31、空气中质量：1.5Kg</w:t>
            </w:r>
          </w:p>
          <w:p w14:paraId="14C5110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32、水中质量：0.3Kg</w:t>
            </w:r>
          </w:p>
          <w:p w14:paraId="3D1E875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33、平均无故障工作时间：≥25000h </w:t>
            </w:r>
          </w:p>
          <w:p w14:paraId="591FA50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二、数据处理器及便携式打印机各1套</w:t>
            </w:r>
          </w:p>
          <w:p w14:paraId="13DB090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1、数据处理器配置：CPU为i5-13500,内存容量：24GB,硬盘容量：1TB,显卡类型：集成显卡，屏幕尺寸：16英寸OLED，配原装包鼠</w:t>
            </w:r>
          </w:p>
          <w:p w14:paraId="3C8F8AA5">
            <w:pP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2、便携式打印机规格参数</w:t>
            </w:r>
          </w:p>
          <w:p w14:paraId="0F73B7F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（1）端口：USB、WiFi端口</w:t>
            </w:r>
          </w:p>
          <w:p w14:paraId="6282AB45">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（2）打印功能：非自动双面</w:t>
            </w:r>
          </w:p>
          <w:p w14:paraId="318FADEE">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（3）基础功能：打印</w:t>
            </w:r>
          </w:p>
          <w:p w14:paraId="15E6CD6F">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（4）网络打印：支持无线网络打印</w:t>
            </w:r>
          </w:p>
          <w:p w14:paraId="317D9A4B">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（5）最大支持幅面：A4</w:t>
            </w:r>
          </w:p>
          <w:p w14:paraId="6107044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（6）照片打印：支持照片打印</w:t>
            </w:r>
          </w:p>
        </w:tc>
        <w:tc>
          <w:tcPr>
            <w:tcW w:w="1100" w:type="dxa"/>
          </w:tcPr>
          <w:p w14:paraId="0341A8B4">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1套</w:t>
            </w:r>
          </w:p>
        </w:tc>
      </w:tr>
      <w:tr w14:paraId="690F8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Pr>
          <w:p w14:paraId="65848E76">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1420" w:type="dxa"/>
          </w:tcPr>
          <w:p w14:paraId="6A5E52FB">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快检试剂包</w:t>
            </w:r>
          </w:p>
        </w:tc>
        <w:tc>
          <w:tcPr>
            <w:tcW w:w="6900" w:type="dxa"/>
          </w:tcPr>
          <w:p w14:paraId="03BE6C73">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产品技术参数：</w:t>
            </w:r>
          </w:p>
          <w:p w14:paraId="4A30225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1、检测原理：采用样品消解、比色法测量，冷光源及微电脑自动处理数据，数据准确；</w:t>
            </w:r>
          </w:p>
          <w:p w14:paraId="3D5F080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2、大显示屏：≥2.6 寸液晶显示屏；</w:t>
            </w:r>
          </w:p>
          <w:p w14:paraId="4ED5028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3、操作：设备带预制试剂，操作简便；</w:t>
            </w:r>
          </w:p>
          <w:p w14:paraId="7FA709F5">
            <w:pPr>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sz w:val="24"/>
                <w:szCs w:val="24"/>
                <w:vertAlign w:val="baseline"/>
                <w:lang w:val="en-US" w:eastAsia="zh-CN"/>
              </w:rPr>
              <w:t>4、光源：采用单通道四光源，寿命长达7万小时。</w:t>
            </w:r>
            <w:r>
              <w:rPr>
                <w:rFonts w:hint="eastAsia" w:ascii="宋体" w:hAnsi="宋体" w:eastAsia="宋体" w:cs="宋体"/>
                <w:b/>
                <w:bCs/>
                <w:sz w:val="24"/>
                <w:szCs w:val="24"/>
                <w:vertAlign w:val="baseline"/>
                <w:lang w:val="en-US" w:eastAsia="zh-CN"/>
              </w:rPr>
              <w:t>（需提供设备实物图片，加盖生产厂家公章）</w:t>
            </w:r>
          </w:p>
          <w:p w14:paraId="4DF6E74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5、检测项目：土壤常见重金属：铅、砷、汞、铬、镉、铁、锰、锌、铜、镍、铝，试剂盒规格不小于50次；水质常规指标：COD、氨氮、总磷、总氮、六价铬，试剂盒规格不小于25次；</w:t>
            </w:r>
          </w:p>
          <w:p w14:paraId="6EE4FB4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6、比色法测量采用土壤质地比色装置，提升土壤比色的准确性。</w:t>
            </w:r>
          </w:p>
          <w:p w14:paraId="49FFEF90">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7、系统搭载高智能土壤多参数检测系统，提供具有计算机软件著作权。</w:t>
            </w:r>
          </w:p>
          <w:p w14:paraId="03115DF0">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8、检测主机提供国际9类商标，重金属试剂提供国际1类商标。</w:t>
            </w:r>
          </w:p>
          <w:p w14:paraId="151C294D">
            <w:pPr>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vertAlign w:val="baseline"/>
                <w:lang w:val="en-US" w:eastAsia="zh-CN"/>
              </w:rPr>
              <w:t>9、仪器透射比准确度≥±0.4%</w:t>
            </w:r>
          </w:p>
          <w:p w14:paraId="30EF7DAB">
            <w:pPr>
              <w:rPr>
                <w:rFonts w:hint="eastAsia" w:ascii="宋体" w:hAnsi="宋体" w:eastAsia="宋体" w:cs="宋体"/>
                <w:b/>
                <w:bCs/>
                <w:sz w:val="24"/>
                <w:szCs w:val="24"/>
                <w:vertAlign w:val="baseline"/>
                <w:lang w:val="en-US" w:eastAsia="zh-CN"/>
              </w:rPr>
            </w:pPr>
            <w:r>
              <w:rPr>
                <w:rFonts w:hint="eastAsia" w:ascii="宋体" w:hAnsi="宋体" w:eastAsia="宋体" w:cs="宋体"/>
                <w:sz w:val="24"/>
                <w:szCs w:val="24"/>
                <w:vertAlign w:val="baseline"/>
                <w:lang w:val="en-US" w:eastAsia="zh-CN"/>
              </w:rPr>
              <w:t xml:space="preserve">10、仪器重复性≤±0.3% </w:t>
            </w:r>
          </w:p>
          <w:p w14:paraId="3A414C3B">
            <w:pPr>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sz w:val="24"/>
                <w:szCs w:val="24"/>
                <w:vertAlign w:val="baseline"/>
                <w:lang w:val="en-US" w:eastAsia="zh-CN"/>
              </w:rPr>
              <w:t>11、仪器稳定性≤0.003A/5分钟（仪器预热20分钟后）</w:t>
            </w:r>
            <w:r>
              <w:rPr>
                <w:rFonts w:hint="eastAsia" w:ascii="宋体" w:hAnsi="宋体" w:eastAsia="宋体" w:cs="宋体"/>
                <w:b/>
                <w:bCs/>
                <w:sz w:val="24"/>
                <w:szCs w:val="24"/>
                <w:vertAlign w:val="baseline"/>
                <w:lang w:val="en-US" w:eastAsia="zh-CN"/>
              </w:rPr>
              <w:t>（需提供具有省级以上计量单位出具的校准证书）</w:t>
            </w:r>
          </w:p>
          <w:p w14:paraId="76581AE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12、配置清单：土壤重金属快检主机、土壤重金属（铅铬镉砷汞）试剂盒、比色皿、电子天平、吸管、洗瓶、称样勺、定性滤纸、量筒、浸提瓶、反应试管、小铝盒、电源适配器、使用手册、合格证/保修卡。</w:t>
            </w:r>
          </w:p>
        </w:tc>
        <w:tc>
          <w:tcPr>
            <w:tcW w:w="1100" w:type="dxa"/>
          </w:tcPr>
          <w:p w14:paraId="5EE49178">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1套</w:t>
            </w:r>
          </w:p>
        </w:tc>
      </w:tr>
      <w:tr w14:paraId="09E52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Pr>
          <w:p w14:paraId="72F03E4D">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w:t>
            </w:r>
          </w:p>
        </w:tc>
        <w:tc>
          <w:tcPr>
            <w:tcW w:w="1420" w:type="dxa"/>
          </w:tcPr>
          <w:p w14:paraId="468D6A31">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激光测距仪</w:t>
            </w:r>
          </w:p>
        </w:tc>
        <w:tc>
          <w:tcPr>
            <w:tcW w:w="6900" w:type="dxa"/>
          </w:tcPr>
          <w:p w14:paraId="3DC5F449">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一、仪器技术参数：</w:t>
            </w:r>
          </w:p>
          <w:p w14:paraId="3EB875B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1、测距范围：0-2000米</w:t>
            </w:r>
          </w:p>
          <w:p w14:paraId="1801DC2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2、测距精度：±0.1m（＜400m）、±0.5m（400m-2000m）</w:t>
            </w:r>
          </w:p>
          <w:p w14:paraId="427A255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3、测倾斜角：量程：90° 精度±0.1°</w:t>
            </w:r>
          </w:p>
          <w:p w14:paraId="0F53F7D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4、测距模式：</w:t>
            </w:r>
            <w:r>
              <w:rPr>
                <w:rFonts w:hint="eastAsia" w:ascii="宋体" w:hAnsi="宋体" w:eastAsia="宋体" w:cs="宋体"/>
                <w:sz w:val="24"/>
                <w:szCs w:val="24"/>
                <w:vertAlign w:val="baseline"/>
                <w:lang w:val="en-US" w:eastAsia="zh-CN"/>
              </w:rPr>
              <w:tab/>
            </w:r>
          </w:p>
          <w:p w14:paraId="79942F10">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HD SD（单点测水平距/直线距离）</w:t>
            </w:r>
          </w:p>
          <w:p w14:paraId="6F198F1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VD（单点测垂直高差/倾角）  </w:t>
            </w:r>
          </w:p>
          <w:p w14:paraId="74C9EF7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SPD（单点测速模式）</w:t>
            </w:r>
          </w:p>
          <w:p w14:paraId="1556365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5、侧屏：有</w:t>
            </w:r>
          </w:p>
          <w:p w14:paraId="18F6B0A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6、字体：红/黑色可选</w:t>
            </w:r>
          </w:p>
          <w:p w14:paraId="351AC46D">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7、光感（亮度可用户自行调节）：红屏可调</w:t>
            </w:r>
          </w:p>
          <w:p w14:paraId="0016093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8、震动提示：是</w:t>
            </w:r>
          </w:p>
          <w:p w14:paraId="787EAB9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9、光学放大：7倍</w:t>
            </w:r>
          </w:p>
          <w:p w14:paraId="65425E6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10、测距分辨率：0.1m</w:t>
            </w:r>
          </w:p>
          <w:p w14:paraId="673C0A8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11、温度显示：是</w:t>
            </w:r>
          </w:p>
          <w:p w14:paraId="34DDEDB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12、蓝牙：是</w:t>
            </w:r>
          </w:p>
          <w:p w14:paraId="5DC1DF4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13、视场：8°</w:t>
            </w:r>
          </w:p>
          <w:p w14:paraId="6A56B67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14、防护等级：IP65</w:t>
            </w:r>
          </w:p>
          <w:p w14:paraId="2E0A11A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15、激光波长：905nm</w:t>
            </w:r>
          </w:p>
          <w:p w14:paraId="39AB242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16、激光安全等级：Class1</w:t>
            </w:r>
          </w:p>
          <w:p w14:paraId="63392B2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17、操作方式：竖握</w:t>
            </w:r>
          </w:p>
          <w:p w14:paraId="51CA6A2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18、测距单位：米/码/英尺</w:t>
            </w:r>
          </w:p>
          <w:p w14:paraId="0BCEAE1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19、电池类型：CR123A*1节</w:t>
            </w:r>
          </w:p>
          <w:p w14:paraId="7D2C987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20、作业时间：连续工作16小时</w:t>
            </w:r>
          </w:p>
          <w:p w14:paraId="00007EB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21、尺寸：</w:t>
            </w:r>
            <w:r>
              <w:rPr>
                <w:rFonts w:hint="eastAsia" w:ascii="宋体" w:hAnsi="宋体" w:eastAsia="宋体" w:cs="宋体"/>
                <w:sz w:val="24"/>
                <w:szCs w:val="24"/>
                <w:vertAlign w:val="baseline"/>
                <w:lang w:val="en-US" w:eastAsia="zh-CN"/>
              </w:rPr>
              <w:tab/>
            </w:r>
            <w:r>
              <w:rPr>
                <w:rFonts w:hint="eastAsia" w:ascii="宋体" w:hAnsi="宋体" w:eastAsia="宋体" w:cs="宋体"/>
                <w:sz w:val="24"/>
                <w:szCs w:val="24"/>
                <w:vertAlign w:val="baseline"/>
                <w:lang w:val="en-US" w:eastAsia="zh-CN"/>
              </w:rPr>
              <w:t>115*70*45mm</w:t>
            </w:r>
          </w:p>
          <w:p w14:paraId="72F39C5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22、重量：400g</w:t>
            </w:r>
          </w:p>
          <w:p w14:paraId="0C9DF2E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23、数据储存：100组</w:t>
            </w:r>
          </w:p>
          <w:p w14:paraId="392D19E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24、系统设置：一键出厂设置</w:t>
            </w:r>
          </w:p>
          <w:p w14:paraId="1421EFD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二、数据处理器及便携式打印机各1套</w:t>
            </w:r>
          </w:p>
          <w:p w14:paraId="2F6BFE1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1、数据处理器配置：CPU为i5-13500,内存容量：24GB,硬盘容量：1TB,显卡类型：集成显卡，屏幕尺寸：16英寸OLED，配原装包鼠</w:t>
            </w:r>
          </w:p>
          <w:p w14:paraId="012C150A">
            <w:pP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2、便携式打印机规格参数</w:t>
            </w:r>
          </w:p>
          <w:p w14:paraId="2AE2568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（1）端口：USB、WiFi端口</w:t>
            </w:r>
          </w:p>
          <w:p w14:paraId="3AE1C52B">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（2）打印功能：非自动双面</w:t>
            </w:r>
          </w:p>
          <w:p w14:paraId="049BB6EE">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（3）基础功能：打印</w:t>
            </w:r>
          </w:p>
          <w:p w14:paraId="34368DB6">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（4）网络打印：支持无线网络打印</w:t>
            </w:r>
          </w:p>
          <w:p w14:paraId="7F8DCBF7">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（5）最大支持幅面：A4</w:t>
            </w:r>
          </w:p>
          <w:p w14:paraId="1286AD8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（6）照片打印：支持照片打印</w:t>
            </w:r>
          </w:p>
        </w:tc>
        <w:tc>
          <w:tcPr>
            <w:tcW w:w="1100" w:type="dxa"/>
          </w:tcPr>
          <w:p w14:paraId="53DB76FB">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1套</w:t>
            </w:r>
          </w:p>
        </w:tc>
      </w:tr>
      <w:tr w14:paraId="2D71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Pr>
          <w:p w14:paraId="55F4618C">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w:t>
            </w:r>
          </w:p>
        </w:tc>
        <w:tc>
          <w:tcPr>
            <w:tcW w:w="1420" w:type="dxa"/>
          </w:tcPr>
          <w:p w14:paraId="408E373C">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移动源执法监测设备</w:t>
            </w:r>
          </w:p>
        </w:tc>
        <w:tc>
          <w:tcPr>
            <w:tcW w:w="6900" w:type="dxa"/>
            <w:shd w:val="clear" w:color="auto" w:fill="auto"/>
            <w:vAlign w:val="top"/>
          </w:tcPr>
          <w:p w14:paraId="5194740C">
            <w:pPr>
              <w:rPr>
                <w:rFonts w:hint="eastAsia" w:ascii="宋体" w:hAnsi="宋体" w:eastAsia="宋体" w:cs="宋体"/>
                <w:b/>
                <w:bCs/>
                <w:sz w:val="24"/>
                <w:szCs w:val="24"/>
              </w:rPr>
            </w:pPr>
            <w:r>
              <w:rPr>
                <w:rFonts w:hint="eastAsia" w:ascii="宋体" w:hAnsi="宋体" w:eastAsia="宋体" w:cs="宋体"/>
                <w:b/>
                <w:bCs/>
                <w:sz w:val="24"/>
                <w:szCs w:val="24"/>
              </w:rPr>
              <w:t>一、便携式不透光烟度仪技术参数</w:t>
            </w:r>
          </w:p>
          <w:p w14:paraId="3DA6778D">
            <w:pPr>
              <w:rPr>
                <w:rFonts w:hint="eastAsia" w:ascii="宋体" w:hAnsi="宋体" w:eastAsia="宋体" w:cs="宋体"/>
                <w:sz w:val="24"/>
                <w:szCs w:val="24"/>
              </w:rPr>
            </w:pPr>
            <w:r>
              <w:rPr>
                <w:rFonts w:hint="eastAsia" w:ascii="宋体" w:hAnsi="宋体" w:eastAsia="宋体" w:cs="宋体"/>
                <w:sz w:val="24"/>
                <w:szCs w:val="24"/>
              </w:rPr>
              <w:t>1.1性能特点要求：</w:t>
            </w:r>
          </w:p>
          <w:p w14:paraId="7954DE58">
            <w:pPr>
              <w:rPr>
                <w:rFonts w:hint="eastAsia" w:ascii="宋体" w:hAnsi="宋体" w:eastAsia="宋体" w:cs="宋体"/>
                <w:sz w:val="24"/>
                <w:szCs w:val="24"/>
              </w:rPr>
            </w:pPr>
            <w:r>
              <w:rPr>
                <w:rFonts w:hint="eastAsia" w:ascii="宋体" w:hAnsi="宋体" w:eastAsia="宋体" w:cs="宋体"/>
                <w:sz w:val="24"/>
                <w:szCs w:val="24"/>
              </w:rPr>
              <w:t>（1）仪器采用工业平板进行显示，显示仪表单位包括消光系数K值(m-1)、不透光度N值(%)、不透光度Ns值(%)同时显示，均应以光全通过时为0全遮挡时为满量程；同时显示机油温度</w:t>
            </w:r>
            <w:r>
              <w:rPr>
                <w:rFonts w:hint="eastAsia" w:ascii="宋体" w:hAnsi="宋体" w:eastAsia="宋体" w:cs="宋体"/>
                <w:b/>
                <w:bCs/>
                <w:sz w:val="24"/>
                <w:szCs w:val="24"/>
              </w:rPr>
              <w:t>（℃）、</w:t>
            </w:r>
            <w:r>
              <w:rPr>
                <w:rFonts w:hint="eastAsia" w:ascii="宋体" w:hAnsi="宋体" w:eastAsia="宋体" w:cs="宋体"/>
                <w:sz w:val="24"/>
                <w:szCs w:val="24"/>
              </w:rPr>
              <w:t>发动机转速（rpm）值。</w:t>
            </w:r>
          </w:p>
          <w:p w14:paraId="589B26E6">
            <w:pPr>
              <w:rPr>
                <w:rFonts w:hint="eastAsia" w:ascii="宋体" w:hAnsi="宋体" w:eastAsia="宋体" w:cs="宋体"/>
                <w:sz w:val="24"/>
                <w:szCs w:val="24"/>
              </w:rPr>
            </w:pPr>
            <w:r>
              <w:rPr>
                <w:rFonts w:hint="eastAsia" w:ascii="宋体" w:hAnsi="宋体" w:eastAsia="宋体" w:cs="宋体"/>
                <w:sz w:val="24"/>
                <w:szCs w:val="24"/>
              </w:rPr>
              <w:t>（2）仪器轻便，带有自动调整和校准、自动风扇管理、自动加热管理功能。</w:t>
            </w:r>
          </w:p>
          <w:p w14:paraId="1BB6D8CA">
            <w:pPr>
              <w:rPr>
                <w:rFonts w:hint="eastAsia" w:ascii="宋体" w:hAnsi="宋体" w:eastAsia="宋体" w:cs="宋体"/>
                <w:sz w:val="24"/>
                <w:szCs w:val="24"/>
              </w:rPr>
            </w:pPr>
            <w:r>
              <w:rPr>
                <w:rFonts w:hint="eastAsia" w:ascii="宋体" w:hAnsi="宋体" w:eastAsia="宋体" w:cs="宋体"/>
                <w:sz w:val="24"/>
                <w:szCs w:val="24"/>
              </w:rPr>
              <w:t>（3）仪器本体要求配备可重复充电电池，电池能用不少于连续使用5小时。</w:t>
            </w:r>
          </w:p>
          <w:p w14:paraId="1F47089C">
            <w:pPr>
              <w:rPr>
                <w:rFonts w:hint="eastAsia" w:ascii="宋体" w:hAnsi="宋体" w:eastAsia="宋体" w:cs="宋体"/>
                <w:sz w:val="24"/>
                <w:szCs w:val="24"/>
              </w:rPr>
            </w:pPr>
            <w:r>
              <w:rPr>
                <w:rFonts w:hint="eastAsia" w:ascii="宋体" w:hAnsi="宋体" w:eastAsia="宋体" w:cs="宋体"/>
                <w:sz w:val="24"/>
                <w:szCs w:val="24"/>
              </w:rPr>
              <w:t>（4）电池与烟度计主机应采用便携式一体化设计方式，主机要求内置直流电源供电并具备电量、功率、电流、电压及使用时间显示功能，也可采用交流220V供电，主机（含电池）重量不超7kg，检测设备要求小巧，轻便易携带，便于在车上及非道路移动机械上存放。</w:t>
            </w:r>
          </w:p>
          <w:p w14:paraId="57131C12">
            <w:pPr>
              <w:rPr>
                <w:rFonts w:hint="eastAsia" w:ascii="宋体" w:hAnsi="宋体" w:eastAsia="宋体" w:cs="宋体"/>
                <w:sz w:val="24"/>
                <w:szCs w:val="24"/>
              </w:rPr>
            </w:pPr>
            <w:r>
              <w:rPr>
                <w:rFonts w:hint="eastAsia" w:ascii="宋体" w:hAnsi="宋体" w:eastAsia="宋体" w:cs="宋体"/>
                <w:sz w:val="24"/>
                <w:szCs w:val="24"/>
              </w:rPr>
              <w:t>（5）设备要求具备50%自动线性检测标定功能，可不需标定晶片进行标定。</w:t>
            </w:r>
          </w:p>
          <w:p w14:paraId="0A546A34">
            <w:pPr>
              <w:rPr>
                <w:rFonts w:hint="eastAsia" w:ascii="宋体" w:hAnsi="宋体" w:eastAsia="宋体" w:cs="宋体"/>
                <w:sz w:val="24"/>
                <w:szCs w:val="24"/>
              </w:rPr>
            </w:pPr>
            <w:r>
              <w:rPr>
                <w:rFonts w:hint="eastAsia" w:ascii="宋体" w:hAnsi="宋体" w:eastAsia="宋体" w:cs="宋体"/>
                <w:sz w:val="24"/>
                <w:szCs w:val="24"/>
              </w:rPr>
              <w:t>（6）所配平板电脑屏幕不小于10.1英寸，色彩不低于1600万色；存储容量不小于128GB，支持扩展容量；电池容量不小于5000mAh/7.6V，并具备IP65、节能认证相关等级认证；</w:t>
            </w:r>
          </w:p>
          <w:p w14:paraId="3E445F93">
            <w:pPr>
              <w:rPr>
                <w:rFonts w:hint="eastAsia" w:ascii="宋体" w:hAnsi="宋体" w:eastAsia="宋体" w:cs="宋体"/>
                <w:sz w:val="24"/>
                <w:szCs w:val="24"/>
              </w:rPr>
            </w:pPr>
            <w:r>
              <w:rPr>
                <w:rFonts w:hint="eastAsia" w:ascii="宋体" w:hAnsi="宋体" w:eastAsia="宋体" w:cs="宋体"/>
                <w:sz w:val="24"/>
                <w:szCs w:val="24"/>
              </w:rPr>
              <w:t>（7）主机与平板可通过无线wifi或有线连接，微型打印机采用无线蓝牙通信，模块化设计,紧凑设计、移动便携；</w:t>
            </w:r>
          </w:p>
          <w:p w14:paraId="5D4FBB24">
            <w:pPr>
              <w:rPr>
                <w:rFonts w:hint="eastAsia" w:ascii="宋体" w:hAnsi="宋体" w:eastAsia="宋体" w:cs="宋体"/>
                <w:sz w:val="24"/>
                <w:szCs w:val="24"/>
              </w:rPr>
            </w:pPr>
            <w:r>
              <w:rPr>
                <w:rFonts w:hint="eastAsia" w:ascii="宋体" w:hAnsi="宋体" w:eastAsia="宋体" w:cs="宋体"/>
                <w:sz w:val="24"/>
                <w:szCs w:val="24"/>
              </w:rPr>
              <w:t>（8）同时具备两种供电模式：220V供电模式和电池供电模式，可自由切换；</w:t>
            </w:r>
          </w:p>
          <w:p w14:paraId="69075B6D">
            <w:pPr>
              <w:rPr>
                <w:rFonts w:hint="eastAsia" w:ascii="宋体" w:hAnsi="宋体" w:eastAsia="宋体" w:cs="宋体"/>
                <w:sz w:val="24"/>
                <w:szCs w:val="24"/>
              </w:rPr>
            </w:pPr>
            <w:r>
              <w:rPr>
                <w:rFonts w:hint="eastAsia" w:ascii="宋体" w:hAnsi="宋体" w:eastAsia="宋体" w:cs="宋体"/>
                <w:sz w:val="24"/>
                <w:szCs w:val="24"/>
              </w:rPr>
              <w:t>（9）测量结束后，设备自动生成检测报告，判断是否合格，可选择实时打印或保存，具有数据保存、查询、导出及补打报告功能。</w:t>
            </w:r>
          </w:p>
          <w:p w14:paraId="55366580">
            <w:pPr>
              <w:rPr>
                <w:rFonts w:hint="eastAsia" w:ascii="宋体" w:hAnsi="宋体" w:eastAsia="宋体" w:cs="宋体"/>
                <w:b/>
                <w:bCs/>
                <w:sz w:val="24"/>
                <w:szCs w:val="24"/>
              </w:rPr>
            </w:pPr>
            <w:r>
              <w:rPr>
                <w:rFonts w:hint="eastAsia" w:ascii="宋体" w:hAnsi="宋体" w:eastAsia="宋体" w:cs="宋体"/>
                <w:sz w:val="24"/>
                <w:szCs w:val="24"/>
              </w:rPr>
              <w:t>（10）设备须具备智能电子车牌自动快速识别功能；</w:t>
            </w:r>
          </w:p>
          <w:p w14:paraId="4DE1A35D">
            <w:pPr>
              <w:rPr>
                <w:rFonts w:hint="eastAsia" w:ascii="宋体" w:hAnsi="宋体" w:eastAsia="宋体" w:cs="宋体"/>
                <w:sz w:val="24"/>
                <w:szCs w:val="24"/>
              </w:rPr>
            </w:pPr>
            <w:r>
              <w:rPr>
                <w:rFonts w:hint="eastAsia" w:ascii="宋体" w:hAnsi="宋体" w:eastAsia="宋体" w:cs="宋体"/>
                <w:sz w:val="24"/>
                <w:szCs w:val="24"/>
              </w:rPr>
              <w:t>（11）设备本身要求具有完全符合JJG976-2024的相关检定规程。</w:t>
            </w:r>
          </w:p>
          <w:p w14:paraId="4B6F8973">
            <w:pPr>
              <w:rPr>
                <w:rFonts w:hint="eastAsia" w:ascii="宋体" w:hAnsi="宋体" w:eastAsia="宋体" w:cs="宋体"/>
                <w:sz w:val="24"/>
                <w:szCs w:val="24"/>
              </w:rPr>
            </w:pPr>
            <w:r>
              <w:rPr>
                <w:rFonts w:hint="eastAsia" w:ascii="宋体" w:hAnsi="宋体" w:eastAsia="宋体" w:cs="宋体"/>
                <w:sz w:val="24"/>
                <w:szCs w:val="24"/>
              </w:rPr>
              <w:t>（12）OBD诊断仪要求至少能支持SAE J1939、 ISO-14230、 ISO-14229、ISO-15031、 ISO-15765、 ISO-27145等要求。</w:t>
            </w:r>
          </w:p>
          <w:p w14:paraId="6710770D">
            <w:pPr>
              <w:rPr>
                <w:rFonts w:hint="eastAsia" w:ascii="宋体" w:hAnsi="宋体" w:eastAsia="宋体" w:cs="宋体"/>
                <w:sz w:val="24"/>
                <w:szCs w:val="24"/>
              </w:rPr>
            </w:pPr>
            <w:r>
              <w:rPr>
                <w:rFonts w:hint="eastAsia" w:ascii="宋体" w:hAnsi="宋体" w:eastAsia="宋体" w:cs="宋体"/>
                <w:sz w:val="24"/>
                <w:szCs w:val="24"/>
              </w:rPr>
              <w:t>1.2技术参数要求：</w:t>
            </w:r>
          </w:p>
          <w:p w14:paraId="215FB421">
            <w:pPr>
              <w:rPr>
                <w:rFonts w:hint="eastAsia" w:ascii="宋体" w:hAnsi="宋体" w:eastAsia="宋体" w:cs="宋体"/>
                <w:sz w:val="24"/>
                <w:szCs w:val="24"/>
              </w:rPr>
            </w:pPr>
            <w:r>
              <w:rPr>
                <w:rFonts w:hint="eastAsia" w:ascii="宋体" w:hAnsi="宋体" w:eastAsia="宋体" w:cs="宋体"/>
                <w:sz w:val="24"/>
                <w:szCs w:val="24"/>
              </w:rPr>
              <w:t>（1）测量气室有效长度：215mm</w:t>
            </w:r>
          </w:p>
          <w:p w14:paraId="698A4812">
            <w:pPr>
              <w:rPr>
                <w:rFonts w:hint="eastAsia" w:ascii="宋体" w:hAnsi="宋体" w:eastAsia="宋体" w:cs="宋体"/>
                <w:sz w:val="24"/>
                <w:szCs w:val="24"/>
              </w:rPr>
            </w:pPr>
            <w:r>
              <w:rPr>
                <w:rFonts w:hint="eastAsia" w:ascii="宋体" w:hAnsi="宋体" w:eastAsia="宋体" w:cs="宋体"/>
                <w:sz w:val="24"/>
                <w:szCs w:val="24"/>
              </w:rPr>
              <w:t>（2）测量范围：</w:t>
            </w:r>
            <w:r>
              <w:rPr>
                <w:rFonts w:hint="eastAsia" w:ascii="宋体" w:hAnsi="宋体" w:eastAsia="宋体" w:cs="宋体"/>
                <w:sz w:val="24"/>
                <w:szCs w:val="24"/>
              </w:rPr>
              <w:tab/>
            </w:r>
          </w:p>
          <w:p w14:paraId="631CA35B">
            <w:pPr>
              <w:rPr>
                <w:rFonts w:hint="eastAsia" w:ascii="宋体" w:hAnsi="宋体" w:eastAsia="宋体" w:cs="宋体"/>
                <w:sz w:val="24"/>
                <w:szCs w:val="24"/>
              </w:rPr>
            </w:pPr>
            <w:r>
              <w:rPr>
                <w:rFonts w:hint="eastAsia" w:ascii="宋体" w:hAnsi="宋体" w:eastAsia="宋体" w:cs="宋体"/>
                <w:sz w:val="24"/>
                <w:szCs w:val="24"/>
              </w:rPr>
              <w:t>不透光度N值</w:t>
            </w:r>
            <w:r>
              <w:rPr>
                <w:rFonts w:hint="eastAsia" w:ascii="宋体" w:hAnsi="宋体" w:eastAsia="宋体" w:cs="宋体"/>
                <w:sz w:val="24"/>
                <w:szCs w:val="24"/>
              </w:rPr>
              <w:tab/>
            </w:r>
            <w:r>
              <w:rPr>
                <w:rFonts w:hint="eastAsia" w:ascii="宋体" w:hAnsi="宋体" w:eastAsia="宋体" w:cs="宋体"/>
                <w:sz w:val="24"/>
                <w:szCs w:val="24"/>
              </w:rPr>
              <w:t>99.99%    0.01%</w:t>
            </w:r>
            <w:r>
              <w:rPr>
                <w:rFonts w:hint="eastAsia" w:ascii="宋体" w:hAnsi="宋体" w:eastAsia="宋体" w:cs="宋体"/>
                <w:sz w:val="24"/>
                <w:szCs w:val="24"/>
              </w:rPr>
              <w:tab/>
            </w:r>
          </w:p>
          <w:p w14:paraId="6ABEA84C">
            <w:pPr>
              <w:rPr>
                <w:rFonts w:hint="eastAsia" w:ascii="宋体" w:hAnsi="宋体" w:eastAsia="宋体" w:cs="宋体"/>
                <w:sz w:val="24"/>
                <w:szCs w:val="24"/>
              </w:rPr>
            </w:pPr>
            <w:r>
              <w:rPr>
                <w:rFonts w:hint="eastAsia" w:ascii="宋体" w:hAnsi="宋体" w:eastAsia="宋体" w:cs="宋体"/>
                <w:sz w:val="24"/>
                <w:szCs w:val="24"/>
              </w:rPr>
              <w:t>不透光度Ns值</w:t>
            </w:r>
            <w:r>
              <w:rPr>
                <w:rFonts w:hint="eastAsia" w:ascii="宋体" w:hAnsi="宋体" w:eastAsia="宋体" w:cs="宋体"/>
                <w:sz w:val="24"/>
                <w:szCs w:val="24"/>
              </w:rPr>
              <w:tab/>
            </w:r>
            <w:r>
              <w:rPr>
                <w:rFonts w:hint="eastAsia" w:ascii="宋体" w:hAnsi="宋体" w:eastAsia="宋体" w:cs="宋体"/>
                <w:sz w:val="24"/>
                <w:szCs w:val="24"/>
              </w:rPr>
              <w:t>0-99.99%   0.01%</w:t>
            </w:r>
          </w:p>
          <w:p w14:paraId="69E21181">
            <w:pPr>
              <w:rPr>
                <w:rFonts w:hint="eastAsia" w:ascii="宋体" w:hAnsi="宋体" w:eastAsia="宋体" w:cs="宋体"/>
                <w:sz w:val="24"/>
                <w:szCs w:val="24"/>
              </w:rPr>
            </w:pPr>
            <w:r>
              <w:rPr>
                <w:rFonts w:hint="eastAsia" w:ascii="宋体" w:hAnsi="宋体" w:eastAsia="宋体" w:cs="宋体"/>
                <w:sz w:val="24"/>
                <w:szCs w:val="24"/>
              </w:rPr>
              <w:t xml:space="preserve">消光系数K值 </w:t>
            </w:r>
            <w:r>
              <w:rPr>
                <w:rFonts w:hint="eastAsia" w:ascii="宋体" w:hAnsi="宋体" w:eastAsia="宋体" w:cs="宋体"/>
                <w:sz w:val="24"/>
                <w:szCs w:val="24"/>
              </w:rPr>
              <w:tab/>
            </w:r>
            <w:r>
              <w:rPr>
                <w:rFonts w:hint="eastAsia" w:ascii="宋体" w:hAnsi="宋体" w:eastAsia="宋体" w:cs="宋体"/>
                <w:sz w:val="24"/>
                <w:szCs w:val="24"/>
              </w:rPr>
              <w:t>0-10.00m-1</w:t>
            </w:r>
            <w:r>
              <w:rPr>
                <w:rFonts w:hint="eastAsia" w:ascii="宋体" w:hAnsi="宋体" w:eastAsia="宋体" w:cs="宋体"/>
                <w:sz w:val="24"/>
                <w:szCs w:val="24"/>
              </w:rPr>
              <w:tab/>
            </w:r>
            <w:r>
              <w:rPr>
                <w:rFonts w:hint="eastAsia" w:ascii="宋体" w:hAnsi="宋体" w:eastAsia="宋体" w:cs="宋体"/>
                <w:sz w:val="24"/>
                <w:szCs w:val="24"/>
              </w:rPr>
              <w:t xml:space="preserve">  0.001m-1</w:t>
            </w:r>
          </w:p>
          <w:p w14:paraId="4A2B8EA0">
            <w:pPr>
              <w:rPr>
                <w:rFonts w:hint="eastAsia" w:ascii="宋体" w:hAnsi="宋体" w:eastAsia="宋体" w:cs="宋体"/>
                <w:sz w:val="24"/>
                <w:szCs w:val="24"/>
              </w:rPr>
            </w:pPr>
            <w:r>
              <w:rPr>
                <w:rFonts w:hint="eastAsia" w:ascii="宋体" w:hAnsi="宋体" w:eastAsia="宋体" w:cs="宋体"/>
                <w:sz w:val="24"/>
                <w:szCs w:val="24"/>
              </w:rPr>
              <w:t>（3）预热时间：≤6分钟(取决于环境温度)</w:t>
            </w:r>
          </w:p>
          <w:p w14:paraId="00142328">
            <w:pPr>
              <w:rPr>
                <w:rFonts w:hint="eastAsia" w:ascii="宋体" w:hAnsi="宋体" w:eastAsia="宋体" w:cs="宋体"/>
                <w:sz w:val="24"/>
                <w:szCs w:val="24"/>
              </w:rPr>
            </w:pPr>
            <w:r>
              <w:rPr>
                <w:rFonts w:hint="eastAsia" w:ascii="宋体" w:hAnsi="宋体" w:eastAsia="宋体" w:cs="宋体"/>
                <w:sz w:val="24"/>
                <w:szCs w:val="24"/>
              </w:rPr>
              <w:t>（4）使用前的零点校正及标定：自动</w:t>
            </w:r>
          </w:p>
          <w:p w14:paraId="7099D41E">
            <w:pPr>
              <w:rPr>
                <w:rFonts w:hint="eastAsia" w:ascii="宋体" w:hAnsi="宋体" w:eastAsia="宋体" w:cs="宋体"/>
                <w:sz w:val="24"/>
                <w:szCs w:val="24"/>
              </w:rPr>
            </w:pPr>
            <w:r>
              <w:rPr>
                <w:rFonts w:hint="eastAsia" w:ascii="宋体" w:hAnsi="宋体" w:eastAsia="宋体" w:cs="宋体"/>
                <w:sz w:val="24"/>
                <w:szCs w:val="24"/>
              </w:rPr>
              <w:t>（5）操作环境温度范围：-20℃-+40℃</w:t>
            </w:r>
          </w:p>
          <w:p w14:paraId="7F3D272B">
            <w:pPr>
              <w:rPr>
                <w:rFonts w:hint="eastAsia" w:ascii="宋体" w:hAnsi="宋体" w:eastAsia="宋体" w:cs="宋体"/>
                <w:sz w:val="24"/>
                <w:szCs w:val="24"/>
              </w:rPr>
            </w:pPr>
            <w:r>
              <w:rPr>
                <w:rFonts w:hint="eastAsia" w:ascii="宋体" w:hAnsi="宋体" w:eastAsia="宋体" w:cs="宋体"/>
                <w:sz w:val="24"/>
                <w:szCs w:val="24"/>
              </w:rPr>
              <w:t>（6）湿度：30% - 90%.</w:t>
            </w:r>
          </w:p>
          <w:p w14:paraId="70CFB091">
            <w:pPr>
              <w:rPr>
                <w:rFonts w:hint="eastAsia" w:ascii="宋体" w:hAnsi="宋体" w:eastAsia="宋体" w:cs="宋体"/>
                <w:sz w:val="24"/>
                <w:szCs w:val="24"/>
              </w:rPr>
            </w:pPr>
            <w:r>
              <w:rPr>
                <w:rFonts w:hint="eastAsia" w:ascii="宋体" w:hAnsi="宋体" w:eastAsia="宋体" w:cs="宋体"/>
                <w:sz w:val="24"/>
                <w:szCs w:val="24"/>
              </w:rPr>
              <w:t>（7）存储温度：-32°C - +55°C</w:t>
            </w:r>
          </w:p>
          <w:p w14:paraId="406B2F51">
            <w:pPr>
              <w:rPr>
                <w:rFonts w:hint="eastAsia" w:ascii="宋体" w:hAnsi="宋体" w:eastAsia="宋体" w:cs="宋体"/>
                <w:sz w:val="24"/>
                <w:szCs w:val="24"/>
              </w:rPr>
            </w:pPr>
            <w:r>
              <w:rPr>
                <w:rFonts w:hint="eastAsia" w:ascii="宋体" w:hAnsi="宋体" w:eastAsia="宋体" w:cs="宋体"/>
                <w:sz w:val="24"/>
                <w:szCs w:val="24"/>
              </w:rPr>
              <w:t>（8）被测气体温度：0-256℃</w:t>
            </w:r>
          </w:p>
          <w:p w14:paraId="14DEDE08">
            <w:pPr>
              <w:rPr>
                <w:rFonts w:hint="eastAsia" w:ascii="宋体" w:hAnsi="宋体" w:eastAsia="宋体" w:cs="宋体"/>
                <w:sz w:val="24"/>
                <w:szCs w:val="24"/>
              </w:rPr>
            </w:pPr>
            <w:r>
              <w:rPr>
                <w:rFonts w:hint="eastAsia" w:ascii="宋体" w:hAnsi="宋体" w:eastAsia="宋体" w:cs="宋体"/>
                <w:sz w:val="24"/>
                <w:szCs w:val="24"/>
              </w:rPr>
              <w:t>（9）物理响应时间：T10%-90%</w:t>
            </w:r>
            <w:r>
              <w:rPr>
                <w:rFonts w:hint="eastAsia" w:ascii="宋体" w:hAnsi="宋体" w:eastAsia="宋体" w:cs="宋体"/>
                <w:sz w:val="24"/>
                <w:szCs w:val="24"/>
              </w:rPr>
              <w:tab/>
            </w:r>
            <w:r>
              <w:rPr>
                <w:rFonts w:hint="eastAsia" w:ascii="宋体" w:hAnsi="宋体" w:eastAsia="宋体" w:cs="宋体"/>
                <w:sz w:val="24"/>
                <w:szCs w:val="24"/>
              </w:rPr>
              <w:t>样气流率为75L/分钟时，少于0.2秒</w:t>
            </w:r>
          </w:p>
          <w:p w14:paraId="7809DFD7">
            <w:pPr>
              <w:rPr>
                <w:rFonts w:hint="eastAsia" w:ascii="宋体" w:hAnsi="宋体" w:eastAsia="宋体" w:cs="宋体"/>
                <w:sz w:val="24"/>
                <w:szCs w:val="24"/>
              </w:rPr>
            </w:pPr>
            <w:r>
              <w:rPr>
                <w:rFonts w:hint="eastAsia" w:ascii="宋体" w:hAnsi="宋体" w:eastAsia="宋体" w:cs="宋体"/>
                <w:sz w:val="24"/>
                <w:szCs w:val="24"/>
              </w:rPr>
              <w:t>（10）供电电源：230V/0.9A；50-60Hz</w:t>
            </w:r>
          </w:p>
          <w:p w14:paraId="45559C5F">
            <w:pPr>
              <w:rPr>
                <w:rFonts w:hint="eastAsia" w:ascii="宋体" w:hAnsi="宋体" w:eastAsia="宋体" w:cs="宋体"/>
                <w:sz w:val="24"/>
                <w:szCs w:val="24"/>
              </w:rPr>
            </w:pPr>
            <w:r>
              <w:rPr>
                <w:rFonts w:hint="eastAsia" w:ascii="宋体" w:hAnsi="宋体" w:eastAsia="宋体" w:cs="宋体"/>
                <w:sz w:val="24"/>
                <w:szCs w:val="24"/>
              </w:rPr>
              <w:t>（11）通讯方式：PDA与主机通过WIFI或有线，与打印机通过蓝牙</w:t>
            </w:r>
          </w:p>
          <w:p w14:paraId="725E076B">
            <w:pP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rPr>
              <w:t>）取样频率：≥10Hz</w:t>
            </w:r>
          </w:p>
          <w:p w14:paraId="3E2C7D0A">
            <w:pPr>
              <w:rPr>
                <w:rFonts w:hint="eastAsia" w:ascii="宋体" w:hAnsi="宋体" w:eastAsia="宋体" w:cs="宋体"/>
                <w:sz w:val="24"/>
                <w:szCs w:val="24"/>
              </w:rPr>
            </w:pPr>
            <w:r>
              <w:rPr>
                <w:rFonts w:hint="eastAsia" w:ascii="宋体" w:hAnsi="宋体" w:eastAsia="宋体" w:cs="宋体"/>
                <w:sz w:val="24"/>
                <w:szCs w:val="24"/>
              </w:rPr>
              <w:t>1.3发动机转速油温须具备以下测量要求：</w:t>
            </w:r>
          </w:p>
          <w:p w14:paraId="33EAD44D">
            <w:pPr>
              <w:rPr>
                <w:rFonts w:hint="eastAsia" w:ascii="宋体" w:hAnsi="宋体" w:eastAsia="宋体" w:cs="宋体"/>
                <w:sz w:val="24"/>
                <w:szCs w:val="24"/>
              </w:rPr>
            </w:pPr>
            <w:r>
              <w:rPr>
                <w:rFonts w:hint="eastAsia" w:ascii="宋体" w:hAnsi="宋体" w:eastAsia="宋体" w:cs="宋体"/>
                <w:sz w:val="24"/>
                <w:szCs w:val="24"/>
              </w:rPr>
              <w:t>（1）储存温度：-50 °C to 70 °C</w:t>
            </w:r>
          </w:p>
          <w:p w14:paraId="6ED2DB54">
            <w:pPr>
              <w:rPr>
                <w:rFonts w:hint="eastAsia" w:ascii="宋体" w:hAnsi="宋体" w:eastAsia="宋体" w:cs="宋体"/>
                <w:sz w:val="24"/>
                <w:szCs w:val="24"/>
              </w:rPr>
            </w:pPr>
            <w:r>
              <w:rPr>
                <w:rFonts w:hint="eastAsia" w:ascii="宋体" w:hAnsi="宋体" w:eastAsia="宋体" w:cs="宋体"/>
                <w:sz w:val="24"/>
                <w:szCs w:val="24"/>
              </w:rPr>
              <w:t>（2）操作温度：0 °C to 50 °C</w:t>
            </w:r>
          </w:p>
          <w:p w14:paraId="43145815">
            <w:pPr>
              <w:rPr>
                <w:rFonts w:hint="eastAsia" w:ascii="宋体" w:hAnsi="宋体" w:eastAsia="宋体" w:cs="宋体"/>
                <w:sz w:val="24"/>
                <w:szCs w:val="24"/>
              </w:rPr>
            </w:pPr>
            <w:r>
              <w:rPr>
                <w:rFonts w:hint="eastAsia" w:ascii="宋体" w:hAnsi="宋体" w:eastAsia="宋体" w:cs="宋体"/>
                <w:sz w:val="24"/>
                <w:szCs w:val="24"/>
              </w:rPr>
              <w:t>（3）电源供应：220V/50-60Hz</w:t>
            </w:r>
          </w:p>
          <w:p w14:paraId="403F58CC">
            <w:pPr>
              <w:rPr>
                <w:rFonts w:hint="eastAsia" w:ascii="宋体" w:hAnsi="宋体" w:eastAsia="宋体" w:cs="宋体"/>
                <w:sz w:val="24"/>
                <w:szCs w:val="24"/>
              </w:rPr>
            </w:pPr>
            <w:r>
              <w:rPr>
                <w:rFonts w:hint="eastAsia" w:ascii="宋体" w:hAnsi="宋体" w:eastAsia="宋体" w:cs="宋体"/>
                <w:sz w:val="24"/>
                <w:szCs w:val="24"/>
              </w:rPr>
              <w:t>（4）转速范围：400 - 9,999 RPM</w:t>
            </w:r>
          </w:p>
          <w:p w14:paraId="1BBF62B1">
            <w:pPr>
              <w:rPr>
                <w:rFonts w:hint="eastAsia" w:ascii="宋体" w:hAnsi="宋体" w:eastAsia="宋体" w:cs="宋体"/>
                <w:sz w:val="24"/>
                <w:szCs w:val="24"/>
              </w:rPr>
            </w:pPr>
            <w:r>
              <w:rPr>
                <w:rFonts w:hint="eastAsia" w:ascii="宋体" w:hAnsi="宋体" w:eastAsia="宋体" w:cs="宋体"/>
                <w:sz w:val="24"/>
                <w:szCs w:val="24"/>
              </w:rPr>
              <w:t>（5）油温范围：-13..+150 °C</w:t>
            </w:r>
          </w:p>
          <w:p w14:paraId="41BF66C8">
            <w:pPr>
              <w:rPr>
                <w:rFonts w:hint="eastAsia" w:ascii="宋体" w:hAnsi="宋体" w:eastAsia="宋体" w:cs="宋体"/>
                <w:sz w:val="24"/>
                <w:szCs w:val="24"/>
              </w:rPr>
            </w:pPr>
            <w:r>
              <w:rPr>
                <w:rFonts w:hint="eastAsia" w:ascii="宋体" w:hAnsi="宋体" w:eastAsia="宋体" w:cs="宋体"/>
                <w:sz w:val="24"/>
                <w:szCs w:val="24"/>
              </w:rPr>
              <w:t>（6）转速精度：± 10 RPM from 400 to 2000 RPM</w:t>
            </w:r>
          </w:p>
          <w:p w14:paraId="5B5A92E0">
            <w:pPr>
              <w:rPr>
                <w:rFonts w:hint="eastAsia" w:ascii="宋体" w:hAnsi="宋体" w:eastAsia="宋体" w:cs="宋体"/>
                <w:sz w:val="24"/>
                <w:szCs w:val="24"/>
              </w:rPr>
            </w:pPr>
            <w:r>
              <w:rPr>
                <w:rFonts w:hint="eastAsia" w:ascii="宋体" w:hAnsi="宋体" w:eastAsia="宋体" w:cs="宋体"/>
                <w:sz w:val="24"/>
                <w:szCs w:val="24"/>
              </w:rPr>
              <w:t>± 1% from 2001 to 9,999RPM</w:t>
            </w:r>
          </w:p>
          <w:p w14:paraId="0F89E5B3">
            <w:pPr>
              <w:rPr>
                <w:rFonts w:hint="eastAsia" w:ascii="宋体" w:hAnsi="宋体" w:eastAsia="宋体" w:cs="宋体"/>
                <w:sz w:val="24"/>
                <w:szCs w:val="24"/>
              </w:rPr>
            </w:pPr>
            <w:r>
              <w:rPr>
                <w:rFonts w:hint="eastAsia" w:ascii="宋体" w:hAnsi="宋体" w:eastAsia="宋体" w:cs="宋体"/>
                <w:sz w:val="24"/>
                <w:szCs w:val="24"/>
              </w:rPr>
              <w:t>（7）油温精度：±1℃</w:t>
            </w:r>
          </w:p>
          <w:p w14:paraId="21612790">
            <w:pPr>
              <w:rPr>
                <w:rFonts w:hint="eastAsia" w:ascii="宋体" w:hAnsi="宋体" w:eastAsia="宋体" w:cs="宋体"/>
                <w:sz w:val="24"/>
                <w:szCs w:val="24"/>
              </w:rPr>
            </w:pPr>
            <w:r>
              <w:rPr>
                <w:rFonts w:hint="eastAsia" w:ascii="宋体" w:hAnsi="宋体" w:eastAsia="宋体" w:cs="宋体"/>
                <w:sz w:val="24"/>
                <w:szCs w:val="24"/>
              </w:rPr>
              <w:t>（8）转速分辨率：10rpm</w:t>
            </w:r>
          </w:p>
          <w:p w14:paraId="7EE91350">
            <w:pPr>
              <w:rPr>
                <w:rFonts w:hint="eastAsia" w:ascii="宋体" w:hAnsi="宋体" w:eastAsia="宋体" w:cs="宋体"/>
                <w:sz w:val="24"/>
                <w:szCs w:val="24"/>
              </w:rPr>
            </w:pPr>
            <w:r>
              <w:rPr>
                <w:rFonts w:hint="eastAsia" w:ascii="宋体" w:hAnsi="宋体" w:eastAsia="宋体" w:cs="宋体"/>
                <w:sz w:val="24"/>
                <w:szCs w:val="24"/>
              </w:rPr>
              <w:t>（9）油温分辨率：1℃</w:t>
            </w:r>
          </w:p>
          <w:p w14:paraId="4B745597">
            <w:pPr>
              <w:rPr>
                <w:rFonts w:hint="eastAsia" w:ascii="宋体" w:hAnsi="宋体" w:eastAsia="宋体" w:cs="宋体"/>
                <w:sz w:val="24"/>
                <w:szCs w:val="24"/>
              </w:rPr>
            </w:pPr>
            <w:r>
              <w:rPr>
                <w:rFonts w:hint="eastAsia" w:ascii="宋体" w:hAnsi="宋体" w:eastAsia="宋体" w:cs="宋体"/>
                <w:sz w:val="24"/>
                <w:szCs w:val="24"/>
              </w:rPr>
              <w:t>（10）响应时间：0.7秒</w:t>
            </w:r>
          </w:p>
          <w:p w14:paraId="5434055F">
            <w:pPr>
              <w:rPr>
                <w:rFonts w:hint="eastAsia" w:ascii="宋体" w:hAnsi="宋体" w:eastAsia="宋体" w:cs="宋体"/>
                <w:sz w:val="24"/>
                <w:szCs w:val="24"/>
              </w:rPr>
            </w:pPr>
            <w:r>
              <w:rPr>
                <w:rFonts w:hint="eastAsia" w:ascii="宋体" w:hAnsi="宋体" w:eastAsia="宋体" w:cs="宋体"/>
                <w:sz w:val="24"/>
                <w:szCs w:val="24"/>
              </w:rPr>
              <w:t>（11）更新速率：0.15 秒</w:t>
            </w:r>
          </w:p>
          <w:p w14:paraId="4865E3AA">
            <w:pPr>
              <w:rPr>
                <w:rFonts w:hint="eastAsia" w:ascii="宋体" w:hAnsi="宋体" w:eastAsia="宋体" w:cs="宋体"/>
                <w:sz w:val="24"/>
                <w:szCs w:val="24"/>
              </w:rPr>
            </w:pPr>
            <w:r>
              <w:rPr>
                <w:rFonts w:hint="eastAsia" w:ascii="宋体" w:hAnsi="宋体" w:eastAsia="宋体" w:cs="宋体"/>
                <w:sz w:val="24"/>
                <w:szCs w:val="24"/>
              </w:rPr>
              <w:t>（12）数据输出：RS232</w:t>
            </w:r>
          </w:p>
          <w:p w14:paraId="3572F692">
            <w:pPr>
              <w:rPr>
                <w:rFonts w:hint="eastAsia" w:ascii="宋体" w:hAnsi="宋体" w:eastAsia="宋体" w:cs="宋体"/>
                <w:sz w:val="24"/>
                <w:szCs w:val="24"/>
              </w:rPr>
            </w:pPr>
            <w:r>
              <w:rPr>
                <w:rFonts w:hint="eastAsia" w:ascii="宋体" w:hAnsi="宋体" w:eastAsia="宋体" w:cs="宋体"/>
                <w:sz w:val="24"/>
                <w:szCs w:val="24"/>
              </w:rPr>
              <w:t>（13）发动机转速信号源：OBDII、震动式传感器</w:t>
            </w:r>
          </w:p>
          <w:p w14:paraId="54D887E5">
            <w:pPr>
              <w:rPr>
                <w:rFonts w:hint="eastAsia" w:ascii="宋体" w:hAnsi="宋体" w:eastAsia="宋体" w:cs="宋体"/>
                <w:sz w:val="24"/>
                <w:szCs w:val="24"/>
              </w:rPr>
            </w:pPr>
            <w:r>
              <w:rPr>
                <w:rFonts w:hint="eastAsia" w:ascii="宋体" w:hAnsi="宋体" w:eastAsia="宋体" w:cs="宋体"/>
                <w:sz w:val="24"/>
                <w:szCs w:val="24"/>
              </w:rPr>
              <w:t>（14）机油温度信号源：热电偶传感器</w:t>
            </w:r>
          </w:p>
          <w:p w14:paraId="5062D656">
            <w:pPr>
              <w:rPr>
                <w:rFonts w:hint="eastAsia" w:ascii="宋体" w:hAnsi="宋体" w:eastAsia="宋体" w:cs="宋体"/>
                <w:sz w:val="24"/>
                <w:szCs w:val="24"/>
              </w:rPr>
            </w:pPr>
            <w:r>
              <w:rPr>
                <w:rFonts w:hint="eastAsia" w:ascii="宋体" w:hAnsi="宋体" w:eastAsia="宋体" w:cs="宋体"/>
                <w:sz w:val="24"/>
                <w:szCs w:val="24"/>
              </w:rPr>
              <w:t>2.1配套软件功能要求</w:t>
            </w:r>
          </w:p>
          <w:p w14:paraId="4468DA94">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1软件要求同时具备连续烟度测试、柴油车自由加速烟度测试、非道路移动机械自由加速烟度测试、非道路移动机械自由加载烟度测试、烟度计检定、设备信息、参数设置、数据分析等功能，用户方可自由进行选择；</w:t>
            </w:r>
          </w:p>
          <w:p w14:paraId="33156716">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.2检测过程中要求具备N值、Ns值、K值实时烟度、RPM显示功能，实时采集N值、K值、发动机转速RPM（需另外配备转速油温测试仪），并记录自由加载、自由加速过程中烟度的最大峰值或者平均值；</w:t>
            </w:r>
          </w:p>
          <w:p w14:paraId="4A6B96FC">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.3发动机转速油温的提取方式须包括转速表及OBD二种方式，并具有在线连接状态智能感知功能；</w:t>
            </w:r>
          </w:p>
          <w:p w14:paraId="5FF7A1E3">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.4自由加速烟度测试时要求按照GB3847-2018中附录A在用车的试验要求进行测试；</w:t>
            </w:r>
          </w:p>
          <w:p w14:paraId="35ED8644">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.5检测数据要求能保存、查询并方便导出成EXCEL、txt等文件格式。</w:t>
            </w:r>
          </w:p>
          <w:p w14:paraId="18C96399">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.6软件要求具备自动快速智能识别车牌技术，方便现场使用。</w:t>
            </w:r>
          </w:p>
          <w:p w14:paraId="4BF2580D">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.7操作软件时要有操作状态提示、检测结果提示，油温、排气温度、气室温度、气压提示等相关仪器状态提示功能。</w:t>
            </w:r>
          </w:p>
          <w:p w14:paraId="19D91B49">
            <w:pPr>
              <w:rPr>
                <w:rFonts w:hint="eastAsia" w:ascii="宋体" w:hAnsi="宋体" w:eastAsia="宋体" w:cs="宋体"/>
                <w:sz w:val="24"/>
                <w:szCs w:val="24"/>
              </w:rPr>
            </w:pPr>
            <w:r>
              <w:rPr>
                <w:rFonts w:hint="eastAsia" w:ascii="宋体" w:hAnsi="宋体" w:eastAsia="宋体" w:cs="宋体"/>
                <w:sz w:val="24"/>
                <w:szCs w:val="24"/>
              </w:rPr>
              <w:t>2.2符合标准</w:t>
            </w:r>
          </w:p>
          <w:p w14:paraId="2466F686">
            <w:pPr>
              <w:rPr>
                <w:rFonts w:hint="eastAsia" w:ascii="宋体" w:hAnsi="宋体" w:eastAsia="宋体" w:cs="宋体"/>
                <w:sz w:val="24"/>
                <w:szCs w:val="24"/>
              </w:rPr>
            </w:pPr>
            <w:r>
              <w:rPr>
                <w:rFonts w:hint="eastAsia" w:ascii="宋体" w:hAnsi="宋体" w:eastAsia="宋体" w:cs="宋体"/>
                <w:sz w:val="24"/>
                <w:szCs w:val="24"/>
              </w:rPr>
              <w:t>《柴油车污染物排放限值及测量方法（自由加速法及自由加载法）》（GB3847-2018）的自由加速法要求。</w:t>
            </w:r>
          </w:p>
          <w:p w14:paraId="50007096">
            <w:pPr>
              <w:rPr>
                <w:rFonts w:hint="eastAsia" w:ascii="宋体" w:hAnsi="宋体" w:eastAsia="宋体" w:cs="宋体"/>
                <w:sz w:val="24"/>
                <w:szCs w:val="24"/>
              </w:rPr>
            </w:pPr>
            <w:r>
              <w:rPr>
                <w:rFonts w:hint="eastAsia" w:ascii="宋体" w:hAnsi="宋体" w:eastAsia="宋体" w:cs="宋体"/>
                <w:sz w:val="24"/>
                <w:szCs w:val="24"/>
              </w:rPr>
              <w:t>《非道路柴油移动机械排气烟度及测量方法》（GB36886-2018）；</w:t>
            </w:r>
          </w:p>
          <w:p w14:paraId="16563EA7">
            <w:pPr>
              <w:rPr>
                <w:rFonts w:hint="eastAsia" w:ascii="宋体" w:hAnsi="宋体" w:eastAsia="宋体" w:cs="宋体"/>
                <w:sz w:val="24"/>
                <w:szCs w:val="24"/>
              </w:rPr>
            </w:pPr>
            <w:r>
              <w:rPr>
                <w:rFonts w:hint="eastAsia" w:ascii="宋体" w:hAnsi="宋体" w:eastAsia="宋体" w:cs="宋体"/>
                <w:sz w:val="24"/>
                <w:szCs w:val="24"/>
              </w:rPr>
              <w:t>《JJG976-2024透射式烟度计检定规程》；</w:t>
            </w:r>
          </w:p>
          <w:p w14:paraId="295AAE84">
            <w:pPr>
              <w:rPr>
                <w:rFonts w:hint="eastAsia" w:ascii="宋体" w:hAnsi="宋体" w:eastAsia="宋体" w:cs="宋体"/>
                <w:sz w:val="24"/>
                <w:szCs w:val="24"/>
              </w:rPr>
            </w:pPr>
            <w:r>
              <w:rPr>
                <w:rFonts w:hint="eastAsia" w:ascii="宋体" w:hAnsi="宋体" w:eastAsia="宋体" w:cs="宋体"/>
                <w:sz w:val="24"/>
                <w:szCs w:val="24"/>
              </w:rPr>
              <w:t>二、OBD诊断仪技术参数</w:t>
            </w:r>
          </w:p>
          <w:p w14:paraId="6DBDDD63">
            <w:pPr>
              <w:rPr>
                <w:rFonts w:hint="eastAsia" w:ascii="宋体" w:hAnsi="宋体" w:eastAsia="宋体" w:cs="宋体"/>
                <w:sz w:val="24"/>
                <w:szCs w:val="24"/>
              </w:rPr>
            </w:pPr>
            <w:r>
              <w:rPr>
                <w:rFonts w:hint="eastAsia" w:ascii="宋体" w:hAnsi="宋体" w:eastAsia="宋体" w:cs="宋体"/>
                <w:sz w:val="24"/>
                <w:szCs w:val="24"/>
              </w:rPr>
              <w:t>1.1符合标准要求</w:t>
            </w:r>
          </w:p>
          <w:p w14:paraId="38F66744">
            <w:pPr>
              <w:rPr>
                <w:rFonts w:hint="eastAsia" w:ascii="宋体" w:hAnsi="宋体" w:eastAsia="宋体" w:cs="宋体"/>
                <w:sz w:val="24"/>
                <w:szCs w:val="24"/>
              </w:rPr>
            </w:pPr>
            <w:r>
              <w:rPr>
                <w:rFonts w:hint="eastAsia" w:ascii="宋体" w:hAnsi="宋体" w:eastAsia="宋体" w:cs="宋体"/>
                <w:sz w:val="24"/>
                <w:szCs w:val="24"/>
              </w:rPr>
              <w:t>《GB3847-2018柴油车污染物排放限值及测量方法（自由加速及加载减速法）》</w:t>
            </w:r>
          </w:p>
          <w:p w14:paraId="1C348449">
            <w:pPr>
              <w:rPr>
                <w:rFonts w:hint="eastAsia" w:ascii="宋体" w:hAnsi="宋体" w:eastAsia="宋体" w:cs="宋体"/>
                <w:sz w:val="24"/>
                <w:szCs w:val="24"/>
              </w:rPr>
            </w:pPr>
            <w:r>
              <w:rPr>
                <w:rFonts w:hint="eastAsia" w:ascii="宋体" w:hAnsi="宋体" w:eastAsia="宋体" w:cs="宋体"/>
                <w:sz w:val="24"/>
                <w:szCs w:val="24"/>
              </w:rPr>
              <w:t>《GB18285-2018汽油车污染物排放限值及测量方法（双怠速及工况法）》</w:t>
            </w:r>
          </w:p>
          <w:p w14:paraId="610F6581">
            <w:pPr>
              <w:rPr>
                <w:rFonts w:hint="eastAsia" w:ascii="宋体" w:hAnsi="宋体" w:eastAsia="宋体" w:cs="宋体"/>
                <w:sz w:val="24"/>
                <w:szCs w:val="24"/>
              </w:rPr>
            </w:pPr>
            <w:r>
              <w:rPr>
                <w:rFonts w:hint="eastAsia" w:ascii="宋体" w:hAnsi="宋体" w:eastAsia="宋体" w:cs="宋体"/>
                <w:sz w:val="24"/>
                <w:szCs w:val="24"/>
              </w:rPr>
              <w:t xml:space="preserve">《HJ 1237-2021机动车排放定期检验规范》 </w:t>
            </w:r>
          </w:p>
          <w:p w14:paraId="3B1CBA90">
            <w:pPr>
              <w:rPr>
                <w:rFonts w:hint="eastAsia" w:ascii="宋体" w:hAnsi="宋体" w:eastAsia="宋体" w:cs="宋体"/>
                <w:sz w:val="24"/>
                <w:szCs w:val="24"/>
              </w:rPr>
            </w:pPr>
            <w:r>
              <w:rPr>
                <w:rFonts w:hint="eastAsia" w:ascii="宋体" w:hAnsi="宋体" w:eastAsia="宋体" w:cs="宋体"/>
                <w:sz w:val="24"/>
                <w:szCs w:val="24"/>
              </w:rPr>
              <w:t>《T/CMA JD042-2021机动车排放检验用OBD诊断仪检验项目和方法》</w:t>
            </w:r>
          </w:p>
          <w:p w14:paraId="68DF188A">
            <w:pPr>
              <w:rPr>
                <w:rFonts w:hint="eastAsia" w:ascii="宋体" w:hAnsi="宋体" w:eastAsia="宋体" w:cs="宋体"/>
                <w:sz w:val="24"/>
                <w:szCs w:val="24"/>
              </w:rPr>
            </w:pPr>
            <w:r>
              <w:rPr>
                <w:rFonts w:hint="eastAsia" w:ascii="宋体" w:hAnsi="宋体" w:eastAsia="宋体" w:cs="宋体"/>
                <w:sz w:val="24"/>
                <w:szCs w:val="24"/>
              </w:rPr>
              <w:t>1.2功能特点要求</w:t>
            </w:r>
          </w:p>
          <w:p w14:paraId="465BD300">
            <w:pPr>
              <w:rPr>
                <w:rFonts w:hint="eastAsia" w:ascii="宋体" w:hAnsi="宋体" w:eastAsia="宋体" w:cs="宋体"/>
                <w:sz w:val="24"/>
                <w:szCs w:val="24"/>
              </w:rPr>
            </w:pPr>
            <w:r>
              <w:rPr>
                <w:rFonts w:hint="eastAsia" w:ascii="宋体" w:hAnsi="宋体" w:eastAsia="宋体" w:cs="宋体"/>
                <w:sz w:val="24"/>
                <w:szCs w:val="24"/>
              </w:rPr>
              <w:t xml:space="preserve">1.2.1满足ISO 15031-4和SAE J1978中规定的相关功能性技术要求，至少支持 J1939，J1979、ISO 9141-2、SAE J1850、ISO 14230-4、ISO 15765-4、ISO 27145等通信协议。 </w:t>
            </w:r>
          </w:p>
          <w:p w14:paraId="068DDFF4">
            <w:pPr>
              <w:rPr>
                <w:rFonts w:hint="eastAsia" w:ascii="宋体" w:hAnsi="宋体" w:eastAsia="宋体" w:cs="宋体"/>
                <w:sz w:val="24"/>
                <w:szCs w:val="24"/>
              </w:rPr>
            </w:pPr>
            <w:r>
              <w:rPr>
                <w:rFonts w:hint="eastAsia" w:ascii="宋体" w:hAnsi="宋体" w:eastAsia="宋体" w:cs="宋体"/>
                <w:sz w:val="24"/>
                <w:szCs w:val="24"/>
              </w:rPr>
              <w:t xml:space="preserve">1.2.2能够与车辆 OBD系统建立通信，提供OBD系统诊断服务用的通信连接接口，与车辆通信的接口满足ISO 15031-3、SAE J1962 和 ISO 27145 的规定。 </w:t>
            </w:r>
          </w:p>
          <w:p w14:paraId="6DF8A760">
            <w:pPr>
              <w:rPr>
                <w:rFonts w:hint="eastAsia" w:ascii="宋体" w:hAnsi="宋体" w:eastAsia="宋体" w:cs="宋体"/>
                <w:sz w:val="24"/>
                <w:szCs w:val="24"/>
              </w:rPr>
            </w:pPr>
            <w:r>
              <w:rPr>
                <w:rFonts w:hint="eastAsia" w:ascii="宋体" w:hAnsi="宋体" w:eastAsia="宋体" w:cs="宋体"/>
                <w:sz w:val="24"/>
                <w:szCs w:val="24"/>
              </w:rPr>
              <w:t xml:space="preserve">1.2.3 OBD诊断仪的信息结构符合ISO 15031-5、ISO 27145中的信息结构和ISO 15031-6诊断故障码要求。 </w:t>
            </w:r>
          </w:p>
          <w:p w14:paraId="7386A6CC">
            <w:pPr>
              <w:rPr>
                <w:rFonts w:hint="eastAsia" w:ascii="宋体" w:hAnsi="宋体" w:eastAsia="宋体" w:cs="宋体"/>
                <w:sz w:val="24"/>
                <w:szCs w:val="24"/>
              </w:rPr>
            </w:pPr>
            <w:r>
              <w:rPr>
                <w:rFonts w:hint="eastAsia" w:ascii="宋体" w:hAnsi="宋体" w:eastAsia="宋体" w:cs="宋体"/>
                <w:sz w:val="24"/>
                <w:szCs w:val="24"/>
              </w:rPr>
              <w:t xml:space="preserve">1.2.4能连续获得、转换和显示与车辆排放相关的OBD故障代码，按照 ISO 15031-6中的描述显示故障代码及故障信息。 </w:t>
            </w:r>
          </w:p>
          <w:p w14:paraId="6F70A11A">
            <w:pPr>
              <w:rPr>
                <w:rFonts w:hint="eastAsia" w:ascii="宋体" w:hAnsi="宋体" w:eastAsia="宋体" w:cs="宋体"/>
                <w:sz w:val="24"/>
                <w:szCs w:val="24"/>
              </w:rPr>
            </w:pPr>
            <w:r>
              <w:rPr>
                <w:rFonts w:hint="eastAsia" w:ascii="宋体" w:hAnsi="宋体" w:eastAsia="宋体" w:cs="宋体"/>
                <w:sz w:val="24"/>
                <w:szCs w:val="24"/>
              </w:rPr>
              <w:t xml:space="preserve">1.2.5能够获取并显示 SAE J1979 规定的各部件/系统的准备就绪状态信息，对诊断项目完成情况按如下方式描述：支持的诊断项目完成情况应描述为完成或未完成，不支持的诊断项目完成情况应描述为不适用。 </w:t>
            </w:r>
          </w:p>
          <w:p w14:paraId="0D46500D">
            <w:pPr>
              <w:rPr>
                <w:rFonts w:hint="eastAsia" w:ascii="宋体" w:hAnsi="宋体" w:eastAsia="宋体" w:cs="宋体"/>
                <w:sz w:val="24"/>
                <w:szCs w:val="24"/>
              </w:rPr>
            </w:pPr>
            <w:r>
              <w:rPr>
                <w:rFonts w:hint="eastAsia" w:ascii="宋体" w:hAnsi="宋体" w:eastAsia="宋体" w:cs="宋体"/>
                <w:sz w:val="24"/>
                <w:szCs w:val="24"/>
              </w:rPr>
              <w:t xml:space="preserve">1.2.6能获取并显示当前数据流信息。 </w:t>
            </w:r>
          </w:p>
          <w:p w14:paraId="4214C887">
            <w:pPr>
              <w:rPr>
                <w:rFonts w:hint="eastAsia" w:ascii="宋体" w:hAnsi="宋体" w:eastAsia="宋体" w:cs="宋体"/>
                <w:sz w:val="24"/>
                <w:szCs w:val="24"/>
              </w:rPr>
            </w:pPr>
            <w:r>
              <w:rPr>
                <w:rFonts w:hint="eastAsia" w:ascii="宋体" w:hAnsi="宋体" w:eastAsia="宋体" w:cs="宋体"/>
                <w:sz w:val="24"/>
                <w:szCs w:val="24"/>
              </w:rPr>
              <w:t xml:space="preserve">1.2.7能获取并显示产生故障存储的冻结帧数据及故障指示器状态。 </w:t>
            </w:r>
          </w:p>
          <w:p w14:paraId="1F32F1EF">
            <w:pPr>
              <w:rPr>
                <w:rFonts w:hint="eastAsia" w:ascii="宋体" w:hAnsi="宋体" w:eastAsia="宋体" w:cs="宋体"/>
                <w:sz w:val="24"/>
                <w:szCs w:val="24"/>
              </w:rPr>
            </w:pPr>
            <w:r>
              <w:rPr>
                <w:rFonts w:hint="eastAsia" w:ascii="宋体" w:hAnsi="宋体" w:eastAsia="宋体" w:cs="宋体"/>
                <w:sz w:val="24"/>
                <w:szCs w:val="24"/>
              </w:rPr>
              <w:t xml:space="preserve">1.2.8能够获取车辆基本信息，包括车辆 VIN、CALID、CVN（如果适用）等。 </w:t>
            </w:r>
          </w:p>
          <w:p w14:paraId="33904D5F">
            <w:pPr>
              <w:rPr>
                <w:rFonts w:hint="eastAsia" w:ascii="宋体" w:hAnsi="宋体" w:eastAsia="宋体" w:cs="宋体"/>
                <w:sz w:val="24"/>
                <w:szCs w:val="24"/>
              </w:rPr>
            </w:pPr>
            <w:r>
              <w:rPr>
                <w:rFonts w:hint="eastAsia" w:ascii="宋体" w:hAnsi="宋体" w:eastAsia="宋体" w:cs="宋体"/>
                <w:sz w:val="24"/>
                <w:szCs w:val="24"/>
              </w:rPr>
              <w:t xml:space="preserve">1.2.9根据 ISO 15031-5、ISO 27145的要求，获取并显示OBD系统与排放有关的测试参数和结果。 </w:t>
            </w:r>
          </w:p>
          <w:p w14:paraId="1B435736">
            <w:pPr>
              <w:rPr>
                <w:rFonts w:hint="eastAsia" w:ascii="宋体" w:hAnsi="宋体" w:eastAsia="宋体" w:cs="宋体"/>
                <w:sz w:val="24"/>
                <w:szCs w:val="24"/>
              </w:rPr>
            </w:pPr>
            <w:r>
              <w:rPr>
                <w:rFonts w:hint="eastAsia" w:ascii="宋体" w:hAnsi="宋体" w:eastAsia="宋体" w:cs="宋体"/>
                <w:sz w:val="24"/>
                <w:szCs w:val="24"/>
              </w:rPr>
              <w:t xml:space="preserve">1.2.10 OBD诊断仪应能适用于满足 GB18352.3、GB18352.5、GB18352.6、GB17691-2018 标准各类轻重型车，不易损坏，并确保使用者获得正确有效的OBD系统信息。 </w:t>
            </w:r>
          </w:p>
          <w:p w14:paraId="776835BD">
            <w:pPr>
              <w:rPr>
                <w:rFonts w:hint="eastAsia" w:ascii="宋体" w:hAnsi="宋体" w:eastAsia="宋体" w:cs="宋体"/>
                <w:sz w:val="24"/>
                <w:szCs w:val="24"/>
              </w:rPr>
            </w:pPr>
            <w:r>
              <w:rPr>
                <w:rFonts w:hint="eastAsia" w:ascii="宋体" w:hAnsi="宋体" w:eastAsia="宋体" w:cs="宋体"/>
                <w:sz w:val="24"/>
                <w:szCs w:val="24"/>
              </w:rPr>
              <w:t xml:space="preserve">1.2.11用于环保检查的诊断仪不可具有清除OBD相关故障代码、冻结祯数据，以及发生MIL灯点亮后的行驶里程等相关数据。 </w:t>
            </w:r>
          </w:p>
          <w:p w14:paraId="0C964DF3">
            <w:pPr>
              <w:rPr>
                <w:rFonts w:hint="eastAsia" w:ascii="宋体" w:hAnsi="宋体" w:eastAsia="宋体" w:cs="宋体"/>
                <w:sz w:val="24"/>
                <w:szCs w:val="24"/>
              </w:rPr>
            </w:pPr>
            <w:r>
              <w:rPr>
                <w:rFonts w:hint="eastAsia" w:ascii="宋体" w:hAnsi="宋体" w:eastAsia="宋体" w:cs="宋体"/>
                <w:sz w:val="24"/>
                <w:szCs w:val="24"/>
              </w:rPr>
              <w:t xml:space="preserve">1.2.12诊断的参数包括：发动机转速、冷却液温度、车辆速度、大气压力、SCR上下游NOx传感器输出值、反应剂余量、SCR出入口温度、DPF压差、进气温度、油温、油箱液位、实际/设定EGR阀开度、催化器下游NOx传感器输出值、前后氧传感器输出值、实际扭矩百分比、摩擦扭矩百分比、参考扭矩N.M、燃油压力、进气量、故障状态、再生情况、燃料消耗量等； </w:t>
            </w:r>
          </w:p>
          <w:p w14:paraId="3D58E874">
            <w:pPr>
              <w:rPr>
                <w:rFonts w:hint="eastAsia" w:ascii="宋体" w:hAnsi="宋体" w:eastAsia="宋体" w:cs="宋体"/>
                <w:sz w:val="24"/>
                <w:szCs w:val="24"/>
              </w:rPr>
            </w:pPr>
            <w:r>
              <w:rPr>
                <w:rFonts w:hint="eastAsia" w:ascii="宋体" w:hAnsi="宋体" w:eastAsia="宋体" w:cs="宋体"/>
                <w:sz w:val="24"/>
                <w:szCs w:val="24"/>
              </w:rPr>
              <w:t>1.2.13具备智能电子车牌快速识别技术；</w:t>
            </w:r>
          </w:p>
          <w:p w14:paraId="75EE8A30">
            <w:pPr>
              <w:rPr>
                <w:rFonts w:hint="eastAsia" w:ascii="宋体" w:hAnsi="宋体" w:eastAsia="宋体" w:cs="宋体"/>
                <w:sz w:val="24"/>
                <w:szCs w:val="24"/>
              </w:rPr>
            </w:pPr>
            <w:r>
              <w:rPr>
                <w:rFonts w:hint="eastAsia" w:ascii="宋体" w:hAnsi="宋体" w:eastAsia="宋体" w:cs="宋体"/>
                <w:sz w:val="24"/>
                <w:szCs w:val="24"/>
              </w:rPr>
              <w:t>1.3技术参数要求：</w:t>
            </w:r>
          </w:p>
          <w:p w14:paraId="13560A2A">
            <w:pPr>
              <w:rPr>
                <w:rFonts w:hint="eastAsia" w:ascii="宋体" w:hAnsi="宋体" w:eastAsia="宋体" w:cs="宋体"/>
                <w:sz w:val="24"/>
                <w:szCs w:val="24"/>
              </w:rPr>
            </w:pPr>
            <w:r>
              <w:rPr>
                <w:rFonts w:hint="eastAsia" w:ascii="宋体" w:hAnsi="宋体" w:eastAsia="宋体" w:cs="宋体"/>
                <w:sz w:val="24"/>
                <w:szCs w:val="24"/>
              </w:rPr>
              <w:t xml:space="preserve">1.3.1处理器：优于英特尔凌动x5-Z8350 </w:t>
            </w:r>
          </w:p>
          <w:p w14:paraId="2FAD10E1">
            <w:pPr>
              <w:rPr>
                <w:rFonts w:hint="eastAsia" w:ascii="宋体" w:hAnsi="宋体" w:eastAsia="宋体" w:cs="宋体"/>
                <w:sz w:val="24"/>
                <w:szCs w:val="24"/>
              </w:rPr>
            </w:pPr>
            <w:r>
              <w:rPr>
                <w:rFonts w:hint="eastAsia" w:ascii="宋体" w:hAnsi="宋体" w:eastAsia="宋体" w:cs="宋体"/>
                <w:sz w:val="24"/>
                <w:szCs w:val="24"/>
              </w:rPr>
              <w:t xml:space="preserve">1.3.2操作系统：Windows 10/11 </w:t>
            </w:r>
          </w:p>
          <w:p w14:paraId="505A4A06">
            <w:pPr>
              <w:rPr>
                <w:rFonts w:hint="eastAsia" w:ascii="宋体" w:hAnsi="宋体" w:eastAsia="宋体" w:cs="宋体"/>
                <w:sz w:val="24"/>
                <w:szCs w:val="24"/>
              </w:rPr>
            </w:pPr>
            <w:r>
              <w:rPr>
                <w:rFonts w:hint="eastAsia" w:ascii="宋体" w:hAnsi="宋体" w:eastAsia="宋体" w:cs="宋体"/>
                <w:sz w:val="24"/>
                <w:szCs w:val="24"/>
              </w:rPr>
              <w:t>1.3.3内存：≥4GB</w:t>
            </w:r>
          </w:p>
          <w:p w14:paraId="05E7A41F">
            <w:pPr>
              <w:rPr>
                <w:rFonts w:hint="eastAsia" w:ascii="宋体" w:hAnsi="宋体" w:eastAsia="宋体" w:cs="宋体"/>
                <w:sz w:val="24"/>
                <w:szCs w:val="24"/>
              </w:rPr>
            </w:pPr>
            <w:r>
              <w:rPr>
                <w:rFonts w:hint="eastAsia" w:ascii="宋体" w:hAnsi="宋体" w:eastAsia="宋体" w:cs="宋体"/>
                <w:sz w:val="24"/>
                <w:szCs w:val="24"/>
              </w:rPr>
              <w:t>1.3.4存储容量：≥64GB</w:t>
            </w:r>
          </w:p>
          <w:p w14:paraId="55FBD3C3">
            <w:pPr>
              <w:rPr>
                <w:rFonts w:hint="eastAsia" w:ascii="宋体" w:hAnsi="宋体" w:eastAsia="宋体" w:cs="宋体"/>
                <w:sz w:val="24"/>
                <w:szCs w:val="24"/>
              </w:rPr>
            </w:pPr>
            <w:r>
              <w:rPr>
                <w:rFonts w:hint="eastAsia" w:ascii="宋体" w:hAnsi="宋体" w:eastAsia="宋体" w:cs="宋体"/>
                <w:sz w:val="24"/>
                <w:szCs w:val="24"/>
              </w:rPr>
              <w:t>1.3.5电池容量：8000mAh/3.7V</w:t>
            </w:r>
          </w:p>
          <w:p w14:paraId="34665AF0">
            <w:pPr>
              <w:rPr>
                <w:rFonts w:hint="eastAsia" w:ascii="宋体" w:hAnsi="宋体" w:eastAsia="宋体" w:cs="宋体"/>
                <w:sz w:val="24"/>
                <w:szCs w:val="24"/>
              </w:rPr>
            </w:pPr>
            <w:r>
              <w:rPr>
                <w:rFonts w:hint="eastAsia" w:ascii="宋体" w:hAnsi="宋体" w:eastAsia="宋体" w:cs="宋体"/>
                <w:sz w:val="24"/>
                <w:szCs w:val="24"/>
              </w:rPr>
              <w:t>1.3.6类型：内置聚合物锂离子电池</w:t>
            </w:r>
          </w:p>
          <w:p w14:paraId="40209387">
            <w:pPr>
              <w:rPr>
                <w:rFonts w:hint="eastAsia" w:ascii="宋体" w:hAnsi="宋体" w:eastAsia="宋体" w:cs="宋体"/>
                <w:sz w:val="24"/>
                <w:szCs w:val="24"/>
              </w:rPr>
            </w:pPr>
            <w:r>
              <w:rPr>
                <w:rFonts w:hint="eastAsia" w:ascii="宋体" w:hAnsi="宋体" w:eastAsia="宋体" w:cs="宋体"/>
                <w:sz w:val="24"/>
                <w:szCs w:val="24"/>
              </w:rPr>
              <w:t>1.3.7续航时间：约8小时</w:t>
            </w:r>
          </w:p>
          <w:p w14:paraId="540AD00D">
            <w:pPr>
              <w:rPr>
                <w:rFonts w:hint="eastAsia" w:ascii="宋体" w:hAnsi="宋体" w:eastAsia="宋体" w:cs="宋体"/>
                <w:sz w:val="24"/>
                <w:szCs w:val="24"/>
              </w:rPr>
            </w:pPr>
            <w:r>
              <w:rPr>
                <w:rFonts w:hint="eastAsia" w:ascii="宋体" w:hAnsi="宋体" w:eastAsia="宋体" w:cs="宋体"/>
                <w:sz w:val="24"/>
                <w:szCs w:val="24"/>
              </w:rPr>
              <w:t>1.3.8整机重量：≤裸机1000g</w:t>
            </w:r>
          </w:p>
          <w:p w14:paraId="529A641C">
            <w:pPr>
              <w:rPr>
                <w:rFonts w:hint="eastAsia" w:ascii="宋体" w:hAnsi="宋体" w:eastAsia="宋体" w:cs="宋体"/>
                <w:sz w:val="24"/>
                <w:szCs w:val="24"/>
              </w:rPr>
            </w:pPr>
            <w:r>
              <w:rPr>
                <w:rFonts w:hint="eastAsia" w:ascii="宋体" w:hAnsi="宋体" w:eastAsia="宋体" w:cs="宋体"/>
                <w:sz w:val="24"/>
                <w:szCs w:val="24"/>
              </w:rPr>
              <w:t>1.3.9显示屏：10.1英寸IPS屏 16</w:t>
            </w:r>
            <w:r>
              <w:rPr>
                <w:rFonts w:hint="eastAsia" w:ascii="宋体" w:hAnsi="宋体" w:eastAsia="宋体" w:cs="宋体"/>
                <w:sz w:val="24"/>
                <w:szCs w:val="24"/>
                <w:lang w:eastAsia="zh-CN"/>
              </w:rPr>
              <w:t>：</w:t>
            </w:r>
            <w:r>
              <w:rPr>
                <w:rFonts w:hint="eastAsia" w:ascii="宋体" w:hAnsi="宋体" w:eastAsia="宋体" w:cs="宋体"/>
                <w:sz w:val="24"/>
                <w:szCs w:val="24"/>
              </w:rPr>
              <w:t>10，分辨率800x1280，450nits</w:t>
            </w:r>
          </w:p>
          <w:p w14:paraId="7F986B2B">
            <w:pPr>
              <w:rPr>
                <w:rFonts w:hint="eastAsia" w:ascii="宋体" w:hAnsi="宋体" w:eastAsia="宋体" w:cs="宋体"/>
                <w:sz w:val="24"/>
                <w:szCs w:val="24"/>
              </w:rPr>
            </w:pPr>
            <w:r>
              <w:rPr>
                <w:rFonts w:hint="eastAsia" w:ascii="宋体" w:hAnsi="宋体" w:eastAsia="宋体" w:cs="宋体"/>
                <w:sz w:val="24"/>
                <w:szCs w:val="24"/>
              </w:rPr>
              <w:t>1.3.10触控屏：多点G+G电容屏 (最多5点)</w:t>
            </w:r>
          </w:p>
          <w:p w14:paraId="165918E8">
            <w:pPr>
              <w:rPr>
                <w:rFonts w:hint="eastAsia" w:ascii="宋体" w:hAnsi="宋体" w:eastAsia="宋体" w:cs="宋体"/>
                <w:sz w:val="24"/>
                <w:szCs w:val="24"/>
              </w:rPr>
            </w:pPr>
            <w:r>
              <w:rPr>
                <w:rFonts w:hint="eastAsia" w:ascii="宋体" w:hAnsi="宋体" w:eastAsia="宋体" w:cs="宋体"/>
                <w:sz w:val="24"/>
                <w:szCs w:val="24"/>
              </w:rPr>
              <w:t>1.3.11摄像头：前置2.0MP+后置5.0MP</w:t>
            </w:r>
          </w:p>
          <w:p w14:paraId="2F2AF735">
            <w:pPr>
              <w:rPr>
                <w:rFonts w:hint="eastAsia" w:ascii="宋体" w:hAnsi="宋体" w:eastAsia="宋体" w:cs="宋体"/>
                <w:sz w:val="24"/>
                <w:szCs w:val="24"/>
              </w:rPr>
            </w:pPr>
            <w:r>
              <w:rPr>
                <w:rFonts w:hint="eastAsia" w:ascii="宋体" w:hAnsi="宋体" w:eastAsia="宋体" w:cs="宋体"/>
                <w:sz w:val="24"/>
                <w:szCs w:val="24"/>
              </w:rPr>
              <w:t>1.3.12电源适配器：AC100V ~ 240V、50Hz/60Hz，输出DC 5V/3A</w:t>
            </w:r>
          </w:p>
          <w:p w14:paraId="257A0DF3">
            <w:pPr>
              <w:rPr>
                <w:rFonts w:hint="eastAsia" w:ascii="宋体" w:hAnsi="宋体" w:eastAsia="宋体" w:cs="宋体"/>
                <w:sz w:val="24"/>
                <w:szCs w:val="24"/>
              </w:rPr>
            </w:pPr>
            <w:r>
              <w:rPr>
                <w:rFonts w:hint="eastAsia" w:ascii="宋体" w:hAnsi="宋体" w:eastAsia="宋体" w:cs="宋体"/>
                <w:sz w:val="24"/>
                <w:szCs w:val="24"/>
              </w:rPr>
              <w:t>1.3.13无线通讯：WiFi 5及802.11a/b/g/n，频率2.4G/5.8G+蓝牙4.2</w:t>
            </w:r>
          </w:p>
          <w:p w14:paraId="396D3EF3">
            <w:pPr>
              <w:rPr>
                <w:rFonts w:hint="eastAsia" w:ascii="宋体" w:hAnsi="宋体" w:eastAsia="宋体" w:cs="宋体"/>
                <w:sz w:val="24"/>
                <w:szCs w:val="24"/>
              </w:rPr>
            </w:pPr>
            <w:r>
              <w:rPr>
                <w:rFonts w:hint="eastAsia" w:ascii="宋体" w:hAnsi="宋体" w:eastAsia="宋体" w:cs="宋体"/>
                <w:sz w:val="24"/>
                <w:szCs w:val="24"/>
              </w:rPr>
              <w:t>1.3.14防护特性：IP65认证，MIL-STD-810G认证</w:t>
            </w:r>
          </w:p>
          <w:p w14:paraId="700528F4">
            <w:pPr>
              <w:rPr>
                <w:rFonts w:hint="eastAsia" w:ascii="宋体" w:hAnsi="宋体" w:eastAsia="宋体" w:cs="宋体"/>
                <w:sz w:val="24"/>
                <w:szCs w:val="24"/>
              </w:rPr>
            </w:pPr>
            <w:r>
              <w:rPr>
                <w:rFonts w:hint="eastAsia" w:ascii="宋体" w:hAnsi="宋体" w:eastAsia="宋体" w:cs="宋体"/>
                <w:sz w:val="24"/>
                <w:szCs w:val="24"/>
              </w:rPr>
              <w:t>1.3.15跌落高度：1.22米耐摔落</w:t>
            </w:r>
          </w:p>
          <w:p w14:paraId="6B3B3104">
            <w:pPr>
              <w:rPr>
                <w:rFonts w:hint="eastAsia" w:ascii="宋体" w:hAnsi="宋体" w:eastAsia="宋体" w:cs="宋体"/>
                <w:sz w:val="24"/>
                <w:szCs w:val="24"/>
              </w:rPr>
            </w:pPr>
            <w:r>
              <w:rPr>
                <w:rFonts w:hint="eastAsia" w:ascii="宋体" w:hAnsi="宋体" w:eastAsia="宋体" w:cs="宋体"/>
                <w:sz w:val="24"/>
                <w:szCs w:val="24"/>
              </w:rPr>
              <w:t>三、尿素检测仪（含打印机）仪器参数</w:t>
            </w:r>
          </w:p>
          <w:p w14:paraId="17C8E2C3">
            <w:pPr>
              <w:rPr>
                <w:rFonts w:hint="eastAsia" w:ascii="宋体" w:hAnsi="宋体" w:eastAsia="宋体" w:cs="宋体"/>
                <w:sz w:val="24"/>
                <w:szCs w:val="24"/>
              </w:rPr>
            </w:pPr>
            <w:r>
              <w:rPr>
                <w:rFonts w:hint="eastAsia" w:ascii="宋体" w:hAnsi="宋体" w:eastAsia="宋体" w:cs="宋体"/>
                <w:sz w:val="24"/>
                <w:szCs w:val="24"/>
              </w:rPr>
              <w:t>1.性能特点</w:t>
            </w:r>
          </w:p>
          <w:p w14:paraId="15AEE6AD">
            <w:pPr>
              <w:rPr>
                <w:rFonts w:hint="eastAsia" w:ascii="宋体" w:hAnsi="宋体" w:eastAsia="宋体" w:cs="宋体"/>
                <w:sz w:val="24"/>
                <w:szCs w:val="24"/>
              </w:rPr>
            </w:pPr>
            <w:r>
              <w:rPr>
                <w:rFonts w:hint="eastAsia" w:ascii="宋体" w:hAnsi="宋体" w:eastAsia="宋体" w:cs="宋体"/>
                <w:sz w:val="24"/>
                <w:szCs w:val="24"/>
              </w:rPr>
              <w:t>1.1要求带有棱镜盖板，保护样品，确保样品精度；</w:t>
            </w:r>
          </w:p>
          <w:p w14:paraId="016DF979">
            <w:pPr>
              <w:rPr>
                <w:rFonts w:hint="eastAsia" w:ascii="宋体" w:hAnsi="宋体" w:eastAsia="宋体" w:cs="宋体"/>
                <w:sz w:val="24"/>
                <w:szCs w:val="24"/>
              </w:rPr>
            </w:pPr>
            <w:r>
              <w:rPr>
                <w:rFonts w:hint="eastAsia" w:ascii="宋体" w:hAnsi="宋体" w:eastAsia="宋体" w:cs="宋体"/>
                <w:sz w:val="24"/>
                <w:szCs w:val="24"/>
              </w:rPr>
              <w:t>1.2液晶显示屏显示检测结果等信息；</w:t>
            </w:r>
          </w:p>
          <w:p w14:paraId="6FD4522C">
            <w:pPr>
              <w:rPr>
                <w:rFonts w:hint="eastAsia" w:ascii="宋体" w:hAnsi="宋体" w:eastAsia="宋体" w:cs="宋体"/>
                <w:sz w:val="24"/>
                <w:szCs w:val="24"/>
              </w:rPr>
            </w:pPr>
            <w:r>
              <w:rPr>
                <w:rFonts w:hint="eastAsia" w:ascii="宋体" w:hAnsi="宋体" w:eastAsia="宋体" w:cs="宋体"/>
                <w:sz w:val="24"/>
                <w:szCs w:val="24"/>
              </w:rPr>
              <w:t>1.3一秒测量，一键校正，设计简洁，可单手操作；</w:t>
            </w:r>
          </w:p>
          <w:p w14:paraId="1EB0E6B6">
            <w:pPr>
              <w:rPr>
                <w:rFonts w:hint="eastAsia" w:ascii="宋体" w:hAnsi="宋体" w:eastAsia="宋体" w:cs="宋体"/>
                <w:sz w:val="24"/>
                <w:szCs w:val="24"/>
              </w:rPr>
            </w:pPr>
            <w:r>
              <w:rPr>
                <w:rFonts w:hint="eastAsia" w:ascii="宋体" w:hAnsi="宋体" w:eastAsia="宋体" w:cs="宋体"/>
                <w:sz w:val="24"/>
                <w:szCs w:val="24"/>
              </w:rPr>
              <w:t>1.4具有外部光线阻止功能，保证仪器在室外测量时的精度；</w:t>
            </w:r>
          </w:p>
          <w:p w14:paraId="78A6AA44">
            <w:pPr>
              <w:rPr>
                <w:rFonts w:hint="eastAsia" w:ascii="宋体" w:hAnsi="宋体" w:eastAsia="宋体" w:cs="宋体"/>
                <w:sz w:val="24"/>
                <w:szCs w:val="24"/>
              </w:rPr>
            </w:pPr>
            <w:r>
              <w:rPr>
                <w:rFonts w:hint="eastAsia" w:ascii="宋体" w:hAnsi="宋体" w:eastAsia="宋体" w:cs="宋体"/>
                <w:sz w:val="24"/>
                <w:szCs w:val="24"/>
              </w:rPr>
              <w:t>1.5清水归零，操作方便，具有自动温度补偿功能（ATC），保证测量精确；</w:t>
            </w:r>
          </w:p>
          <w:p w14:paraId="28436495">
            <w:pPr>
              <w:rPr>
                <w:rFonts w:hint="eastAsia" w:ascii="宋体" w:hAnsi="宋体" w:eastAsia="宋体" w:cs="宋体"/>
                <w:sz w:val="24"/>
                <w:szCs w:val="24"/>
              </w:rPr>
            </w:pPr>
            <w:r>
              <w:rPr>
                <w:rFonts w:hint="eastAsia" w:ascii="宋体" w:hAnsi="宋体" w:eastAsia="宋体" w:cs="宋体"/>
                <w:sz w:val="24"/>
                <w:szCs w:val="24"/>
              </w:rPr>
              <w:t>1.6小巧轻便，单机仅重要求小于120g，尺寸小于130 x 60 x 30(mm)；</w:t>
            </w:r>
          </w:p>
          <w:p w14:paraId="1CB9893B">
            <w:pPr>
              <w:rPr>
                <w:rFonts w:hint="eastAsia" w:ascii="宋体" w:hAnsi="宋体" w:eastAsia="宋体" w:cs="宋体"/>
                <w:sz w:val="24"/>
                <w:szCs w:val="24"/>
              </w:rPr>
            </w:pPr>
            <w:r>
              <w:rPr>
                <w:rFonts w:hint="eastAsia" w:ascii="宋体" w:hAnsi="宋体" w:eastAsia="宋体" w:cs="宋体"/>
                <w:sz w:val="24"/>
                <w:szCs w:val="24"/>
              </w:rPr>
              <w:t>1.7具有通过外置蓝牙打印机快速打印并远程上传检测结果功能，打印及上传的检测数据要求包括但不仅限于温度、尿素浓度、折射率、判定结果、车牌、VIN号、发动机号码、检测单位、检测人员、检测日期等；</w:t>
            </w:r>
          </w:p>
          <w:p w14:paraId="42D9616A">
            <w:pPr>
              <w:rPr>
                <w:rFonts w:hint="eastAsia" w:ascii="宋体" w:hAnsi="宋体" w:eastAsia="宋体" w:cs="宋体"/>
                <w:sz w:val="24"/>
                <w:szCs w:val="24"/>
              </w:rPr>
            </w:pPr>
            <w:r>
              <w:rPr>
                <w:rFonts w:hint="eastAsia" w:ascii="宋体" w:hAnsi="宋体" w:eastAsia="宋体" w:cs="宋体"/>
                <w:sz w:val="24"/>
                <w:szCs w:val="24"/>
              </w:rPr>
              <w:t>1.8配备微信小程序或APP，具备车牌自动识别、行驶证快速识别、实时监测数据曲线显示功能。</w:t>
            </w:r>
          </w:p>
          <w:p w14:paraId="22D1D580">
            <w:pPr>
              <w:rPr>
                <w:rFonts w:hint="eastAsia" w:ascii="宋体" w:hAnsi="宋体" w:eastAsia="宋体" w:cs="宋体"/>
                <w:sz w:val="24"/>
                <w:szCs w:val="24"/>
              </w:rPr>
            </w:pPr>
            <w:r>
              <w:rPr>
                <w:rFonts w:hint="eastAsia" w:ascii="宋体" w:hAnsi="宋体" w:eastAsia="宋体" w:cs="宋体"/>
                <w:sz w:val="24"/>
                <w:szCs w:val="24"/>
              </w:rPr>
              <w:t>2.技术参数指标</w:t>
            </w:r>
          </w:p>
          <w:p w14:paraId="2B851103">
            <w:pPr>
              <w:rPr>
                <w:rFonts w:hint="eastAsia" w:ascii="宋体" w:hAnsi="宋体" w:eastAsia="宋体" w:cs="宋体"/>
                <w:sz w:val="24"/>
                <w:szCs w:val="24"/>
              </w:rPr>
            </w:pPr>
            <w:r>
              <w:rPr>
                <w:rFonts w:hint="eastAsia" w:ascii="宋体" w:hAnsi="宋体" w:eastAsia="宋体" w:cs="宋体"/>
                <w:sz w:val="24"/>
                <w:szCs w:val="24"/>
              </w:rPr>
              <w:t>测量参数</w:t>
            </w:r>
            <w:r>
              <w:rPr>
                <w:rFonts w:hint="eastAsia" w:ascii="宋体" w:hAnsi="宋体" w:eastAsia="宋体" w:cs="宋体"/>
                <w:sz w:val="24"/>
                <w:szCs w:val="24"/>
              </w:rPr>
              <w:tab/>
            </w:r>
            <w:r>
              <w:rPr>
                <w:rFonts w:hint="eastAsia" w:ascii="宋体" w:hAnsi="宋体" w:eastAsia="宋体" w:cs="宋体"/>
                <w:sz w:val="24"/>
                <w:szCs w:val="24"/>
              </w:rPr>
              <w:t xml:space="preserve">   测量范围</w:t>
            </w:r>
            <w:r>
              <w:rPr>
                <w:rFonts w:hint="eastAsia" w:ascii="宋体" w:hAnsi="宋体" w:eastAsia="宋体" w:cs="宋体"/>
                <w:sz w:val="24"/>
                <w:szCs w:val="24"/>
              </w:rPr>
              <w:tab/>
            </w:r>
            <w:r>
              <w:rPr>
                <w:rFonts w:hint="eastAsia" w:ascii="宋体" w:hAnsi="宋体" w:eastAsia="宋体" w:cs="宋体"/>
                <w:sz w:val="24"/>
                <w:szCs w:val="24"/>
              </w:rPr>
              <w:t xml:space="preserve">       分度值</w:t>
            </w:r>
            <w:r>
              <w:rPr>
                <w:rFonts w:hint="eastAsia" w:ascii="宋体" w:hAnsi="宋体" w:eastAsia="宋体" w:cs="宋体"/>
                <w:sz w:val="24"/>
                <w:szCs w:val="24"/>
              </w:rPr>
              <w:tab/>
            </w:r>
            <w:r>
              <w:rPr>
                <w:rFonts w:hint="eastAsia" w:ascii="宋体" w:hAnsi="宋体" w:eastAsia="宋体" w:cs="宋体"/>
                <w:sz w:val="24"/>
                <w:szCs w:val="24"/>
              </w:rPr>
              <w:t xml:space="preserve">       精确度</w:t>
            </w:r>
          </w:p>
          <w:p w14:paraId="37A901EE">
            <w:pPr>
              <w:rPr>
                <w:rFonts w:hint="eastAsia" w:ascii="宋体" w:hAnsi="宋体" w:eastAsia="宋体" w:cs="宋体"/>
                <w:sz w:val="24"/>
                <w:szCs w:val="24"/>
              </w:rPr>
            </w:pPr>
            <w:r>
              <w:rPr>
                <w:rFonts w:hint="eastAsia" w:ascii="宋体" w:hAnsi="宋体" w:eastAsia="宋体" w:cs="宋体"/>
                <w:sz w:val="24"/>
                <w:szCs w:val="24"/>
              </w:rPr>
              <w:t>2.1尿素浓度</w:t>
            </w:r>
            <w:r>
              <w:rPr>
                <w:rFonts w:hint="eastAsia" w:ascii="宋体" w:hAnsi="宋体" w:eastAsia="宋体" w:cs="宋体"/>
                <w:sz w:val="24"/>
                <w:szCs w:val="24"/>
              </w:rPr>
              <w:tab/>
            </w:r>
            <w:r>
              <w:rPr>
                <w:rFonts w:hint="eastAsia" w:ascii="宋体" w:hAnsi="宋体" w:eastAsia="宋体" w:cs="宋体"/>
                <w:sz w:val="24"/>
                <w:szCs w:val="24"/>
              </w:rPr>
              <w:t>0-51.0%</w:t>
            </w:r>
            <w:r>
              <w:rPr>
                <w:rFonts w:hint="eastAsia" w:ascii="宋体" w:hAnsi="宋体" w:eastAsia="宋体" w:cs="宋体"/>
                <w:sz w:val="24"/>
                <w:szCs w:val="24"/>
              </w:rPr>
              <w:tab/>
            </w:r>
            <w:r>
              <w:rPr>
                <w:rFonts w:hint="eastAsia" w:ascii="宋体" w:hAnsi="宋体" w:eastAsia="宋体" w:cs="宋体"/>
                <w:sz w:val="24"/>
                <w:szCs w:val="24"/>
              </w:rPr>
              <w:t xml:space="preserve">            0.1%</w:t>
            </w:r>
            <w:r>
              <w:rPr>
                <w:rFonts w:hint="eastAsia" w:ascii="宋体" w:hAnsi="宋体" w:eastAsia="宋体" w:cs="宋体"/>
                <w:sz w:val="24"/>
                <w:szCs w:val="24"/>
              </w:rPr>
              <w:tab/>
            </w:r>
            <w:r>
              <w:rPr>
                <w:rFonts w:hint="eastAsia" w:ascii="宋体" w:hAnsi="宋体" w:eastAsia="宋体" w:cs="宋体"/>
                <w:sz w:val="24"/>
                <w:szCs w:val="24"/>
              </w:rPr>
              <w:t xml:space="preserve">        ±0.2%</w:t>
            </w:r>
          </w:p>
          <w:p w14:paraId="76166D45">
            <w:pPr>
              <w:rPr>
                <w:rFonts w:hint="eastAsia" w:ascii="宋体" w:hAnsi="宋体" w:eastAsia="宋体" w:cs="宋体"/>
                <w:sz w:val="24"/>
                <w:szCs w:val="24"/>
              </w:rPr>
            </w:pPr>
            <w:r>
              <w:rPr>
                <w:rFonts w:hint="eastAsia" w:ascii="宋体" w:hAnsi="宋体" w:eastAsia="宋体" w:cs="宋体"/>
                <w:sz w:val="24"/>
                <w:szCs w:val="24"/>
              </w:rPr>
              <w:t>2.2尿素折射率</w:t>
            </w:r>
            <w:r>
              <w:rPr>
                <w:rFonts w:hint="eastAsia" w:ascii="宋体" w:hAnsi="宋体" w:eastAsia="宋体" w:cs="宋体"/>
                <w:sz w:val="24"/>
                <w:szCs w:val="24"/>
              </w:rPr>
              <w:tab/>
            </w:r>
            <w:r>
              <w:rPr>
                <w:rFonts w:hint="eastAsia" w:ascii="宋体" w:hAnsi="宋体" w:eastAsia="宋体" w:cs="宋体"/>
                <w:sz w:val="24"/>
                <w:szCs w:val="24"/>
              </w:rPr>
              <w:t xml:space="preserve">1.333―1.4200nD   0.0001nD   </w:t>
            </w:r>
            <w:r>
              <w:rPr>
                <w:rFonts w:hint="eastAsia" w:ascii="宋体" w:hAnsi="宋体" w:eastAsia="宋体" w:cs="宋体"/>
                <w:sz w:val="24"/>
                <w:szCs w:val="24"/>
              </w:rPr>
              <w:tab/>
            </w:r>
            <w:r>
              <w:rPr>
                <w:rFonts w:hint="eastAsia" w:ascii="宋体" w:hAnsi="宋体" w:eastAsia="宋体" w:cs="宋体"/>
                <w:sz w:val="24"/>
                <w:szCs w:val="24"/>
              </w:rPr>
              <w:t>±0.0003nD</w:t>
            </w:r>
          </w:p>
          <w:p w14:paraId="3F0B7046">
            <w:pPr>
              <w:rPr>
                <w:rFonts w:hint="eastAsia" w:ascii="宋体" w:hAnsi="宋体" w:eastAsia="宋体" w:cs="宋体"/>
                <w:sz w:val="24"/>
                <w:szCs w:val="24"/>
              </w:rPr>
            </w:pPr>
            <w:r>
              <w:rPr>
                <w:rFonts w:hint="eastAsia" w:ascii="宋体" w:hAnsi="宋体" w:eastAsia="宋体" w:cs="宋体"/>
                <w:sz w:val="24"/>
                <w:szCs w:val="24"/>
              </w:rPr>
              <w:t>2.3温度补偿</w:t>
            </w:r>
            <w:r>
              <w:rPr>
                <w:rFonts w:hint="eastAsia" w:ascii="宋体" w:hAnsi="宋体" w:eastAsia="宋体" w:cs="宋体"/>
                <w:sz w:val="24"/>
                <w:szCs w:val="24"/>
              </w:rPr>
              <w:tab/>
            </w:r>
            <w:r>
              <w:rPr>
                <w:rFonts w:hint="eastAsia" w:ascii="宋体" w:hAnsi="宋体" w:eastAsia="宋体" w:cs="宋体"/>
                <w:sz w:val="24"/>
                <w:szCs w:val="24"/>
              </w:rPr>
              <w:t>0-40℃</w:t>
            </w:r>
            <w:r>
              <w:rPr>
                <w:rFonts w:hint="eastAsia" w:ascii="宋体" w:hAnsi="宋体" w:eastAsia="宋体" w:cs="宋体"/>
                <w:sz w:val="24"/>
                <w:szCs w:val="24"/>
              </w:rPr>
              <w:tab/>
            </w:r>
          </w:p>
          <w:p w14:paraId="47CB8E5B">
            <w:pPr>
              <w:rPr>
                <w:rFonts w:hint="eastAsia" w:ascii="宋体" w:hAnsi="宋体" w:eastAsia="宋体" w:cs="宋体"/>
                <w:sz w:val="24"/>
                <w:szCs w:val="24"/>
              </w:rPr>
            </w:pPr>
            <w:r>
              <w:rPr>
                <w:rFonts w:hint="eastAsia" w:ascii="宋体" w:hAnsi="宋体" w:eastAsia="宋体" w:cs="宋体"/>
                <w:sz w:val="24"/>
                <w:szCs w:val="24"/>
              </w:rPr>
              <w:t>2.4质量标准要求：符合2013年颁布的GB29518-2013要求，即尿素含量为32.5%，密度1.087-1.093，折光率1.3814-1.3843</w:t>
            </w:r>
          </w:p>
          <w:p w14:paraId="650D1CCA">
            <w:pPr>
              <w:rPr>
                <w:rFonts w:hint="eastAsia" w:ascii="宋体" w:hAnsi="宋体" w:eastAsia="宋体" w:cs="宋体"/>
                <w:sz w:val="24"/>
                <w:szCs w:val="24"/>
              </w:rPr>
            </w:pPr>
            <w:r>
              <w:rPr>
                <w:rFonts w:hint="eastAsia" w:ascii="宋体" w:hAnsi="宋体" w:eastAsia="宋体" w:cs="宋体"/>
                <w:sz w:val="24"/>
                <w:szCs w:val="24"/>
              </w:rPr>
              <w:t>2.5零点校准：用20°C的蒸馏水在20°C的环境中校准</w:t>
            </w:r>
          </w:p>
          <w:p w14:paraId="0743F50D">
            <w:pPr>
              <w:numPr>
                <w:ilvl w:val="0"/>
                <w:numId w:val="3"/>
              </w:numPr>
              <w:rPr>
                <w:rFonts w:hint="eastAsia" w:ascii="宋体" w:hAnsi="宋体" w:eastAsia="宋体" w:cs="宋体"/>
                <w:b/>
                <w:bCs/>
                <w:sz w:val="24"/>
                <w:szCs w:val="24"/>
              </w:rPr>
            </w:pPr>
            <w:r>
              <w:rPr>
                <w:rFonts w:hint="eastAsia" w:ascii="宋体" w:hAnsi="宋体" w:eastAsia="宋体" w:cs="宋体"/>
                <w:b/>
                <w:bCs/>
                <w:sz w:val="24"/>
                <w:szCs w:val="24"/>
              </w:rPr>
              <w:t>工业内窥镜技术参数</w:t>
            </w:r>
          </w:p>
          <w:p w14:paraId="75339D26">
            <w:pPr>
              <w:rPr>
                <w:rFonts w:hint="eastAsia" w:ascii="宋体" w:hAnsi="宋体" w:eastAsia="宋体" w:cs="宋体"/>
                <w:sz w:val="24"/>
                <w:szCs w:val="24"/>
              </w:rPr>
            </w:pPr>
            <w:r>
              <w:rPr>
                <w:rFonts w:hint="eastAsia" w:ascii="宋体" w:hAnsi="宋体" w:eastAsia="宋体" w:cs="宋体"/>
                <w:sz w:val="24"/>
                <w:szCs w:val="24"/>
              </w:rPr>
              <w:t>1.1.系统参数：</w:t>
            </w:r>
          </w:p>
          <w:p w14:paraId="4F1C284A">
            <w:pPr>
              <w:rPr>
                <w:rFonts w:hint="eastAsia" w:ascii="宋体" w:hAnsi="宋体" w:eastAsia="宋体" w:cs="宋体"/>
                <w:sz w:val="24"/>
                <w:szCs w:val="24"/>
              </w:rPr>
            </w:pPr>
            <w:r>
              <w:rPr>
                <w:rFonts w:hint="eastAsia" w:ascii="宋体" w:hAnsi="宋体" w:eastAsia="宋体" w:cs="宋体"/>
                <w:sz w:val="24"/>
                <w:szCs w:val="24"/>
              </w:rPr>
              <w:t>LCD 屏幕显示：≥4.3"IPS(480x272)</w:t>
            </w:r>
          </w:p>
          <w:p w14:paraId="4E3CF0DB">
            <w:pPr>
              <w:rPr>
                <w:rFonts w:hint="eastAsia" w:ascii="宋体" w:hAnsi="宋体" w:eastAsia="宋体" w:cs="宋体"/>
                <w:sz w:val="24"/>
                <w:szCs w:val="24"/>
              </w:rPr>
            </w:pPr>
            <w:r>
              <w:rPr>
                <w:rFonts w:hint="eastAsia" w:ascii="宋体" w:hAnsi="宋体" w:eastAsia="宋体" w:cs="宋体"/>
                <w:sz w:val="24"/>
                <w:szCs w:val="24"/>
              </w:rPr>
              <w:t>菜单语言：中文</w:t>
            </w:r>
          </w:p>
          <w:p w14:paraId="7129CF3A">
            <w:pPr>
              <w:rPr>
                <w:rFonts w:hint="eastAsia" w:ascii="宋体" w:hAnsi="宋体" w:eastAsia="宋体" w:cs="宋体"/>
                <w:sz w:val="24"/>
                <w:szCs w:val="24"/>
              </w:rPr>
            </w:pPr>
            <w:r>
              <w:rPr>
                <w:rFonts w:hint="eastAsia" w:ascii="宋体" w:hAnsi="宋体" w:eastAsia="宋体" w:cs="宋体"/>
                <w:sz w:val="24"/>
                <w:szCs w:val="24"/>
              </w:rPr>
              <w:t>照片分辨率</w:t>
            </w:r>
            <w:r>
              <w:rPr>
                <w:rFonts w:hint="eastAsia" w:ascii="宋体" w:hAnsi="宋体" w:eastAsia="宋体" w:cs="宋体"/>
                <w:sz w:val="24"/>
                <w:szCs w:val="24"/>
              </w:rPr>
              <w:tab/>
            </w:r>
            <w:r>
              <w:rPr>
                <w:rFonts w:hint="eastAsia" w:ascii="宋体" w:hAnsi="宋体" w:eastAsia="宋体" w:cs="宋体"/>
                <w:sz w:val="24"/>
                <w:szCs w:val="24"/>
              </w:rPr>
              <w:t>JPEG</w:t>
            </w:r>
            <w:r>
              <w:rPr>
                <w:rFonts w:hint="eastAsia" w:ascii="宋体" w:hAnsi="宋体" w:eastAsia="宋体" w:cs="宋体"/>
                <w:sz w:val="24"/>
                <w:szCs w:val="24"/>
                <w:lang w:eastAsia="zh-CN"/>
              </w:rPr>
              <w:t>：</w:t>
            </w:r>
            <w:r>
              <w:rPr>
                <w:rFonts w:hint="eastAsia" w:ascii="宋体" w:hAnsi="宋体" w:eastAsia="宋体" w:cs="宋体"/>
                <w:sz w:val="24"/>
                <w:szCs w:val="24"/>
              </w:rPr>
              <w:t>≥1280*720</w:t>
            </w:r>
          </w:p>
          <w:p w14:paraId="79AECE35">
            <w:pPr>
              <w:rPr>
                <w:rFonts w:hint="eastAsia" w:ascii="宋体" w:hAnsi="宋体" w:eastAsia="宋体" w:cs="宋体"/>
                <w:sz w:val="24"/>
                <w:szCs w:val="24"/>
              </w:rPr>
            </w:pPr>
            <w:r>
              <w:rPr>
                <w:rFonts w:hint="eastAsia" w:ascii="宋体" w:hAnsi="宋体" w:eastAsia="宋体" w:cs="宋体"/>
                <w:sz w:val="24"/>
                <w:szCs w:val="24"/>
              </w:rPr>
              <w:t>视频录制分辨率：MP4</w:t>
            </w:r>
            <w:r>
              <w:rPr>
                <w:rFonts w:hint="eastAsia" w:ascii="宋体" w:hAnsi="宋体" w:eastAsia="宋体" w:cs="宋体"/>
                <w:sz w:val="24"/>
                <w:szCs w:val="24"/>
                <w:lang w:eastAsia="zh-CN"/>
              </w:rPr>
              <w:t>：</w:t>
            </w:r>
            <w:r>
              <w:rPr>
                <w:rFonts w:hint="eastAsia" w:ascii="宋体" w:hAnsi="宋体" w:eastAsia="宋体" w:cs="宋体"/>
                <w:sz w:val="24"/>
                <w:szCs w:val="24"/>
              </w:rPr>
              <w:t>≥720P</w:t>
            </w:r>
          </w:p>
          <w:p w14:paraId="0F5D92B3">
            <w:pPr>
              <w:rPr>
                <w:rFonts w:hint="eastAsia" w:ascii="宋体" w:hAnsi="宋体" w:eastAsia="宋体" w:cs="宋体"/>
                <w:sz w:val="24"/>
                <w:szCs w:val="24"/>
              </w:rPr>
            </w:pPr>
            <w:r>
              <w:rPr>
                <w:rFonts w:hint="eastAsia" w:ascii="宋体" w:hAnsi="宋体" w:eastAsia="宋体" w:cs="宋体"/>
                <w:sz w:val="24"/>
                <w:szCs w:val="24"/>
              </w:rPr>
              <w:t>基本功能：拍照，录像，回放，高温预警保护,图片旋转,放大</w:t>
            </w:r>
          </w:p>
          <w:p w14:paraId="56AE36B3">
            <w:pPr>
              <w:rPr>
                <w:rFonts w:hint="eastAsia" w:ascii="宋体" w:hAnsi="宋体" w:eastAsia="宋体" w:cs="宋体"/>
                <w:sz w:val="24"/>
                <w:szCs w:val="24"/>
              </w:rPr>
            </w:pPr>
            <w:r>
              <w:rPr>
                <w:rFonts w:hint="eastAsia" w:ascii="宋体" w:hAnsi="宋体" w:eastAsia="宋体" w:cs="宋体"/>
                <w:sz w:val="24"/>
                <w:szCs w:val="24"/>
              </w:rPr>
              <w:t>内存：TF 卡(≥32GB)</w:t>
            </w:r>
          </w:p>
          <w:p w14:paraId="24120EDD">
            <w:pPr>
              <w:rPr>
                <w:rFonts w:hint="eastAsia" w:ascii="宋体" w:hAnsi="宋体" w:eastAsia="宋体" w:cs="宋体"/>
                <w:sz w:val="24"/>
                <w:szCs w:val="24"/>
              </w:rPr>
            </w:pPr>
            <w:r>
              <w:rPr>
                <w:rFonts w:hint="eastAsia" w:ascii="宋体" w:hAnsi="宋体" w:eastAsia="宋体" w:cs="宋体"/>
                <w:sz w:val="24"/>
                <w:szCs w:val="24"/>
              </w:rPr>
              <w:t>1.2.蛇管：</w:t>
            </w:r>
          </w:p>
          <w:p w14:paraId="51013ECC">
            <w:pPr>
              <w:rPr>
                <w:rFonts w:hint="eastAsia" w:ascii="宋体" w:hAnsi="宋体" w:eastAsia="宋体" w:cs="宋体"/>
                <w:sz w:val="24"/>
                <w:szCs w:val="24"/>
              </w:rPr>
            </w:pPr>
            <w:r>
              <w:rPr>
                <w:rFonts w:hint="eastAsia" w:ascii="宋体" w:hAnsi="宋体" w:eastAsia="宋体" w:cs="宋体"/>
                <w:sz w:val="24"/>
                <w:szCs w:val="24"/>
              </w:rPr>
              <w:t>转向半径：≥35mm</w:t>
            </w:r>
          </w:p>
          <w:p w14:paraId="5163084D">
            <w:pPr>
              <w:rPr>
                <w:rFonts w:hint="eastAsia" w:ascii="宋体" w:hAnsi="宋体" w:eastAsia="宋体" w:cs="宋体"/>
                <w:sz w:val="24"/>
                <w:szCs w:val="24"/>
              </w:rPr>
            </w:pPr>
            <w:r>
              <w:rPr>
                <w:rFonts w:hint="eastAsia" w:ascii="宋体" w:hAnsi="宋体" w:eastAsia="宋体" w:cs="宋体"/>
                <w:sz w:val="24"/>
                <w:szCs w:val="24"/>
              </w:rPr>
              <w:t>转向</w:t>
            </w:r>
            <w:r>
              <w:rPr>
                <w:rFonts w:hint="eastAsia" w:ascii="宋体" w:hAnsi="宋体" w:eastAsia="宋体" w:cs="宋体"/>
                <w:sz w:val="24"/>
                <w:szCs w:val="24"/>
              </w:rPr>
              <w:tab/>
            </w:r>
            <w:r>
              <w:rPr>
                <w:rFonts w:hint="eastAsia" w:ascii="宋体" w:hAnsi="宋体" w:eastAsia="宋体" w:cs="宋体"/>
                <w:sz w:val="24"/>
                <w:szCs w:val="24"/>
              </w:rPr>
              <w:t>转向角度：双向≥180°</w:t>
            </w:r>
          </w:p>
          <w:p w14:paraId="515F4F14">
            <w:pPr>
              <w:rPr>
                <w:rFonts w:hint="eastAsia" w:ascii="宋体" w:hAnsi="宋体" w:eastAsia="宋体" w:cs="宋体"/>
                <w:sz w:val="24"/>
                <w:szCs w:val="24"/>
              </w:rPr>
            </w:pPr>
            <w:r>
              <w:rPr>
                <w:rFonts w:hint="eastAsia" w:ascii="宋体" w:hAnsi="宋体" w:eastAsia="宋体" w:cs="宋体"/>
                <w:sz w:val="24"/>
                <w:szCs w:val="24"/>
              </w:rPr>
              <w:t>转向寿命：≥20000次</w:t>
            </w:r>
          </w:p>
          <w:p w14:paraId="52115E91">
            <w:pPr>
              <w:rPr>
                <w:rFonts w:hint="eastAsia" w:ascii="宋体" w:hAnsi="宋体" w:eastAsia="宋体" w:cs="宋体"/>
                <w:sz w:val="24"/>
                <w:szCs w:val="24"/>
              </w:rPr>
            </w:pPr>
            <w:r>
              <w:rPr>
                <w:rFonts w:hint="eastAsia" w:ascii="宋体" w:hAnsi="宋体" w:eastAsia="宋体" w:cs="宋体"/>
                <w:sz w:val="24"/>
                <w:szCs w:val="24"/>
              </w:rPr>
              <w:t>蛇管材质：弹性金属软管</w:t>
            </w:r>
          </w:p>
          <w:p w14:paraId="103DB7BD">
            <w:pPr>
              <w:rPr>
                <w:rFonts w:hint="eastAsia" w:ascii="宋体" w:hAnsi="宋体" w:eastAsia="宋体" w:cs="宋体"/>
                <w:sz w:val="24"/>
                <w:szCs w:val="24"/>
              </w:rPr>
            </w:pPr>
            <w:r>
              <w:rPr>
                <w:rFonts w:hint="eastAsia" w:ascii="宋体" w:hAnsi="宋体" w:eastAsia="宋体" w:cs="宋体"/>
                <w:sz w:val="24"/>
                <w:szCs w:val="24"/>
              </w:rPr>
              <w:t>蛇管长度：≥2 米</w:t>
            </w:r>
          </w:p>
          <w:p w14:paraId="4D7AFA69">
            <w:pPr>
              <w:rPr>
                <w:rFonts w:hint="eastAsia" w:ascii="宋体" w:hAnsi="宋体" w:eastAsia="宋体" w:cs="宋体"/>
                <w:sz w:val="24"/>
                <w:szCs w:val="24"/>
              </w:rPr>
            </w:pPr>
            <w:r>
              <w:rPr>
                <w:rFonts w:hint="eastAsia" w:ascii="宋体" w:hAnsi="宋体" w:eastAsia="宋体" w:cs="宋体"/>
                <w:sz w:val="24"/>
                <w:szCs w:val="24"/>
              </w:rPr>
              <w:t>1.3.摄像头</w:t>
            </w:r>
          </w:p>
          <w:p w14:paraId="429645C8">
            <w:pPr>
              <w:rPr>
                <w:rFonts w:hint="eastAsia" w:ascii="宋体" w:hAnsi="宋体" w:eastAsia="宋体" w:cs="宋体"/>
                <w:sz w:val="24"/>
                <w:szCs w:val="24"/>
              </w:rPr>
            </w:pPr>
            <w:r>
              <w:rPr>
                <w:rFonts w:hint="eastAsia" w:ascii="宋体" w:hAnsi="宋体" w:eastAsia="宋体" w:cs="宋体"/>
                <w:sz w:val="24"/>
                <w:szCs w:val="24"/>
              </w:rPr>
              <w:t>摄像头直径：≤Ф8.5mm</w:t>
            </w:r>
          </w:p>
          <w:p w14:paraId="27D5318C">
            <w:pPr>
              <w:rPr>
                <w:rFonts w:hint="eastAsia" w:ascii="宋体" w:hAnsi="宋体" w:eastAsia="宋体" w:cs="宋体"/>
                <w:sz w:val="24"/>
                <w:szCs w:val="24"/>
              </w:rPr>
            </w:pPr>
            <w:r>
              <w:rPr>
                <w:rFonts w:hint="eastAsia" w:ascii="宋体" w:hAnsi="宋体" w:eastAsia="宋体" w:cs="宋体"/>
                <w:sz w:val="24"/>
                <w:szCs w:val="24"/>
              </w:rPr>
              <w:t>感光芯片：≥1280x720</w:t>
            </w:r>
          </w:p>
          <w:p w14:paraId="50DDA745">
            <w:pPr>
              <w:rPr>
                <w:rFonts w:hint="eastAsia" w:ascii="宋体" w:hAnsi="宋体" w:eastAsia="宋体" w:cs="宋体"/>
                <w:sz w:val="24"/>
                <w:szCs w:val="24"/>
              </w:rPr>
            </w:pPr>
            <w:r>
              <w:rPr>
                <w:rFonts w:hint="eastAsia" w:ascii="宋体" w:hAnsi="宋体" w:eastAsia="宋体" w:cs="宋体"/>
                <w:sz w:val="24"/>
                <w:szCs w:val="24"/>
              </w:rPr>
              <w:t>视场角：≥70°</w:t>
            </w:r>
          </w:p>
          <w:p w14:paraId="0FD12CD1">
            <w:pPr>
              <w:rPr>
                <w:rFonts w:hint="eastAsia" w:ascii="宋体" w:hAnsi="宋体" w:eastAsia="宋体" w:cs="宋体"/>
                <w:sz w:val="24"/>
                <w:szCs w:val="24"/>
              </w:rPr>
            </w:pPr>
            <w:r>
              <w:rPr>
                <w:rFonts w:hint="eastAsia" w:ascii="宋体" w:hAnsi="宋体" w:eastAsia="宋体" w:cs="宋体"/>
                <w:sz w:val="24"/>
                <w:szCs w:val="24"/>
              </w:rPr>
              <w:t>可调节LED 灯：支持</w:t>
            </w:r>
          </w:p>
          <w:p w14:paraId="22C91FB5">
            <w:pPr>
              <w:rPr>
                <w:rFonts w:hint="eastAsia" w:ascii="宋体" w:hAnsi="宋体" w:eastAsia="宋体" w:cs="宋体"/>
                <w:sz w:val="24"/>
                <w:szCs w:val="24"/>
              </w:rPr>
            </w:pPr>
            <w:r>
              <w:rPr>
                <w:rFonts w:hint="eastAsia" w:ascii="宋体" w:hAnsi="宋体" w:eastAsia="宋体" w:cs="宋体"/>
                <w:sz w:val="24"/>
                <w:szCs w:val="24"/>
              </w:rPr>
              <w:t>摄像头防护等级：≥IP67</w:t>
            </w:r>
          </w:p>
          <w:p w14:paraId="4FBCFC65">
            <w:pPr>
              <w:rPr>
                <w:rFonts w:hint="eastAsia" w:ascii="宋体" w:hAnsi="宋体" w:eastAsia="宋体" w:cs="宋体"/>
                <w:sz w:val="24"/>
                <w:szCs w:val="24"/>
              </w:rPr>
            </w:pPr>
            <w:r>
              <w:rPr>
                <w:rFonts w:hint="eastAsia" w:ascii="宋体" w:hAnsi="宋体" w:eastAsia="宋体" w:cs="宋体"/>
                <w:sz w:val="24"/>
                <w:szCs w:val="24"/>
              </w:rPr>
              <w:t>1.4.电池寿命：</w:t>
            </w:r>
          </w:p>
          <w:p w14:paraId="1C1DE8B6">
            <w:pPr>
              <w:rPr>
                <w:rFonts w:hint="eastAsia" w:ascii="宋体" w:hAnsi="宋体" w:eastAsia="宋体" w:cs="宋体"/>
                <w:sz w:val="24"/>
                <w:szCs w:val="24"/>
              </w:rPr>
            </w:pPr>
            <w:r>
              <w:rPr>
                <w:rFonts w:hint="eastAsia" w:ascii="宋体" w:hAnsi="宋体" w:eastAsia="宋体" w:cs="宋体"/>
                <w:sz w:val="24"/>
                <w:szCs w:val="24"/>
              </w:rPr>
              <w:t>充电</w:t>
            </w:r>
            <w:r>
              <w:rPr>
                <w:rFonts w:hint="eastAsia" w:ascii="宋体" w:hAnsi="宋体" w:eastAsia="宋体" w:cs="宋体"/>
                <w:sz w:val="24"/>
                <w:szCs w:val="24"/>
                <w:lang w:eastAsia="zh-CN"/>
              </w:rPr>
              <w:t>：</w:t>
            </w:r>
            <w:r>
              <w:rPr>
                <w:rFonts w:hint="eastAsia" w:ascii="宋体" w:hAnsi="宋体" w:eastAsia="宋体" w:cs="宋体"/>
                <w:sz w:val="24"/>
                <w:szCs w:val="24"/>
              </w:rPr>
              <w:t>直流电 5V*2A</w:t>
            </w:r>
            <w:r>
              <w:rPr>
                <w:rFonts w:hint="eastAsia" w:ascii="宋体" w:hAnsi="宋体" w:eastAsia="宋体" w:cs="宋体"/>
                <w:sz w:val="24"/>
                <w:szCs w:val="24"/>
                <w:lang w:eastAsia="zh-CN"/>
              </w:rPr>
              <w:t>；</w:t>
            </w:r>
            <w:r>
              <w:rPr>
                <w:rFonts w:hint="eastAsia" w:ascii="宋体" w:hAnsi="宋体" w:eastAsia="宋体" w:cs="宋体"/>
                <w:sz w:val="24"/>
                <w:szCs w:val="24"/>
              </w:rPr>
              <w:t>3.7V/2200mAh</w:t>
            </w:r>
            <w:r>
              <w:rPr>
                <w:rFonts w:hint="eastAsia" w:ascii="宋体" w:hAnsi="宋体" w:eastAsia="宋体" w:cs="宋体"/>
                <w:sz w:val="24"/>
                <w:szCs w:val="24"/>
                <w:lang w:eastAsia="zh-CN"/>
              </w:rPr>
              <w:t>；</w:t>
            </w:r>
            <w:r>
              <w:rPr>
                <w:rFonts w:hint="eastAsia" w:ascii="宋体" w:hAnsi="宋体" w:eastAsia="宋体" w:cs="宋体"/>
                <w:sz w:val="24"/>
                <w:szCs w:val="24"/>
              </w:rPr>
              <w:t>设备使用时长大于 4 小时。</w:t>
            </w:r>
          </w:p>
          <w:p w14:paraId="6B801FF3">
            <w:pPr>
              <w:rPr>
                <w:rFonts w:hint="eastAsia" w:ascii="宋体" w:hAnsi="宋体" w:eastAsia="宋体" w:cs="宋体"/>
                <w:sz w:val="24"/>
                <w:szCs w:val="24"/>
              </w:rPr>
            </w:pPr>
            <w:r>
              <w:rPr>
                <w:rFonts w:hint="eastAsia" w:ascii="宋体" w:hAnsi="宋体" w:eastAsia="宋体" w:cs="宋体"/>
                <w:sz w:val="24"/>
                <w:szCs w:val="24"/>
              </w:rPr>
              <w:t>1.5.工作环境温度和湿度：-10℃-50℃</w:t>
            </w:r>
            <w:r>
              <w:rPr>
                <w:rFonts w:hint="eastAsia" w:ascii="宋体" w:hAnsi="宋体" w:eastAsia="宋体" w:cs="宋体"/>
                <w:sz w:val="24"/>
                <w:szCs w:val="24"/>
                <w:lang w:eastAsia="zh-CN"/>
              </w:rPr>
              <w:t>；</w:t>
            </w:r>
            <w:r>
              <w:rPr>
                <w:rFonts w:hint="eastAsia" w:ascii="宋体" w:hAnsi="宋体" w:eastAsia="宋体" w:cs="宋体"/>
                <w:sz w:val="24"/>
                <w:szCs w:val="24"/>
              </w:rPr>
              <w:t>≤90%RH；</w:t>
            </w:r>
          </w:p>
          <w:p w14:paraId="5EF838C9">
            <w:pPr>
              <w:rPr>
                <w:rFonts w:hint="eastAsia" w:ascii="宋体" w:hAnsi="宋体" w:eastAsia="宋体" w:cs="宋体"/>
                <w:sz w:val="24"/>
                <w:szCs w:val="24"/>
              </w:rPr>
            </w:pPr>
            <w:r>
              <w:rPr>
                <w:rFonts w:hint="eastAsia" w:ascii="宋体" w:hAnsi="宋体" w:eastAsia="宋体" w:cs="宋体"/>
                <w:sz w:val="24"/>
                <w:szCs w:val="24"/>
              </w:rPr>
              <w:t>五、数据处理器及便携式打印机、台式复印机各1套</w:t>
            </w:r>
          </w:p>
          <w:p w14:paraId="5F915F29">
            <w:pPr>
              <w:rPr>
                <w:rFonts w:hint="eastAsia" w:ascii="宋体" w:hAnsi="宋体" w:eastAsia="宋体" w:cs="宋体"/>
                <w:sz w:val="24"/>
                <w:szCs w:val="24"/>
              </w:rPr>
            </w:pPr>
            <w:r>
              <w:rPr>
                <w:rFonts w:hint="eastAsia" w:ascii="宋体" w:hAnsi="宋体" w:eastAsia="宋体" w:cs="宋体"/>
                <w:sz w:val="24"/>
                <w:szCs w:val="24"/>
              </w:rPr>
              <w:t>1、数据处理器配置：CPU为i5-13500,内存容量：24GB,硬盘容量：1TB,显卡类型：集成显卡，屏幕尺寸：16英寸OLED，配原装包鼠</w:t>
            </w:r>
          </w:p>
          <w:p w14:paraId="10DE9C02">
            <w:pPr>
              <w:rPr>
                <w:rFonts w:hint="eastAsia" w:ascii="宋体" w:hAnsi="宋体" w:eastAsia="宋体" w:cs="宋体"/>
                <w:sz w:val="24"/>
                <w:szCs w:val="24"/>
              </w:rPr>
            </w:pPr>
            <w:r>
              <w:rPr>
                <w:rFonts w:hint="eastAsia" w:ascii="宋体" w:hAnsi="宋体" w:eastAsia="宋体" w:cs="宋体"/>
                <w:sz w:val="24"/>
                <w:szCs w:val="24"/>
              </w:rPr>
              <w:t>2、便携式打印机规格参数</w:t>
            </w:r>
          </w:p>
          <w:p w14:paraId="41864753">
            <w:pPr>
              <w:rPr>
                <w:rFonts w:hint="eastAsia" w:ascii="宋体" w:hAnsi="宋体" w:eastAsia="宋体" w:cs="宋体"/>
                <w:sz w:val="24"/>
                <w:szCs w:val="24"/>
              </w:rPr>
            </w:pPr>
            <w:r>
              <w:rPr>
                <w:rFonts w:hint="eastAsia" w:ascii="宋体" w:hAnsi="宋体" w:eastAsia="宋体" w:cs="宋体"/>
                <w:sz w:val="24"/>
                <w:szCs w:val="24"/>
              </w:rPr>
              <w:t>（1）端口：USB、WiFi端口</w:t>
            </w:r>
          </w:p>
          <w:p w14:paraId="0F0B20DC">
            <w:pPr>
              <w:rPr>
                <w:rFonts w:hint="eastAsia" w:ascii="宋体" w:hAnsi="宋体" w:eastAsia="宋体" w:cs="宋体"/>
                <w:sz w:val="24"/>
                <w:szCs w:val="24"/>
              </w:rPr>
            </w:pPr>
            <w:r>
              <w:rPr>
                <w:rFonts w:hint="eastAsia" w:ascii="宋体" w:hAnsi="宋体" w:eastAsia="宋体" w:cs="宋体"/>
                <w:sz w:val="24"/>
                <w:szCs w:val="24"/>
              </w:rPr>
              <w:t>（2）打印功能：非自动双面</w:t>
            </w:r>
          </w:p>
          <w:p w14:paraId="7229DF1C">
            <w:pPr>
              <w:rPr>
                <w:rFonts w:hint="eastAsia" w:ascii="宋体" w:hAnsi="宋体" w:eastAsia="宋体" w:cs="宋体"/>
                <w:sz w:val="24"/>
                <w:szCs w:val="24"/>
              </w:rPr>
            </w:pPr>
            <w:r>
              <w:rPr>
                <w:rFonts w:hint="eastAsia" w:ascii="宋体" w:hAnsi="宋体" w:eastAsia="宋体" w:cs="宋体"/>
                <w:sz w:val="24"/>
                <w:szCs w:val="24"/>
              </w:rPr>
              <w:t>（3）基础功能：打印</w:t>
            </w:r>
          </w:p>
          <w:p w14:paraId="7C275E48">
            <w:pPr>
              <w:rPr>
                <w:rFonts w:hint="eastAsia" w:ascii="宋体" w:hAnsi="宋体" w:eastAsia="宋体" w:cs="宋体"/>
                <w:sz w:val="24"/>
                <w:szCs w:val="24"/>
              </w:rPr>
            </w:pPr>
            <w:r>
              <w:rPr>
                <w:rFonts w:hint="eastAsia" w:ascii="宋体" w:hAnsi="宋体" w:eastAsia="宋体" w:cs="宋体"/>
                <w:sz w:val="24"/>
                <w:szCs w:val="24"/>
              </w:rPr>
              <w:t>（4）网络打印：支持无线网络打印</w:t>
            </w:r>
          </w:p>
          <w:p w14:paraId="7BCC5AF0">
            <w:pPr>
              <w:rPr>
                <w:rFonts w:hint="eastAsia" w:ascii="宋体" w:hAnsi="宋体" w:eastAsia="宋体" w:cs="宋体"/>
                <w:sz w:val="24"/>
                <w:szCs w:val="24"/>
              </w:rPr>
            </w:pPr>
            <w:r>
              <w:rPr>
                <w:rFonts w:hint="eastAsia" w:ascii="宋体" w:hAnsi="宋体" w:eastAsia="宋体" w:cs="宋体"/>
                <w:sz w:val="24"/>
                <w:szCs w:val="24"/>
              </w:rPr>
              <w:t>（5）最大支持幅面：A4</w:t>
            </w:r>
          </w:p>
          <w:p w14:paraId="7B8E8889">
            <w:pPr>
              <w:rPr>
                <w:rFonts w:hint="eastAsia" w:ascii="宋体" w:hAnsi="宋体" w:eastAsia="宋体" w:cs="宋体"/>
                <w:sz w:val="24"/>
                <w:szCs w:val="24"/>
              </w:rPr>
            </w:pPr>
            <w:r>
              <w:rPr>
                <w:rFonts w:hint="eastAsia" w:ascii="宋体" w:hAnsi="宋体" w:eastAsia="宋体" w:cs="宋体"/>
                <w:sz w:val="24"/>
                <w:szCs w:val="24"/>
              </w:rPr>
              <w:t>（6）照片打印：支持照片打印</w:t>
            </w:r>
          </w:p>
          <w:p w14:paraId="428972BD">
            <w:pPr>
              <w:rPr>
                <w:rFonts w:hint="eastAsia" w:ascii="宋体" w:hAnsi="宋体" w:eastAsia="宋体" w:cs="宋体"/>
                <w:sz w:val="24"/>
                <w:szCs w:val="24"/>
              </w:rPr>
            </w:pPr>
            <w:r>
              <w:rPr>
                <w:rFonts w:hint="eastAsia" w:ascii="宋体" w:hAnsi="宋体" w:eastAsia="宋体" w:cs="宋体"/>
                <w:sz w:val="24"/>
                <w:szCs w:val="24"/>
              </w:rPr>
              <w:t>3、台式复印件机规格参数</w:t>
            </w:r>
          </w:p>
          <w:p w14:paraId="7728A2B4">
            <w:pPr>
              <w:rPr>
                <w:rFonts w:hint="eastAsia" w:ascii="宋体" w:hAnsi="宋体" w:eastAsia="宋体" w:cs="宋体"/>
                <w:sz w:val="24"/>
                <w:szCs w:val="24"/>
              </w:rPr>
            </w:pPr>
            <w:r>
              <w:rPr>
                <w:rFonts w:hint="eastAsia" w:ascii="宋体" w:hAnsi="宋体" w:eastAsia="宋体" w:cs="宋体"/>
                <w:sz w:val="24"/>
                <w:szCs w:val="24"/>
              </w:rPr>
              <w:t>（1）产品功能：打印、复印、扫描</w:t>
            </w:r>
          </w:p>
          <w:p w14:paraId="379A7CE3">
            <w:pPr>
              <w:rPr>
                <w:rFonts w:hint="eastAsia" w:ascii="宋体" w:hAnsi="宋体" w:eastAsia="宋体" w:cs="宋体"/>
                <w:sz w:val="24"/>
                <w:szCs w:val="24"/>
              </w:rPr>
            </w:pPr>
            <w:r>
              <w:rPr>
                <w:rFonts w:hint="eastAsia" w:ascii="宋体" w:hAnsi="宋体" w:eastAsia="宋体" w:cs="宋体"/>
                <w:sz w:val="24"/>
                <w:szCs w:val="24"/>
              </w:rPr>
              <w:t>（2）打印幅面：A3</w:t>
            </w:r>
          </w:p>
          <w:p w14:paraId="0366DB4C">
            <w:pPr>
              <w:rPr>
                <w:rFonts w:hint="eastAsia" w:ascii="宋体" w:hAnsi="宋体" w:eastAsia="宋体" w:cs="宋体"/>
                <w:sz w:val="24"/>
                <w:szCs w:val="24"/>
              </w:rPr>
            </w:pPr>
            <w:r>
              <w:rPr>
                <w:rFonts w:hint="eastAsia" w:ascii="宋体" w:hAnsi="宋体" w:eastAsia="宋体" w:cs="宋体"/>
                <w:sz w:val="24"/>
                <w:szCs w:val="24"/>
              </w:rPr>
              <w:t>（3）复印速度：25页/分钟</w:t>
            </w:r>
          </w:p>
          <w:p w14:paraId="6C9BF63F">
            <w:pPr>
              <w:rPr>
                <w:rFonts w:hint="eastAsia" w:ascii="宋体" w:hAnsi="宋体" w:eastAsia="宋体" w:cs="宋体"/>
                <w:sz w:val="24"/>
                <w:szCs w:val="24"/>
              </w:rPr>
            </w:pPr>
            <w:r>
              <w:rPr>
                <w:rFonts w:hint="eastAsia" w:ascii="宋体" w:hAnsi="宋体" w:eastAsia="宋体" w:cs="宋体"/>
                <w:sz w:val="24"/>
                <w:szCs w:val="24"/>
              </w:rPr>
              <w:t>（4）首页复印时间：约4.3秒</w:t>
            </w:r>
          </w:p>
          <w:p w14:paraId="3731F927">
            <w:pPr>
              <w:rPr>
                <w:rFonts w:hint="eastAsia" w:ascii="宋体" w:hAnsi="宋体" w:eastAsia="宋体" w:cs="宋体"/>
                <w:sz w:val="24"/>
                <w:szCs w:val="24"/>
              </w:rPr>
            </w:pPr>
            <w:r>
              <w:rPr>
                <w:rFonts w:hint="eastAsia" w:ascii="宋体" w:hAnsi="宋体" w:eastAsia="宋体" w:cs="宋体"/>
                <w:sz w:val="24"/>
                <w:szCs w:val="24"/>
              </w:rPr>
              <w:t>（5）内存容量：4GB</w:t>
            </w:r>
          </w:p>
          <w:p w14:paraId="71B985E4">
            <w:pPr>
              <w:rPr>
                <w:rFonts w:hint="eastAsia" w:ascii="宋体" w:hAnsi="宋体" w:eastAsia="宋体" w:cs="宋体"/>
                <w:sz w:val="24"/>
                <w:szCs w:val="24"/>
              </w:rPr>
            </w:pPr>
            <w:r>
              <w:rPr>
                <w:rFonts w:hint="eastAsia" w:ascii="宋体" w:hAnsi="宋体" w:eastAsia="宋体" w:cs="宋体"/>
                <w:sz w:val="24"/>
                <w:szCs w:val="24"/>
              </w:rPr>
              <w:t>（6）存储：128GSSD</w:t>
            </w:r>
          </w:p>
          <w:p w14:paraId="5DB11A13">
            <w:pPr>
              <w:rPr>
                <w:rFonts w:hint="eastAsia" w:ascii="宋体" w:hAnsi="宋体" w:eastAsia="宋体" w:cs="宋体"/>
                <w:sz w:val="24"/>
                <w:szCs w:val="24"/>
              </w:rPr>
            </w:pPr>
            <w:r>
              <w:rPr>
                <w:rFonts w:hint="eastAsia" w:ascii="宋体" w:hAnsi="宋体" w:eastAsia="宋体" w:cs="宋体"/>
                <w:sz w:val="24"/>
                <w:szCs w:val="24"/>
              </w:rPr>
              <w:t>（7）电源：220-240V</w:t>
            </w:r>
          </w:p>
          <w:p w14:paraId="15B87B8A">
            <w:pPr>
              <w:rPr>
                <w:rFonts w:hint="eastAsia" w:ascii="宋体" w:hAnsi="宋体" w:eastAsia="宋体" w:cs="宋体"/>
                <w:sz w:val="24"/>
                <w:szCs w:val="24"/>
              </w:rPr>
            </w:pPr>
            <w:r>
              <w:rPr>
                <w:rFonts w:hint="eastAsia" w:ascii="宋体" w:hAnsi="宋体" w:eastAsia="宋体" w:cs="宋体"/>
                <w:sz w:val="24"/>
                <w:szCs w:val="24"/>
              </w:rPr>
              <w:t>（8）功耗：2KW</w:t>
            </w:r>
          </w:p>
          <w:p w14:paraId="53EC50FA">
            <w:pPr>
              <w:rPr>
                <w:rFonts w:hint="eastAsia" w:ascii="宋体" w:hAnsi="宋体" w:eastAsia="宋体" w:cs="宋体"/>
                <w:sz w:val="24"/>
                <w:szCs w:val="24"/>
              </w:rPr>
            </w:pPr>
            <w:r>
              <w:rPr>
                <w:rFonts w:hint="eastAsia" w:ascii="宋体" w:hAnsi="宋体" w:eastAsia="宋体" w:cs="宋体"/>
                <w:sz w:val="24"/>
                <w:szCs w:val="24"/>
              </w:rPr>
              <w:t>（9）打印速度：25页/分钟</w:t>
            </w:r>
          </w:p>
          <w:p w14:paraId="450623F5">
            <w:pPr>
              <w:rPr>
                <w:rFonts w:hint="eastAsia" w:ascii="宋体" w:hAnsi="宋体" w:eastAsia="宋体" w:cs="宋体"/>
                <w:sz w:val="24"/>
                <w:szCs w:val="24"/>
              </w:rPr>
            </w:pPr>
            <w:r>
              <w:rPr>
                <w:rFonts w:hint="eastAsia" w:ascii="宋体" w:hAnsi="宋体" w:eastAsia="宋体" w:cs="宋体"/>
                <w:sz w:val="24"/>
                <w:szCs w:val="24"/>
              </w:rPr>
              <w:t>（10）扫描分辨率：600×600dpi</w:t>
            </w:r>
          </w:p>
          <w:p w14:paraId="6A91D616">
            <w:pPr>
              <w:rPr>
                <w:rFonts w:hint="eastAsia" w:ascii="宋体" w:hAnsi="宋体" w:eastAsia="宋体" w:cs="宋体"/>
                <w:sz w:val="24"/>
                <w:szCs w:val="24"/>
              </w:rPr>
            </w:pPr>
            <w:r>
              <w:rPr>
                <w:rFonts w:hint="eastAsia" w:ascii="宋体" w:hAnsi="宋体" w:eastAsia="宋体" w:cs="宋体"/>
                <w:sz w:val="24"/>
                <w:szCs w:val="24"/>
              </w:rPr>
              <w:t>（11）扫描速度：输稿器73页/分钟</w:t>
            </w:r>
          </w:p>
          <w:p w14:paraId="105A7EE5">
            <w:pP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（12）配置：打印机主机、输稿器、双层纸盒、工作台。</w:t>
            </w:r>
          </w:p>
        </w:tc>
        <w:tc>
          <w:tcPr>
            <w:tcW w:w="1100" w:type="dxa"/>
          </w:tcPr>
          <w:p w14:paraId="40405243">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1套</w:t>
            </w:r>
          </w:p>
        </w:tc>
      </w:tr>
      <w:tr w14:paraId="6DB2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Pr>
          <w:p w14:paraId="25099E1E">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w:t>
            </w:r>
          </w:p>
        </w:tc>
        <w:tc>
          <w:tcPr>
            <w:tcW w:w="1420" w:type="dxa"/>
          </w:tcPr>
          <w:p w14:paraId="7B287EAD">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便携式恶臭检测仪</w:t>
            </w:r>
          </w:p>
        </w:tc>
        <w:tc>
          <w:tcPr>
            <w:tcW w:w="6900" w:type="dxa"/>
          </w:tcPr>
          <w:p w14:paraId="5C600B99">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一、主要特点：</w:t>
            </w:r>
          </w:p>
          <w:p w14:paraId="7FFB693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1、高性能智能传感器，使用寿命长达2-3年以上；</w:t>
            </w:r>
          </w:p>
          <w:p w14:paraId="5AF4D8B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2、多个气体传感器之间可独立打开或关闭，有效避免检测气体之间的交叉干扰；</w:t>
            </w:r>
          </w:p>
          <w:p w14:paraId="1A51A06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3、主动泵吸式，响应时间短、采用嵌入式32位超低功耗微处理器，检测误差小分辨率高；</w:t>
            </w:r>
          </w:p>
          <w:p w14:paraId="3ACF8805">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4、智能的温湿度和零点补偿算法，2级至4级以上的目标点全软件自动校准功能；</w:t>
            </w:r>
          </w:p>
          <w:p w14:paraId="39A4022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5、2.31寸高清彩色显示屏，大而清晰的背景光可在任何灯光条件下显示测量信息；</w:t>
            </w:r>
          </w:p>
          <w:p w14:paraId="25666C3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6、支持ppm和μmol/mol、ppm和mg/m3等浓度属性单位相同之间的切换；</w:t>
            </w:r>
          </w:p>
          <w:p w14:paraId="19345D9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7、支持中文、英文操作菜单界面切换；</w:t>
            </w:r>
          </w:p>
          <w:p w14:paraId="25D0698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8、标准配置的大容量锂电池，支持移动电源充电，兼容通用的USB手机充电器；</w:t>
            </w:r>
          </w:p>
          <w:p w14:paraId="14F9CF9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9、一流的机械设计，高强度耐磨聚碳酸酯外壳，防水防腐防电磁辐射；</w:t>
            </w:r>
          </w:p>
          <w:p w14:paraId="2CFBF41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10、自动存储数据，存储间隔可自定义，可存储20万组带日期时间标识的数据，如选配微型TF存储卡，可存储1000万组以上； </w:t>
            </w:r>
          </w:p>
          <w:p w14:paraId="5BDB807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11、支持USB测量数据下载；</w:t>
            </w:r>
          </w:p>
          <w:p w14:paraId="3389E82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12、支持微型便携式打印机蓝牙无线打印</w:t>
            </w:r>
          </w:p>
          <w:p w14:paraId="19260D2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13、短距离的RTU无线传输或不限距离的GPRS无线传输方式都可以通过内置无线模块将实时的检测数据和报警状态传到安全中心（选配）。</w:t>
            </w:r>
          </w:p>
          <w:p w14:paraId="4BE27316">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二、技术参数</w:t>
            </w:r>
          </w:p>
          <w:p w14:paraId="105C7B8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1、产品名称：手持便携式恶臭气体检测仪</w:t>
            </w:r>
          </w:p>
          <w:p w14:paraId="6356813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2、检测气体：空气中的氧气、氨气、硫化氢、恶臭（ＯＵ）</w:t>
            </w:r>
          </w:p>
          <w:p w14:paraId="48E2DD5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3、检测原理：电化学原理</w:t>
            </w:r>
          </w:p>
          <w:p w14:paraId="23F4A39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3、测量范围及分辨率</w:t>
            </w:r>
            <w:r>
              <w:rPr>
                <w:rFonts w:hint="eastAsia" w:ascii="宋体" w:hAnsi="宋体" w:eastAsia="宋体" w:cs="宋体"/>
                <w:sz w:val="24"/>
                <w:szCs w:val="24"/>
                <w:vertAlign w:val="baseline"/>
                <w:lang w:val="en-US" w:eastAsia="zh-CN"/>
              </w:rPr>
              <w:tab/>
            </w:r>
          </w:p>
          <w:p w14:paraId="1E68601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氧气：0-30%VOL&amp;0.01%VOL</w:t>
            </w:r>
          </w:p>
          <w:p w14:paraId="7939F18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硫化氢：0-100PPM&amp;0.1PPM</w:t>
            </w:r>
          </w:p>
          <w:p w14:paraId="03DC1B3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氨气：0-100PPM&amp;0.1PPM</w:t>
            </w:r>
          </w:p>
          <w:p w14:paraId="3830CA6B">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OU：0-10000</w:t>
            </w:r>
          </w:p>
          <w:p w14:paraId="151A3C0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4、采样方式：主动泵吸式，内置气泵可独立打开或关闭</w:t>
            </w:r>
          </w:p>
          <w:p w14:paraId="4558557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5、示值误差：±3% FS</w:t>
            </w:r>
          </w:p>
          <w:p w14:paraId="483F9BA2">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6、重 复 性：≤±1%</w:t>
            </w:r>
          </w:p>
          <w:p w14:paraId="3B875F94">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7、零点漂移：≤±1%（FS/年）</w:t>
            </w:r>
          </w:p>
          <w:p w14:paraId="3CB5840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8、响应时间：T90 &lt; 20秒（视具体气体类型）</w:t>
            </w:r>
          </w:p>
          <w:p w14:paraId="040B6425">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9、主体材质：高强度耐磨聚碳酸酯PC+不锈钢</w:t>
            </w:r>
          </w:p>
          <w:p w14:paraId="15B0607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10、供电电源：可充电大容量锂电池，容量5500mAh</w:t>
            </w:r>
          </w:p>
          <w:p w14:paraId="7BDA5C5E">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11、充电器：USB充电器，兼容通用的USB端口手机充电器</w:t>
            </w:r>
          </w:p>
          <w:p w14:paraId="6FA23C7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12、报警方式：声音报警，LED光报警，振动报警，人员跌倒报警</w:t>
            </w:r>
          </w:p>
          <w:p w14:paraId="4691544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13、声音强度：95dB@10cm</w:t>
            </w:r>
          </w:p>
          <w:p w14:paraId="0069D2D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14、报警值设置：A1低值25%FS、A2高值50%FS (默认值），可单独设置TWA、STEL报警值</w:t>
            </w:r>
          </w:p>
          <w:p w14:paraId="0DFEBD05">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15、显示屏：2.31寸TFT高清彩色显示屏</w:t>
            </w:r>
          </w:p>
          <w:p w14:paraId="55B676A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16、背光：手动，报警时自动</w:t>
            </w:r>
          </w:p>
          <w:p w14:paraId="7E426F5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17、按键：7键导航键</w:t>
            </w:r>
          </w:p>
          <w:p w14:paraId="3DA0F72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18、直接读数：测量值，数据记录状态，泵工作状态，环境温度、湿度</w:t>
            </w:r>
          </w:p>
          <w:p w14:paraId="0E2FB6AC">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19、数据记录：自动存储数据，存储间隔可自定义，可连续存储20万组以上带日期时间数据，选配微型TF存储卡，可存储1000万组以上数据</w:t>
            </w:r>
          </w:p>
          <w:p w14:paraId="35A28BA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20、数据打印：支持微型便携式数据打印机蓝牙无线打印</w:t>
            </w:r>
          </w:p>
          <w:p w14:paraId="6F26D1CA">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21、校准：2级至4级以上的目标点校准功能，可设置校准标定值，一键调零</w:t>
            </w:r>
          </w:p>
          <w:p w14:paraId="02B698BB">
            <w:pPr>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sz w:val="24"/>
                <w:szCs w:val="24"/>
                <w:vertAlign w:val="baseline"/>
                <w:lang w:val="en-US" w:eastAsia="zh-CN"/>
              </w:rPr>
              <w:t>22、防爆标志：Ex ia IIC T6 Ga（本质安全型）</w:t>
            </w:r>
            <w:r>
              <w:rPr>
                <w:rFonts w:hint="eastAsia" w:ascii="宋体" w:hAnsi="宋体" w:eastAsia="宋体" w:cs="宋体"/>
                <w:b/>
                <w:bCs/>
                <w:sz w:val="24"/>
                <w:szCs w:val="24"/>
                <w:vertAlign w:val="baseline"/>
                <w:lang w:val="en-US" w:eastAsia="zh-CN"/>
              </w:rPr>
              <w:t>（需提供第三方检测机构出具的防爆合格证佐证）</w:t>
            </w:r>
          </w:p>
          <w:p w14:paraId="60F2C43D">
            <w:pPr>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sz w:val="24"/>
                <w:szCs w:val="24"/>
                <w:vertAlign w:val="baseline"/>
                <w:lang w:val="en-US" w:eastAsia="zh-CN"/>
              </w:rPr>
              <w:t>23、防护等级：IP68</w:t>
            </w:r>
            <w:r>
              <w:rPr>
                <w:rFonts w:hint="eastAsia" w:ascii="宋体" w:hAnsi="宋体" w:eastAsia="宋体" w:cs="宋体"/>
                <w:b/>
                <w:bCs/>
                <w:sz w:val="24"/>
                <w:szCs w:val="24"/>
                <w:vertAlign w:val="baseline"/>
                <w:lang w:val="en-US" w:eastAsia="zh-CN"/>
              </w:rPr>
              <w:t>（需提供第三方检测机构出具的防爆合格证佐证）</w:t>
            </w:r>
          </w:p>
          <w:p w14:paraId="70786B8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24、操作模式：用户模式、管理员模式2种操作模式可供选择</w:t>
            </w:r>
          </w:p>
          <w:p w14:paraId="3A5753A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25、压力范围：86kPa～106kPa</w:t>
            </w:r>
          </w:p>
          <w:p w14:paraId="1DCBEF17">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26、温度范围：-40℃～+70℃（可燃气体）， -20℃～+55℃（有毒气体）</w:t>
            </w:r>
          </w:p>
          <w:p w14:paraId="2604DD35">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27、湿度范围：10%～95%RH（无凝露）</w:t>
            </w:r>
          </w:p>
          <w:p w14:paraId="2A8EAA4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28、外型尺寸：宽80mm×高200mm×厚58mm</w:t>
            </w:r>
          </w:p>
          <w:p w14:paraId="412F9929">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29、重量：约0.52Kg （视具体配置）</w:t>
            </w:r>
          </w:p>
          <w:p w14:paraId="1279D763">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30、执行标准：GB 15322.1-2019，GB/T 3836.1-2021，GB/T 3836.2-2021，GB/T 3836.4-2021，GB 12476.1-2013，GB 12476.4-2010，GB 12476.5-2013，JJF 1368-2012，JJF 1363-2019，JJF 1421-2013，JJF 1364-2012，GB/T 4208-2017</w:t>
            </w:r>
          </w:p>
        </w:tc>
        <w:tc>
          <w:tcPr>
            <w:tcW w:w="1100" w:type="dxa"/>
          </w:tcPr>
          <w:p w14:paraId="474E0BC2">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1台</w:t>
            </w:r>
          </w:p>
        </w:tc>
      </w:tr>
      <w:tr w14:paraId="0B21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tcPr>
          <w:p w14:paraId="5AE7EE8D">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w:t>
            </w:r>
          </w:p>
        </w:tc>
        <w:tc>
          <w:tcPr>
            <w:tcW w:w="1420" w:type="dxa"/>
            <w:shd w:val="clear" w:color="auto" w:fill="auto"/>
            <w:vAlign w:val="top"/>
          </w:tcPr>
          <w:p w14:paraId="3EC6A30F">
            <w:pPr>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数据采集站</w:t>
            </w:r>
          </w:p>
        </w:tc>
        <w:tc>
          <w:tcPr>
            <w:tcW w:w="6900" w:type="dxa"/>
          </w:tcPr>
          <w:p w14:paraId="72E3ED06">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一、数据采集站技术参数：</w:t>
            </w:r>
          </w:p>
          <w:p w14:paraId="2C716848">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1.执行标准：符合GA/T 947.3-2015单警执法视音频记录系统第3部分：管理平台的相关要求；</w:t>
            </w:r>
          </w:p>
          <w:p w14:paraId="69E5FA76">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2.尺寸结构：桌面式结构设计，外形尺寸≤450mm*300mm*230mm (长×宽×高)</w:t>
            </w:r>
            <w:r>
              <w:rPr>
                <w:rFonts w:hint="eastAsia" w:ascii="宋体" w:hAnsi="宋体" w:eastAsia="宋体" w:cs="宋体"/>
                <w:b/>
                <w:bCs/>
                <w:sz w:val="24"/>
                <w:szCs w:val="24"/>
                <w:vertAlign w:val="baseline"/>
                <w:lang w:val="en-US" w:eastAsia="zh-CN"/>
              </w:rPr>
              <w:t>（需提供产品的结构图纸）</w:t>
            </w:r>
            <w:r>
              <w:rPr>
                <w:rFonts w:hint="eastAsia" w:ascii="宋体" w:hAnsi="宋体" w:eastAsia="宋体" w:cs="宋体"/>
                <w:sz w:val="24"/>
                <w:szCs w:val="24"/>
                <w:vertAlign w:val="baseline"/>
                <w:lang w:val="en-US" w:eastAsia="zh-CN"/>
              </w:rPr>
              <w:t>；</w:t>
            </w:r>
          </w:p>
          <w:p w14:paraId="265965C0">
            <w:pPr>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sz w:val="24"/>
                <w:szCs w:val="24"/>
                <w:vertAlign w:val="baseline"/>
                <w:lang w:val="en-US" w:eastAsia="zh-CN"/>
              </w:rPr>
              <w:t>3.数据接口：可同时接入不少于12台执法记录仪，支持USB接口用于数据导出。</w:t>
            </w:r>
            <w:r>
              <w:rPr>
                <w:rFonts w:hint="eastAsia" w:ascii="宋体" w:hAnsi="宋体" w:eastAsia="宋体" w:cs="宋体"/>
                <w:b/>
                <w:bCs/>
                <w:sz w:val="24"/>
                <w:szCs w:val="24"/>
                <w:vertAlign w:val="baseline"/>
                <w:lang w:val="en-US" w:eastAsia="zh-CN"/>
              </w:rPr>
              <w:t>（需提供公安部特种警用装备质量监督检验中心出具的检测报告）</w:t>
            </w:r>
            <w:r>
              <w:rPr>
                <w:rFonts w:hint="eastAsia" w:ascii="宋体" w:hAnsi="宋体" w:eastAsia="宋体" w:cs="宋体"/>
                <w:sz w:val="24"/>
                <w:szCs w:val="24"/>
                <w:vertAlign w:val="baseline"/>
                <w:lang w:val="en-US" w:eastAsia="zh-CN"/>
              </w:rPr>
              <w:t>；</w:t>
            </w:r>
          </w:p>
          <w:p w14:paraId="5342DF9F">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4.容量：存储容量为4T的数据存储硬盘；</w:t>
            </w:r>
          </w:p>
          <w:p w14:paraId="696AF237">
            <w:pPr>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sz w:val="24"/>
                <w:szCs w:val="24"/>
                <w:vertAlign w:val="baseline"/>
                <w:lang w:val="en-US" w:eastAsia="zh-CN"/>
              </w:rPr>
              <w:t>5.工作噪声：正常工作条件下噪声不大于38dB(A)。</w:t>
            </w:r>
            <w:r>
              <w:rPr>
                <w:rFonts w:hint="eastAsia" w:ascii="宋体" w:hAnsi="宋体" w:eastAsia="宋体" w:cs="宋体"/>
                <w:b/>
                <w:bCs/>
                <w:sz w:val="24"/>
                <w:szCs w:val="24"/>
                <w:vertAlign w:val="baseline"/>
                <w:lang w:val="en-US" w:eastAsia="zh-CN"/>
              </w:rPr>
              <w:t>（需提供公安部特种警用装备质量监督检验中心出具的检测报告）</w:t>
            </w:r>
            <w:r>
              <w:rPr>
                <w:rFonts w:hint="eastAsia" w:ascii="宋体" w:hAnsi="宋体" w:eastAsia="宋体" w:cs="宋体"/>
                <w:sz w:val="24"/>
                <w:szCs w:val="24"/>
                <w:vertAlign w:val="baseline"/>
                <w:lang w:val="en-US" w:eastAsia="zh-CN"/>
              </w:rPr>
              <w:t>；</w:t>
            </w:r>
          </w:p>
          <w:p w14:paraId="07890F3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6.电源配置</w:t>
            </w:r>
            <w:r>
              <w:rPr>
                <w:rFonts w:hint="eastAsia" w:ascii="宋体" w:hAnsi="宋体" w:eastAsia="宋体" w:cs="宋体"/>
                <w:sz w:val="24"/>
                <w:szCs w:val="24"/>
                <w:vertAlign w:val="baseline"/>
                <w:lang w:val="en-US" w:eastAsia="zh-CN"/>
              </w:rPr>
              <w:tab/>
            </w:r>
            <w:r>
              <w:rPr>
                <w:rFonts w:hint="eastAsia" w:ascii="宋体" w:hAnsi="宋体" w:eastAsia="宋体" w:cs="宋体"/>
                <w:sz w:val="24"/>
                <w:szCs w:val="24"/>
                <w:vertAlign w:val="baseline"/>
                <w:lang w:val="en-US" w:eastAsia="zh-CN"/>
              </w:rPr>
              <w:t>采用具有保护功能的电源，具有OVP过压保护、OCP过流保；</w:t>
            </w:r>
          </w:p>
          <w:p w14:paraId="07DF0397">
            <w:pPr>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sz w:val="24"/>
                <w:szCs w:val="24"/>
                <w:vertAlign w:val="baseline"/>
                <w:lang w:val="en-US" w:eastAsia="zh-CN"/>
              </w:rPr>
              <w:t>7.数据采集速率：满负荷条件下平均单路采集速率不小于10M/s。</w:t>
            </w:r>
            <w:r>
              <w:rPr>
                <w:rFonts w:hint="eastAsia" w:ascii="宋体" w:hAnsi="宋体" w:eastAsia="宋体" w:cs="宋体"/>
                <w:b/>
                <w:bCs/>
                <w:sz w:val="24"/>
                <w:szCs w:val="24"/>
                <w:vertAlign w:val="baseline"/>
                <w:lang w:val="en-US" w:eastAsia="zh-CN"/>
              </w:rPr>
              <w:t>（需提供公安部特种警用装备质量监督检验中心出具的检测报告）</w:t>
            </w:r>
            <w:r>
              <w:rPr>
                <w:rFonts w:hint="eastAsia" w:ascii="宋体" w:hAnsi="宋体" w:eastAsia="宋体" w:cs="宋体"/>
                <w:sz w:val="24"/>
                <w:szCs w:val="24"/>
                <w:vertAlign w:val="baseline"/>
                <w:lang w:val="en-US" w:eastAsia="zh-CN"/>
              </w:rPr>
              <w:t>；</w:t>
            </w:r>
          </w:p>
          <w:p w14:paraId="1FEC23B1">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8.显示屏分辨率：显示屏屏幕分辨率不小于1280x1024；</w:t>
            </w:r>
          </w:p>
          <w:p w14:paraId="1F8A23F6">
            <w:pPr>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sz w:val="24"/>
                <w:szCs w:val="24"/>
                <w:vertAlign w:val="baseline"/>
                <w:lang w:val="en-US" w:eastAsia="zh-CN"/>
              </w:rPr>
              <w:t>9.密码设置功能：支持后台设置不少于5组密码组，执法记录仪接入时可随机分配其中一组密码做为记录仪的接入密码</w:t>
            </w:r>
            <w:r>
              <w:rPr>
                <w:rFonts w:hint="eastAsia" w:ascii="宋体" w:hAnsi="宋体" w:eastAsia="宋体" w:cs="宋体"/>
                <w:b/>
                <w:bCs/>
                <w:sz w:val="24"/>
                <w:szCs w:val="24"/>
                <w:vertAlign w:val="baseline"/>
                <w:lang w:val="en-US" w:eastAsia="zh-CN"/>
              </w:rPr>
              <w:t>（需提供公安部特种警用装备质量监督检验中心出具的检测报告）</w:t>
            </w:r>
            <w:r>
              <w:rPr>
                <w:rFonts w:hint="eastAsia" w:ascii="宋体" w:hAnsi="宋体" w:eastAsia="宋体" w:cs="宋体"/>
                <w:sz w:val="24"/>
                <w:szCs w:val="24"/>
                <w:vertAlign w:val="baseline"/>
                <w:lang w:val="en-US" w:eastAsia="zh-CN"/>
              </w:rPr>
              <w:t>；</w:t>
            </w:r>
          </w:p>
          <w:p w14:paraId="504EDE3B">
            <w:pPr>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★10.</w:t>
            </w:r>
            <w:r>
              <w:rPr>
                <w:rFonts w:hint="eastAsia" w:ascii="宋体" w:hAnsi="宋体" w:eastAsia="宋体" w:cs="宋体"/>
                <w:sz w:val="24"/>
                <w:szCs w:val="24"/>
                <w:vertAlign w:val="baseline"/>
                <w:lang w:val="en-US" w:eastAsia="zh-CN"/>
              </w:rPr>
              <w:t>管理功能检验：采用树形结构显示部门、设备，具有用户添加、删除、编辑、参数设定等功能。</w:t>
            </w:r>
            <w:r>
              <w:rPr>
                <w:rFonts w:hint="eastAsia" w:ascii="宋体" w:hAnsi="宋体" w:eastAsia="宋体" w:cs="宋体"/>
                <w:b/>
                <w:bCs/>
                <w:sz w:val="24"/>
                <w:szCs w:val="24"/>
                <w:vertAlign w:val="baseline"/>
                <w:lang w:val="en-US" w:eastAsia="zh-CN"/>
              </w:rPr>
              <w:t>（需提供公安部特种警用装备质量监督检验中心出具的检测报告）</w:t>
            </w:r>
            <w:r>
              <w:rPr>
                <w:rFonts w:hint="eastAsia" w:ascii="宋体" w:hAnsi="宋体" w:eastAsia="宋体" w:cs="宋体"/>
                <w:sz w:val="24"/>
                <w:szCs w:val="24"/>
                <w:vertAlign w:val="baseline"/>
                <w:lang w:val="en-US" w:eastAsia="zh-CN"/>
              </w:rPr>
              <w:t>。</w:t>
            </w:r>
          </w:p>
          <w:p w14:paraId="02582EF0">
            <w:pPr>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b w:val="0"/>
                <w:bCs w:val="0"/>
                <w:sz w:val="24"/>
                <w:szCs w:val="24"/>
                <w:vertAlign w:val="baseline"/>
                <w:lang w:val="en-US" w:eastAsia="zh-CN"/>
              </w:rPr>
              <w:t>★</w:t>
            </w:r>
            <w:r>
              <w:rPr>
                <w:rFonts w:hint="eastAsia" w:ascii="宋体" w:hAnsi="宋体" w:eastAsia="宋体" w:cs="宋体"/>
                <w:sz w:val="24"/>
                <w:szCs w:val="24"/>
                <w:vertAlign w:val="baseline"/>
                <w:lang w:val="en-US" w:eastAsia="zh-CN"/>
              </w:rPr>
              <w:t>11.所投数据采集站必须与我单位现有的执法记录仪相兼容，否则不予采纳。</w:t>
            </w:r>
            <w:r>
              <w:rPr>
                <w:rFonts w:hint="eastAsia" w:ascii="宋体" w:hAnsi="宋体" w:eastAsia="宋体" w:cs="宋体"/>
                <w:b/>
                <w:bCs/>
                <w:sz w:val="24"/>
                <w:szCs w:val="24"/>
                <w:vertAlign w:val="baseline"/>
                <w:lang w:val="en-US" w:eastAsia="zh-CN"/>
              </w:rPr>
              <w:t>（需提供厂商承诺函）</w:t>
            </w:r>
          </w:p>
          <w:p w14:paraId="4AC6D4FA">
            <w:pP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二、会议音箱技术参数：</w:t>
            </w:r>
          </w:p>
          <w:p w14:paraId="62B34126">
            <w:pPr>
              <w:rPr>
                <w:rFonts w:hint="eastAsia" w:ascii="宋体" w:hAnsi="宋体" w:eastAsia="宋体" w:cs="宋体"/>
                <w:b/>
                <w:bCs/>
                <w:sz w:val="24"/>
                <w:szCs w:val="24"/>
                <w:vertAlign w:val="baseline"/>
                <w:lang w:val="en-US" w:eastAsia="zh-CN"/>
              </w:rPr>
            </w:pPr>
            <w:r>
              <w:rPr>
                <w:rFonts w:hint="eastAsia" w:ascii="宋体" w:hAnsi="宋体" w:eastAsia="宋体" w:cs="宋体"/>
                <w:b w:val="0"/>
                <w:bCs w:val="0"/>
                <w:sz w:val="24"/>
                <w:szCs w:val="24"/>
                <w:vertAlign w:val="baseline"/>
                <w:lang w:val="en-US" w:eastAsia="zh-CN"/>
              </w:rPr>
              <w:t>8寸音响2只（功率：60W，灵敏度：93dB）+功放（功率：120W*2，额定电源AC220V，信噪比：86DB）+一拖四麦克风</w:t>
            </w:r>
          </w:p>
          <w:p w14:paraId="6806E98B">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三、投影仪+幕布技术参数：3300流明1024*768，100吋幕布</w:t>
            </w:r>
          </w:p>
          <w:p w14:paraId="547E70A8">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四、仪器放置架技术参数：材质：冷扎钢板，尺寸：100*40*150CM（长、宽、高）</w:t>
            </w:r>
          </w:p>
          <w:p w14:paraId="670EFD88">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五、单警装备管理系统技术参数</w:t>
            </w:r>
          </w:p>
          <w:p w14:paraId="1749087F">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（一）功能简介</w:t>
            </w:r>
          </w:p>
          <w:p w14:paraId="7B876288">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1、主界面：显示箱柜列表和操作按钮，可以对箱柜进行存取操作。</w:t>
            </w:r>
          </w:p>
          <w:p w14:paraId="0607A79A">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2、用户设置：显示用户列表，新增用户，编辑用户，提取人脸特征，绑定箱柜。</w:t>
            </w:r>
          </w:p>
          <w:p w14:paraId="4541D4D4">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3、开柜管理：显示箱柜列表，开柜；清柜，一键开柜；一键清柜；设置一键开柜时间间隔；设置全局锁定；显示箱柜所属人员。</w:t>
            </w:r>
          </w:p>
          <w:p w14:paraId="512A1068">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4、锁板设置：显示箱柜列表；设置锁板数量；设置锁板锁数量，设置锁板类型；刷新箱柜列表；设置箱柜属性。</w:t>
            </w:r>
          </w:p>
          <w:p w14:paraId="1D08B6D7">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5、箱柜设置：选择箱柜类型，24小时清柜，中途取物，一人一柜，显示存取按钮。</w:t>
            </w:r>
          </w:p>
          <w:p w14:paraId="2FBE13FF">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6、验证设置：选择验证方式，设置验证模式：人脸、刷卡、密码识别三种方式。</w:t>
            </w:r>
          </w:p>
          <w:p w14:paraId="7A7478BF">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7、记录设置：显示记录列表，设置保持记录时间；清除所有记录；查询指定记录。</w:t>
            </w:r>
          </w:p>
          <w:p w14:paraId="788FA0F2">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8、其他设置：修改设置密码；修改本机时间；设置主标题；显示自定义LOGO；导出日志；导出记录；重启设备；恢复出厂设置。</w:t>
            </w:r>
          </w:p>
          <w:p w14:paraId="64BC5B6D">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（二）技术参数</w:t>
            </w:r>
          </w:p>
          <w:p w14:paraId="4898D4D1">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1、柜体规格：主柜：1900*900*460，副柜：1900*900*460(高*宽*深)；</w:t>
            </w:r>
          </w:p>
          <w:p w14:paraId="127C0BE1">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2、柜体重量：≥80kg。</w:t>
            </w:r>
          </w:p>
          <w:p w14:paraId="00101FE7">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3、箱门数量：10门主柜+10门副柜。</w:t>
            </w:r>
          </w:p>
          <w:p w14:paraId="13FE647E">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4、电源：输入电压AC220+10%50HZ；开机瞬间电流3A；</w:t>
            </w:r>
          </w:p>
          <w:p w14:paraId="2B55929B">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5、功率：&lt;200W；</w:t>
            </w:r>
          </w:p>
          <w:p w14:paraId="5FFFE236">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6、开关：需打开机柜，直接外置复位开关按钮，方便快捷；</w:t>
            </w:r>
          </w:p>
          <w:p w14:paraId="13AC32B0">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7、材质：优质镀锌钢板0.8mm，外表高档进口汽车烤漆，防磁、防锈、防静电，喷塑工艺。</w:t>
            </w:r>
          </w:p>
          <w:p w14:paraId="154CEEC4">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8、柜门配置：1把机械防盗锁(应急锁)和1套智能装备柜嵌入式控制系统</w:t>
            </w:r>
          </w:p>
          <w:p w14:paraId="05ECC661">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9、7寸电容式触控显示屏：具备人机操作界面、人机操作界面可以触摸屏操作；柜内配置嵌入式主机，采用嵌入式安卓操作系统，柜内嵌入式系统中安装嵌入式装备柜管理软件，并配置本柜数据库。</w:t>
            </w:r>
          </w:p>
          <w:p w14:paraId="1E951241">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10、电源：电源线应采用保护装置,柜体漏电自动断电。</w:t>
            </w:r>
          </w:p>
          <w:p w14:paraId="4995E514">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11、操作系统：Android11</w:t>
            </w:r>
          </w:p>
          <w:p w14:paraId="7C97C8E0">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12、主板：RK3568</w:t>
            </w:r>
          </w:p>
          <w:p w14:paraId="6C2AFB52">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13、内存：2G/储存：8G</w:t>
            </w:r>
          </w:p>
          <w:p w14:paraId="249DDA5C">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14、触摸：多点电容触摸</w:t>
            </w:r>
          </w:p>
          <w:p w14:paraId="13FB311E">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15、登录方式：账号密码/人脸识别/刷卡</w:t>
            </w:r>
          </w:p>
          <w:p w14:paraId="205AB7B5">
            <w:pPr>
              <w:numPr>
                <w:ilvl w:val="0"/>
                <w:numId w:val="0"/>
              </w:numPr>
              <w:ind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16、网络方式：单机</w:t>
            </w:r>
          </w:p>
        </w:tc>
        <w:tc>
          <w:tcPr>
            <w:tcW w:w="1100" w:type="dxa"/>
          </w:tcPr>
          <w:p w14:paraId="2AD94417">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1套</w:t>
            </w:r>
          </w:p>
        </w:tc>
      </w:tr>
    </w:tbl>
    <w:p w14:paraId="360CBE69">
      <w:pPr>
        <w:rPr>
          <w:highlight w:val="none"/>
        </w:rPr>
      </w:pPr>
      <w:r>
        <w:rPr>
          <w:rFonts w:hint="eastAsia"/>
          <w:b/>
          <w:bCs/>
          <w:sz w:val="24"/>
          <w:szCs w:val="24"/>
          <w:lang w:val="en-US" w:eastAsia="zh-CN"/>
        </w:rPr>
        <w:t>备注：采购需求中标有“★”星号的为重要参数指标，要求提供的相关证明材料，投标商可在中标后提供并交由采购单位审核。</w:t>
      </w:r>
    </w:p>
    <w:p w14:paraId="04E61FF1">
      <w:pPr>
        <w:pStyle w:val="20"/>
        <w:rPr>
          <w:highlight w:val="none"/>
        </w:rPr>
      </w:pPr>
    </w:p>
    <w:p w14:paraId="4815F61D">
      <w:pPr>
        <w:jc w:val="left"/>
        <w:rPr>
          <w:highlight w:val="none"/>
        </w:rPr>
        <w:sectPr>
          <w:pgSz w:w="11906" w:h="16838"/>
          <w:pgMar w:top="1134" w:right="1449" w:bottom="1134" w:left="1417" w:header="567" w:footer="992" w:gutter="0"/>
          <w:pgNumType w:fmt="decimal"/>
          <w:cols w:space="720" w:num="1"/>
          <w:docGrid w:type="lines" w:linePitch="312" w:charSpace="0"/>
        </w:sectPr>
      </w:pPr>
    </w:p>
    <w:p w14:paraId="41DD6AD1">
      <w:pPr>
        <w:pStyle w:val="2"/>
        <w:ind w:left="0" w:leftChars="0" w:firstLine="0" w:firstLineChars="0"/>
        <w:jc w:val="center"/>
        <w:outlineLvl w:val="0"/>
        <w:rPr>
          <w:highlight w:val="none"/>
        </w:rPr>
      </w:pPr>
      <w:bookmarkStart w:id="36" w:name="_Toc11297"/>
      <w:bookmarkStart w:id="37" w:name="_Toc18622"/>
      <w:bookmarkStart w:id="38" w:name="_Toc4288_WPSOffice_Level1"/>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7"/>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48"/>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48"/>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shd w:val="clear" w:color="auto" w:fill="auto"/>
            <w:vAlign w:val="center"/>
          </w:tcPr>
          <w:p w14:paraId="68137BAD">
            <w:pPr>
              <w:jc w:val="center"/>
              <w:rPr>
                <w:rFonts w:hint="default" w:ascii="宋体" w:hAnsi="宋体" w:eastAsia="宋体" w:cs="宋体"/>
                <w:kern w:val="2"/>
                <w:sz w:val="21"/>
                <w:szCs w:val="21"/>
                <w:highlight w:val="none"/>
                <w:lang w:val="en-US" w:eastAsia="zh-CN" w:bidi="ar-SA"/>
              </w:rPr>
            </w:pPr>
          </w:p>
        </w:tc>
        <w:tc>
          <w:tcPr>
            <w:tcW w:w="5460" w:type="dxa"/>
            <w:shd w:val="clear" w:color="auto" w:fill="auto"/>
            <w:vAlign w:val="center"/>
          </w:tcPr>
          <w:p w14:paraId="21E07C2E">
            <w:pPr>
              <w:rPr>
                <w:rFonts w:hint="default" w:ascii="宋体" w:hAnsi="宋体" w:eastAsia="宋体" w:cs="宋体"/>
                <w:kern w:val="2"/>
                <w:sz w:val="21"/>
                <w:szCs w:val="21"/>
                <w:highlight w:val="none"/>
                <w:lang w:val="en-US" w:eastAsia="zh-CN" w:bidi="ar-SA"/>
              </w:rPr>
            </w:pP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767858B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39"/>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5932"/>
      <w:bookmarkStart w:id="51" w:name="_Toc471299103"/>
      <w:r>
        <w:rPr>
          <w:rFonts w:hint="eastAsia" w:ascii="宋体" w:hAnsi="宋体" w:cs="宋体"/>
          <w:sz w:val="21"/>
          <w:szCs w:val="21"/>
          <w:highlight w:val="none"/>
        </w:rPr>
        <w:br w:type="page"/>
      </w:r>
    </w:p>
    <w:bookmarkEnd w:id="50"/>
    <w:bookmarkEnd w:id="51"/>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p>
    <w:p w14:paraId="2BC4F0BB">
      <w:pPr>
        <w:jc w:val="center"/>
        <w:rPr>
          <w:rFonts w:hint="eastAsia" w:eastAsia="宋体"/>
          <w:b w:val="0"/>
          <w:bCs w:val="0"/>
          <w:color w:val="auto"/>
          <w:sz w:val="28"/>
          <w:szCs w:val="28"/>
          <w:highlight w:val="none"/>
          <w:lang w:eastAsia="zh-CN"/>
        </w:rPr>
      </w:pPr>
      <w:bookmarkStart w:id="53" w:name="_Toc5936_WPSOffice_Level1"/>
      <w:r>
        <w:rPr>
          <w:rFonts w:hint="eastAsia"/>
          <w:b w:val="0"/>
          <w:bCs w:val="0"/>
          <w:color w:val="auto"/>
          <w:sz w:val="28"/>
          <w:szCs w:val="28"/>
          <w:highlight w:val="none"/>
          <w:lang w:eastAsia="zh-CN"/>
        </w:rPr>
        <w:t>（格式自拟）</w:t>
      </w:r>
      <w:bookmarkEnd w:id="53"/>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39"/>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39"/>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3858_WPSOffice_Level1"/>
      <w:bookmarkStart w:id="59" w:name="_Toc148501698"/>
      <w:bookmarkStart w:id="60" w:name="_Toc516969098"/>
      <w:r>
        <w:rPr>
          <w:rFonts w:hint="eastAsia"/>
          <w:b/>
          <w:bCs/>
          <w:color w:val="auto"/>
          <w:sz w:val="28"/>
          <w:szCs w:val="28"/>
          <w:highlight w:val="none"/>
        </w:rPr>
        <w:t>响应函</w:t>
      </w:r>
      <w:bookmarkEnd w:id="58"/>
      <w:bookmarkEnd w:id="59"/>
      <w:bookmarkEnd w:id="60"/>
    </w:p>
    <w:p w14:paraId="49F9C3D3">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0"/>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30711"/>
      <w:bookmarkStart w:id="62" w:name="_Toc417045478"/>
      <w:bookmarkStart w:id="63" w:name="_Toc47129910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25238"/>
      <w:bookmarkStart w:id="70" w:name="_Toc30075"/>
      <w:bookmarkStart w:id="71" w:name="_Toc18402"/>
      <w:bookmarkStart w:id="72" w:name="_Toc27567"/>
      <w:bookmarkStart w:id="73"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14:paraId="4990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1B940E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w:t>
            </w: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文件规定填写</w:t>
            </w:r>
          </w:p>
        </w:tc>
        <w:tc>
          <w:tcPr>
            <w:tcW w:w="4200" w:type="dxa"/>
            <w:gridSpan w:val="2"/>
            <w:noWrap w:val="0"/>
            <w:vAlign w:val="center"/>
          </w:tcPr>
          <w:p w14:paraId="73FC1AD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按供应商所投内容填写</w:t>
            </w:r>
          </w:p>
        </w:tc>
      </w:tr>
      <w:tr w14:paraId="6DF6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14:paraId="7DCA135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第一部分：技术部分响应</w:t>
            </w:r>
          </w:p>
        </w:tc>
      </w:tr>
      <w:tr w14:paraId="457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14:paraId="4E1DD3C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6504" w:type="dxa"/>
            <w:gridSpan w:val="3"/>
            <w:noWrap w:val="0"/>
            <w:vAlign w:val="center"/>
          </w:tcPr>
          <w:p w14:paraId="48C4395A">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货物</w:t>
            </w:r>
            <w:r>
              <w:rPr>
                <w:rFonts w:hint="eastAsia" w:ascii="宋体" w:hAnsi="宋体" w:eastAsia="宋体" w:cs="宋体"/>
                <w:color w:val="000000"/>
                <w:sz w:val="21"/>
                <w:szCs w:val="21"/>
                <w:highlight w:val="none"/>
                <w:lang w:eastAsia="zh-CN"/>
              </w:rPr>
              <w:t>内容</w:t>
            </w:r>
          </w:p>
        </w:tc>
        <w:tc>
          <w:tcPr>
            <w:tcW w:w="1890" w:type="dxa"/>
            <w:noWrap w:val="0"/>
            <w:vAlign w:val="center"/>
          </w:tcPr>
          <w:p w14:paraId="08B7A49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3054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FD9A8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6504" w:type="dxa"/>
            <w:gridSpan w:val="3"/>
            <w:noWrap w:val="0"/>
            <w:vAlign w:val="top"/>
          </w:tcPr>
          <w:p w14:paraId="718F5CD5">
            <w:pPr>
              <w:rPr>
                <w:rFonts w:hint="eastAsia" w:ascii="宋体" w:hAnsi="宋体" w:eastAsia="宋体" w:cs="宋体"/>
                <w:color w:val="000000"/>
                <w:sz w:val="21"/>
                <w:szCs w:val="21"/>
                <w:highlight w:val="none"/>
              </w:rPr>
            </w:pPr>
          </w:p>
        </w:tc>
        <w:tc>
          <w:tcPr>
            <w:tcW w:w="1890" w:type="dxa"/>
            <w:noWrap w:val="0"/>
            <w:vAlign w:val="top"/>
          </w:tcPr>
          <w:p w14:paraId="1C0FEFD4">
            <w:pPr>
              <w:rPr>
                <w:rFonts w:hint="eastAsia" w:ascii="宋体" w:hAnsi="宋体" w:eastAsia="宋体" w:cs="宋体"/>
                <w:color w:val="000000"/>
                <w:sz w:val="21"/>
                <w:szCs w:val="21"/>
                <w:highlight w:val="none"/>
              </w:rPr>
            </w:pPr>
          </w:p>
        </w:tc>
      </w:tr>
      <w:tr w14:paraId="2E46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5535FB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6504" w:type="dxa"/>
            <w:gridSpan w:val="3"/>
            <w:noWrap w:val="0"/>
            <w:vAlign w:val="top"/>
          </w:tcPr>
          <w:p w14:paraId="26205E12">
            <w:pPr>
              <w:rPr>
                <w:rFonts w:hint="eastAsia" w:ascii="宋体" w:hAnsi="宋体" w:eastAsia="宋体" w:cs="宋体"/>
                <w:color w:val="000000"/>
                <w:sz w:val="21"/>
                <w:szCs w:val="21"/>
                <w:highlight w:val="none"/>
              </w:rPr>
            </w:pPr>
          </w:p>
        </w:tc>
        <w:tc>
          <w:tcPr>
            <w:tcW w:w="1890" w:type="dxa"/>
            <w:noWrap w:val="0"/>
            <w:vAlign w:val="top"/>
          </w:tcPr>
          <w:p w14:paraId="7B904989">
            <w:pPr>
              <w:rPr>
                <w:rFonts w:hint="eastAsia" w:ascii="宋体" w:hAnsi="宋体" w:eastAsia="宋体" w:cs="宋体"/>
                <w:color w:val="000000"/>
                <w:sz w:val="21"/>
                <w:szCs w:val="21"/>
                <w:highlight w:val="none"/>
              </w:rPr>
            </w:pPr>
          </w:p>
        </w:tc>
      </w:tr>
      <w:tr w14:paraId="0DC9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68537F9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6504" w:type="dxa"/>
            <w:gridSpan w:val="3"/>
            <w:noWrap w:val="0"/>
            <w:vAlign w:val="top"/>
          </w:tcPr>
          <w:p w14:paraId="2F53CB53">
            <w:pPr>
              <w:rPr>
                <w:rFonts w:hint="eastAsia" w:ascii="宋体" w:hAnsi="宋体" w:eastAsia="宋体" w:cs="宋体"/>
                <w:color w:val="000000"/>
                <w:sz w:val="21"/>
                <w:szCs w:val="21"/>
                <w:highlight w:val="none"/>
              </w:rPr>
            </w:pPr>
          </w:p>
        </w:tc>
        <w:tc>
          <w:tcPr>
            <w:tcW w:w="1890" w:type="dxa"/>
            <w:noWrap w:val="0"/>
            <w:vAlign w:val="top"/>
          </w:tcPr>
          <w:p w14:paraId="01C6BF91">
            <w:pPr>
              <w:rPr>
                <w:rFonts w:hint="eastAsia" w:ascii="宋体" w:hAnsi="宋体" w:eastAsia="宋体" w:cs="宋体"/>
                <w:color w:val="000000"/>
                <w:sz w:val="21"/>
                <w:szCs w:val="21"/>
                <w:highlight w:val="none"/>
              </w:rPr>
            </w:pPr>
          </w:p>
        </w:tc>
      </w:tr>
      <w:tr w14:paraId="5B21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7BC3DF4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6504" w:type="dxa"/>
            <w:gridSpan w:val="3"/>
            <w:noWrap w:val="0"/>
            <w:vAlign w:val="top"/>
          </w:tcPr>
          <w:p w14:paraId="3F75EF83">
            <w:pPr>
              <w:rPr>
                <w:rFonts w:hint="eastAsia" w:ascii="宋体" w:hAnsi="宋体" w:eastAsia="宋体" w:cs="宋体"/>
                <w:color w:val="000000"/>
                <w:sz w:val="21"/>
                <w:szCs w:val="21"/>
                <w:highlight w:val="none"/>
              </w:rPr>
            </w:pPr>
          </w:p>
        </w:tc>
        <w:tc>
          <w:tcPr>
            <w:tcW w:w="1890" w:type="dxa"/>
            <w:noWrap w:val="0"/>
            <w:vAlign w:val="top"/>
          </w:tcPr>
          <w:p w14:paraId="15C23A0D">
            <w:pPr>
              <w:rPr>
                <w:rFonts w:hint="eastAsia" w:ascii="宋体" w:hAnsi="宋体" w:eastAsia="宋体" w:cs="宋体"/>
                <w:color w:val="000000"/>
                <w:sz w:val="21"/>
                <w:szCs w:val="21"/>
                <w:highlight w:val="none"/>
              </w:rPr>
            </w:pPr>
          </w:p>
        </w:tc>
      </w:tr>
      <w:tr w14:paraId="171D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14:paraId="16F0244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第二部分：资信及报价部分响应</w:t>
            </w:r>
          </w:p>
        </w:tc>
      </w:tr>
      <w:tr w14:paraId="09DE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AB011F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825" w:type="dxa"/>
            <w:noWrap w:val="0"/>
            <w:vAlign w:val="center"/>
          </w:tcPr>
          <w:p w14:paraId="4175A65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内容</w:t>
            </w:r>
          </w:p>
        </w:tc>
        <w:tc>
          <w:tcPr>
            <w:tcW w:w="2369" w:type="dxa"/>
            <w:noWrap w:val="0"/>
            <w:vAlign w:val="center"/>
          </w:tcPr>
          <w:p w14:paraId="4FD8BE74">
            <w:pPr>
              <w:jc w:val="center"/>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文件要求</w:t>
            </w:r>
          </w:p>
        </w:tc>
        <w:tc>
          <w:tcPr>
            <w:tcW w:w="2310" w:type="dxa"/>
            <w:noWrap w:val="0"/>
            <w:vAlign w:val="center"/>
          </w:tcPr>
          <w:p w14:paraId="1757E67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响应承诺</w:t>
            </w:r>
          </w:p>
        </w:tc>
        <w:tc>
          <w:tcPr>
            <w:tcW w:w="1890" w:type="dxa"/>
            <w:noWrap w:val="0"/>
            <w:vAlign w:val="center"/>
          </w:tcPr>
          <w:p w14:paraId="2462EA1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272A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43B8504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825" w:type="dxa"/>
            <w:noWrap w:val="0"/>
            <w:vAlign w:val="center"/>
          </w:tcPr>
          <w:p w14:paraId="7BB538A3">
            <w:pPr>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供货</w:t>
            </w:r>
            <w:r>
              <w:rPr>
                <w:rFonts w:hint="eastAsia" w:ascii="宋体" w:hAnsi="宋体" w:eastAsia="宋体" w:cs="宋体"/>
                <w:color w:val="000000"/>
                <w:sz w:val="21"/>
                <w:szCs w:val="21"/>
                <w:highlight w:val="none"/>
                <w:lang w:eastAsia="zh-CN"/>
              </w:rPr>
              <w:t>期限</w:t>
            </w:r>
          </w:p>
        </w:tc>
        <w:tc>
          <w:tcPr>
            <w:tcW w:w="2369" w:type="dxa"/>
            <w:noWrap w:val="0"/>
            <w:vAlign w:val="top"/>
          </w:tcPr>
          <w:p w14:paraId="36AC31A5">
            <w:pPr>
              <w:rPr>
                <w:rFonts w:hint="eastAsia" w:ascii="宋体" w:hAnsi="宋体" w:eastAsia="宋体" w:cs="宋体"/>
                <w:color w:val="000000"/>
                <w:sz w:val="21"/>
                <w:szCs w:val="21"/>
                <w:highlight w:val="none"/>
              </w:rPr>
            </w:pPr>
          </w:p>
        </w:tc>
        <w:tc>
          <w:tcPr>
            <w:tcW w:w="2310" w:type="dxa"/>
            <w:noWrap w:val="0"/>
            <w:vAlign w:val="top"/>
          </w:tcPr>
          <w:p w14:paraId="089C9079">
            <w:pPr>
              <w:rPr>
                <w:rFonts w:hint="eastAsia" w:ascii="宋体" w:hAnsi="宋体" w:eastAsia="宋体" w:cs="宋体"/>
                <w:color w:val="000000"/>
                <w:sz w:val="21"/>
                <w:szCs w:val="21"/>
                <w:highlight w:val="none"/>
              </w:rPr>
            </w:pPr>
          </w:p>
        </w:tc>
        <w:tc>
          <w:tcPr>
            <w:tcW w:w="1890" w:type="dxa"/>
            <w:noWrap w:val="0"/>
            <w:vAlign w:val="top"/>
          </w:tcPr>
          <w:p w14:paraId="21842879">
            <w:pPr>
              <w:rPr>
                <w:rFonts w:hint="eastAsia" w:ascii="宋体" w:hAnsi="宋体" w:eastAsia="宋体" w:cs="宋体"/>
                <w:color w:val="000000"/>
                <w:sz w:val="21"/>
                <w:szCs w:val="21"/>
                <w:highlight w:val="none"/>
              </w:rPr>
            </w:pPr>
          </w:p>
        </w:tc>
      </w:tr>
      <w:tr w14:paraId="5AB6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34D387">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825" w:type="dxa"/>
            <w:noWrap w:val="0"/>
            <w:vAlign w:val="center"/>
          </w:tcPr>
          <w:p w14:paraId="2D31453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付款响应</w:t>
            </w:r>
          </w:p>
        </w:tc>
        <w:tc>
          <w:tcPr>
            <w:tcW w:w="2369" w:type="dxa"/>
            <w:noWrap w:val="0"/>
            <w:vAlign w:val="top"/>
          </w:tcPr>
          <w:p w14:paraId="56DD8492">
            <w:pPr>
              <w:rPr>
                <w:rFonts w:hint="eastAsia" w:ascii="宋体" w:hAnsi="宋体" w:eastAsia="宋体" w:cs="宋体"/>
                <w:color w:val="000000"/>
                <w:sz w:val="21"/>
                <w:szCs w:val="21"/>
                <w:highlight w:val="none"/>
              </w:rPr>
            </w:pPr>
          </w:p>
        </w:tc>
        <w:tc>
          <w:tcPr>
            <w:tcW w:w="2310" w:type="dxa"/>
            <w:noWrap w:val="0"/>
            <w:vAlign w:val="top"/>
          </w:tcPr>
          <w:p w14:paraId="77B8B771">
            <w:pPr>
              <w:rPr>
                <w:rFonts w:hint="eastAsia" w:ascii="宋体" w:hAnsi="宋体" w:eastAsia="宋体" w:cs="宋体"/>
                <w:color w:val="000000"/>
                <w:sz w:val="21"/>
                <w:szCs w:val="21"/>
                <w:highlight w:val="none"/>
              </w:rPr>
            </w:pPr>
          </w:p>
        </w:tc>
        <w:tc>
          <w:tcPr>
            <w:tcW w:w="1890" w:type="dxa"/>
            <w:noWrap w:val="0"/>
            <w:vAlign w:val="top"/>
          </w:tcPr>
          <w:p w14:paraId="1B817115">
            <w:pPr>
              <w:rPr>
                <w:rFonts w:hint="eastAsia" w:ascii="宋体" w:hAnsi="宋体" w:eastAsia="宋体" w:cs="宋体"/>
                <w:color w:val="000000"/>
                <w:sz w:val="21"/>
                <w:szCs w:val="21"/>
                <w:highlight w:val="none"/>
              </w:rPr>
            </w:pPr>
          </w:p>
        </w:tc>
      </w:tr>
      <w:tr w14:paraId="7BB8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F64055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825" w:type="dxa"/>
            <w:noWrap w:val="0"/>
            <w:vAlign w:val="center"/>
          </w:tcPr>
          <w:p w14:paraId="2252D209">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w:t>
            </w:r>
          </w:p>
        </w:tc>
        <w:tc>
          <w:tcPr>
            <w:tcW w:w="2369" w:type="dxa"/>
            <w:noWrap w:val="0"/>
            <w:vAlign w:val="top"/>
          </w:tcPr>
          <w:p w14:paraId="4A1608BC">
            <w:pPr>
              <w:rPr>
                <w:rFonts w:hint="eastAsia" w:ascii="宋体" w:hAnsi="宋体" w:eastAsia="宋体" w:cs="宋体"/>
                <w:color w:val="000000"/>
                <w:sz w:val="21"/>
                <w:szCs w:val="21"/>
                <w:highlight w:val="none"/>
              </w:rPr>
            </w:pPr>
          </w:p>
        </w:tc>
        <w:tc>
          <w:tcPr>
            <w:tcW w:w="2310" w:type="dxa"/>
            <w:noWrap w:val="0"/>
            <w:vAlign w:val="top"/>
          </w:tcPr>
          <w:p w14:paraId="11BCA7B6">
            <w:pPr>
              <w:rPr>
                <w:rFonts w:hint="eastAsia" w:ascii="宋体" w:hAnsi="宋体" w:eastAsia="宋体" w:cs="宋体"/>
                <w:color w:val="000000"/>
                <w:sz w:val="21"/>
                <w:szCs w:val="21"/>
                <w:highlight w:val="none"/>
              </w:rPr>
            </w:pPr>
          </w:p>
        </w:tc>
        <w:tc>
          <w:tcPr>
            <w:tcW w:w="1890" w:type="dxa"/>
            <w:noWrap w:val="0"/>
            <w:vAlign w:val="top"/>
          </w:tcPr>
          <w:p w14:paraId="13B78B06">
            <w:pPr>
              <w:rPr>
                <w:rFonts w:hint="eastAsia" w:ascii="宋体" w:hAnsi="宋体" w:eastAsia="宋体" w:cs="宋体"/>
                <w:color w:val="000000"/>
                <w:sz w:val="21"/>
                <w:szCs w:val="21"/>
                <w:highlight w:val="none"/>
              </w:rPr>
            </w:pPr>
          </w:p>
        </w:tc>
      </w:tr>
    </w:tbl>
    <w:p w14:paraId="00119ADE">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w:t>
      </w:r>
      <w:r>
        <w:rPr>
          <w:rFonts w:hint="eastAsia" w:ascii="宋体" w:hAnsi="宋体" w:cs="宋体"/>
          <w:color w:val="auto"/>
          <w:sz w:val="24"/>
          <w:szCs w:val="28"/>
          <w:highlight w:val="none"/>
          <w:lang w:val="en-US" w:eastAsia="zh-CN"/>
        </w:rPr>
        <w:t>货物（服务）</w:t>
      </w:r>
      <w:r>
        <w:rPr>
          <w:rFonts w:hint="eastAsia" w:ascii="宋体" w:hAnsi="宋体" w:cs="宋体"/>
          <w:color w:val="auto"/>
          <w:sz w:val="24"/>
          <w:szCs w:val="28"/>
          <w:highlight w:val="none"/>
        </w:rPr>
        <w:t>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bookmarkEnd w:id="74"/>
    <w:p w14:paraId="4145AB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4"/>
          <w:szCs w:val="24"/>
          <w:highlight w:val="none"/>
          <w:lang w:val="zh-CN"/>
        </w:rPr>
      </w:pPr>
      <w:bookmarkStart w:id="75" w:name="_Toc1950_WPSOffice_Level1"/>
      <w:r>
        <w:rPr>
          <w:rFonts w:hint="eastAsia" w:ascii="宋体" w:hAnsi="宋体" w:cs="宋体"/>
          <w:b/>
          <w:kern w:val="0"/>
          <w:sz w:val="24"/>
          <w:szCs w:val="24"/>
          <w:highlight w:val="none"/>
          <w:lang w:val="zh-CN"/>
        </w:rPr>
        <w:t>响应报价书</w:t>
      </w:r>
    </w:p>
    <w:tbl>
      <w:tblPr>
        <w:tblStyle w:val="22"/>
        <w:tblW w:w="10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441"/>
        <w:gridCol w:w="1135"/>
        <w:gridCol w:w="1793"/>
        <w:gridCol w:w="1277"/>
        <w:gridCol w:w="968"/>
        <w:gridCol w:w="951"/>
        <w:gridCol w:w="1176"/>
        <w:gridCol w:w="1176"/>
      </w:tblGrid>
      <w:tr w14:paraId="6FB0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1" w:type="dxa"/>
            <w:noWrap w:val="0"/>
            <w:vAlign w:val="center"/>
          </w:tcPr>
          <w:p w14:paraId="059CEA37">
            <w:pPr>
              <w:keepNext w:val="0"/>
              <w:keepLines w:val="0"/>
              <w:widowControl/>
              <w:suppressLineNumbers w:val="0"/>
              <w:jc w:val="center"/>
              <w:textAlignment w:val="center"/>
              <w:rPr>
                <w:b/>
                <w:szCs w:val="21"/>
                <w:highlight w:val="none"/>
              </w:rPr>
            </w:pPr>
            <w:r>
              <w:rPr>
                <w:rStyle w:val="58"/>
                <w:b/>
                <w:bCs/>
                <w:sz w:val="21"/>
                <w:szCs w:val="21"/>
                <w:highlight w:val="none"/>
                <w:lang w:val="en-US" w:eastAsia="zh-CN" w:bidi="ar"/>
              </w:rPr>
              <w:t>序号</w:t>
            </w:r>
          </w:p>
        </w:tc>
        <w:tc>
          <w:tcPr>
            <w:tcW w:w="1441" w:type="dxa"/>
            <w:noWrap w:val="0"/>
            <w:vAlign w:val="center"/>
          </w:tcPr>
          <w:p w14:paraId="2F590DF1">
            <w:pPr>
              <w:keepNext w:val="0"/>
              <w:keepLines w:val="0"/>
              <w:widowControl/>
              <w:suppressLineNumbers w:val="0"/>
              <w:jc w:val="center"/>
              <w:textAlignment w:val="center"/>
              <w:rPr>
                <w:rFonts w:hint="default" w:eastAsia="宋体"/>
                <w:b/>
                <w:szCs w:val="21"/>
                <w:highlight w:val="none"/>
                <w:lang w:val="en-US" w:eastAsia="zh-CN"/>
              </w:rPr>
            </w:pPr>
            <w:r>
              <w:rPr>
                <w:rStyle w:val="58"/>
                <w:rFonts w:hint="eastAsia"/>
                <w:b/>
                <w:bCs/>
                <w:sz w:val="21"/>
                <w:szCs w:val="21"/>
                <w:highlight w:val="none"/>
                <w:lang w:val="en-US" w:eastAsia="zh-CN" w:bidi="ar"/>
              </w:rPr>
              <w:t>货物</w:t>
            </w:r>
            <w:r>
              <w:rPr>
                <w:rStyle w:val="58"/>
                <w:b/>
                <w:bCs/>
                <w:sz w:val="21"/>
                <w:szCs w:val="21"/>
                <w:highlight w:val="none"/>
                <w:lang w:val="en-US" w:eastAsia="zh-CN" w:bidi="ar"/>
              </w:rPr>
              <w:t>名称</w:t>
            </w:r>
          </w:p>
        </w:tc>
        <w:tc>
          <w:tcPr>
            <w:tcW w:w="1135" w:type="dxa"/>
            <w:noWrap w:val="0"/>
            <w:vAlign w:val="center"/>
          </w:tcPr>
          <w:p w14:paraId="77C110CF">
            <w:pPr>
              <w:keepNext w:val="0"/>
              <w:keepLines w:val="0"/>
              <w:widowControl/>
              <w:suppressLineNumbers w:val="0"/>
              <w:jc w:val="center"/>
              <w:textAlignment w:val="center"/>
              <w:rPr>
                <w:rFonts w:hint="default" w:eastAsia="宋体"/>
                <w:b/>
                <w:szCs w:val="21"/>
                <w:highlight w:val="none"/>
                <w:lang w:val="en-US" w:eastAsia="zh-CN"/>
              </w:rPr>
            </w:pPr>
            <w:r>
              <w:rPr>
                <w:rStyle w:val="58"/>
                <w:rFonts w:hint="eastAsia"/>
                <w:b/>
                <w:bCs/>
                <w:sz w:val="21"/>
                <w:szCs w:val="21"/>
                <w:highlight w:val="none"/>
                <w:lang w:val="en-US" w:eastAsia="zh-CN" w:bidi="ar"/>
              </w:rPr>
              <w:t>品牌型号</w:t>
            </w:r>
          </w:p>
        </w:tc>
        <w:tc>
          <w:tcPr>
            <w:tcW w:w="1793" w:type="dxa"/>
            <w:noWrap w:val="0"/>
            <w:vAlign w:val="center"/>
          </w:tcPr>
          <w:p w14:paraId="2E852F1A">
            <w:pPr>
              <w:keepNext w:val="0"/>
              <w:keepLines w:val="0"/>
              <w:widowControl/>
              <w:suppressLineNumbers w:val="0"/>
              <w:jc w:val="center"/>
              <w:textAlignment w:val="center"/>
              <w:rPr>
                <w:rFonts w:hint="default" w:ascii="宋体" w:hAnsi="宋体" w:cs="宋体"/>
                <w:b/>
                <w:bCs/>
                <w:i w:val="0"/>
                <w:iCs w:val="0"/>
                <w:color w:val="000000"/>
                <w:sz w:val="21"/>
                <w:szCs w:val="21"/>
                <w:highlight w:val="none"/>
                <w:u w:val="none"/>
                <w:lang w:val="en-US" w:eastAsia="zh-CN"/>
              </w:rPr>
            </w:pPr>
            <w:r>
              <w:rPr>
                <w:rFonts w:hint="eastAsia" w:ascii="宋体" w:hAnsi="宋体" w:cs="宋体"/>
                <w:b/>
                <w:bCs/>
                <w:i w:val="0"/>
                <w:iCs w:val="0"/>
                <w:color w:val="000000"/>
                <w:sz w:val="21"/>
                <w:szCs w:val="21"/>
                <w:highlight w:val="none"/>
                <w:u w:val="none"/>
                <w:lang w:val="en-US" w:eastAsia="zh-CN"/>
              </w:rPr>
              <w:t>技术参数</w:t>
            </w:r>
          </w:p>
        </w:tc>
        <w:tc>
          <w:tcPr>
            <w:tcW w:w="1277" w:type="dxa"/>
            <w:noWrap w:val="0"/>
            <w:vAlign w:val="center"/>
          </w:tcPr>
          <w:p w14:paraId="532DDFC7">
            <w:pPr>
              <w:keepNext w:val="0"/>
              <w:keepLines w:val="0"/>
              <w:widowControl/>
              <w:suppressLineNumbers w:val="0"/>
              <w:jc w:val="center"/>
              <w:textAlignment w:val="center"/>
              <w:rPr>
                <w:rFonts w:hint="default" w:eastAsia="宋体"/>
                <w:b/>
                <w:szCs w:val="21"/>
                <w:highlight w:val="none"/>
                <w:lang w:val="en-US" w:eastAsia="zh-CN"/>
              </w:rPr>
            </w:pPr>
            <w:r>
              <w:rPr>
                <w:rFonts w:hint="eastAsia" w:ascii="宋体" w:hAnsi="宋体" w:cs="宋体"/>
                <w:b/>
                <w:bCs/>
                <w:i w:val="0"/>
                <w:iCs w:val="0"/>
                <w:color w:val="000000"/>
                <w:sz w:val="21"/>
                <w:szCs w:val="21"/>
                <w:highlight w:val="none"/>
                <w:u w:val="none"/>
                <w:lang w:val="en-US" w:eastAsia="zh-CN"/>
              </w:rPr>
              <w:t>单位</w:t>
            </w:r>
          </w:p>
        </w:tc>
        <w:tc>
          <w:tcPr>
            <w:tcW w:w="968" w:type="dxa"/>
            <w:noWrap w:val="0"/>
            <w:vAlign w:val="center"/>
          </w:tcPr>
          <w:p w14:paraId="2FFCE2DD">
            <w:pPr>
              <w:keepNext w:val="0"/>
              <w:keepLines w:val="0"/>
              <w:widowControl/>
              <w:suppressLineNumbers w:val="0"/>
              <w:jc w:val="center"/>
              <w:textAlignment w:val="center"/>
              <w:rPr>
                <w:rFonts w:hint="default" w:eastAsia="宋体"/>
                <w:b/>
                <w:szCs w:val="21"/>
                <w:highlight w:val="none"/>
                <w:lang w:val="en-US" w:eastAsia="zh-CN"/>
              </w:rPr>
            </w:pPr>
            <w:r>
              <w:rPr>
                <w:rStyle w:val="58"/>
                <w:b/>
                <w:bCs/>
                <w:sz w:val="21"/>
                <w:szCs w:val="21"/>
                <w:highlight w:val="none"/>
                <w:lang w:val="en-US" w:eastAsia="zh-CN" w:bidi="ar"/>
              </w:rPr>
              <w:t>数量</w:t>
            </w:r>
          </w:p>
        </w:tc>
        <w:tc>
          <w:tcPr>
            <w:tcW w:w="951" w:type="dxa"/>
            <w:noWrap w:val="0"/>
            <w:vAlign w:val="center"/>
          </w:tcPr>
          <w:p w14:paraId="7E7DF34B">
            <w:pPr>
              <w:keepNext w:val="0"/>
              <w:keepLines w:val="0"/>
              <w:widowControl/>
              <w:suppressLineNumbers w:val="0"/>
              <w:jc w:val="center"/>
              <w:textAlignment w:val="center"/>
              <w:rPr>
                <w:rStyle w:val="58"/>
                <w:rFonts w:hint="default"/>
                <w:b/>
                <w:bCs/>
                <w:sz w:val="21"/>
                <w:szCs w:val="21"/>
                <w:highlight w:val="none"/>
                <w:lang w:val="en-US" w:eastAsia="zh-CN" w:bidi="ar"/>
              </w:rPr>
            </w:pPr>
            <w:r>
              <w:rPr>
                <w:rStyle w:val="58"/>
                <w:rFonts w:hint="eastAsia"/>
                <w:b/>
                <w:bCs/>
                <w:sz w:val="21"/>
                <w:szCs w:val="21"/>
                <w:highlight w:val="none"/>
                <w:lang w:val="en-US" w:eastAsia="zh-CN" w:bidi="ar"/>
              </w:rPr>
              <w:t>单价</w:t>
            </w:r>
          </w:p>
        </w:tc>
        <w:tc>
          <w:tcPr>
            <w:tcW w:w="1176" w:type="dxa"/>
            <w:noWrap w:val="0"/>
            <w:vAlign w:val="center"/>
          </w:tcPr>
          <w:p w14:paraId="1AD55712">
            <w:pPr>
              <w:keepNext w:val="0"/>
              <w:keepLines w:val="0"/>
              <w:widowControl/>
              <w:suppressLineNumbers w:val="0"/>
              <w:jc w:val="center"/>
              <w:textAlignment w:val="center"/>
              <w:rPr>
                <w:rStyle w:val="58"/>
                <w:rFonts w:hint="eastAsia"/>
                <w:b/>
                <w:bCs/>
                <w:sz w:val="21"/>
                <w:szCs w:val="21"/>
                <w:highlight w:val="none"/>
                <w:lang w:val="en-US" w:eastAsia="zh-CN" w:bidi="ar"/>
              </w:rPr>
            </w:pPr>
            <w:r>
              <w:rPr>
                <w:rStyle w:val="58"/>
                <w:rFonts w:hint="eastAsia"/>
                <w:b/>
                <w:bCs/>
                <w:sz w:val="21"/>
                <w:szCs w:val="21"/>
                <w:highlight w:val="none"/>
                <w:lang w:val="en-US" w:eastAsia="zh-CN" w:bidi="ar"/>
              </w:rPr>
              <w:t>小计</w:t>
            </w:r>
          </w:p>
        </w:tc>
        <w:tc>
          <w:tcPr>
            <w:tcW w:w="1176" w:type="dxa"/>
            <w:noWrap w:val="0"/>
            <w:vAlign w:val="center"/>
          </w:tcPr>
          <w:p w14:paraId="6539514D">
            <w:pPr>
              <w:keepNext w:val="0"/>
              <w:keepLines w:val="0"/>
              <w:widowControl/>
              <w:suppressLineNumbers w:val="0"/>
              <w:jc w:val="center"/>
              <w:textAlignment w:val="center"/>
              <w:rPr>
                <w:rStyle w:val="58"/>
                <w:rFonts w:hint="default"/>
                <w:b/>
                <w:bCs/>
                <w:sz w:val="21"/>
                <w:szCs w:val="21"/>
                <w:highlight w:val="none"/>
                <w:lang w:val="en-US" w:eastAsia="zh-CN" w:bidi="ar"/>
              </w:rPr>
            </w:pPr>
            <w:r>
              <w:rPr>
                <w:rStyle w:val="58"/>
                <w:rFonts w:hint="eastAsia"/>
                <w:b/>
                <w:bCs/>
                <w:sz w:val="21"/>
                <w:szCs w:val="21"/>
                <w:highlight w:val="none"/>
                <w:lang w:val="en-US" w:eastAsia="zh-CN" w:bidi="ar"/>
              </w:rPr>
              <w:t>备注</w:t>
            </w:r>
          </w:p>
        </w:tc>
      </w:tr>
      <w:tr w14:paraId="4044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691" w:type="dxa"/>
            <w:noWrap w:val="0"/>
            <w:vAlign w:val="center"/>
          </w:tcPr>
          <w:p w14:paraId="638B7DDF">
            <w:pPr>
              <w:spacing w:line="440" w:lineRule="exact"/>
              <w:jc w:val="center"/>
              <w:rPr>
                <w:szCs w:val="21"/>
                <w:highlight w:val="none"/>
              </w:rPr>
            </w:pPr>
            <w:r>
              <w:rPr>
                <w:szCs w:val="21"/>
                <w:highlight w:val="none"/>
              </w:rPr>
              <w:t>1</w:t>
            </w:r>
          </w:p>
        </w:tc>
        <w:tc>
          <w:tcPr>
            <w:tcW w:w="1441" w:type="dxa"/>
            <w:noWrap w:val="0"/>
            <w:vAlign w:val="center"/>
          </w:tcPr>
          <w:p w14:paraId="55D023E9">
            <w:pPr>
              <w:spacing w:line="440" w:lineRule="exact"/>
              <w:jc w:val="center"/>
              <w:rPr>
                <w:szCs w:val="21"/>
                <w:highlight w:val="none"/>
              </w:rPr>
            </w:pPr>
          </w:p>
        </w:tc>
        <w:tc>
          <w:tcPr>
            <w:tcW w:w="1135" w:type="dxa"/>
            <w:noWrap w:val="0"/>
            <w:vAlign w:val="center"/>
          </w:tcPr>
          <w:p w14:paraId="314FC0D0">
            <w:pPr>
              <w:spacing w:line="440" w:lineRule="exact"/>
              <w:jc w:val="center"/>
              <w:rPr>
                <w:rFonts w:hint="eastAsia"/>
                <w:szCs w:val="21"/>
                <w:highlight w:val="none"/>
              </w:rPr>
            </w:pPr>
          </w:p>
        </w:tc>
        <w:tc>
          <w:tcPr>
            <w:tcW w:w="1793" w:type="dxa"/>
            <w:noWrap w:val="0"/>
            <w:vAlign w:val="center"/>
          </w:tcPr>
          <w:p w14:paraId="73D80F4D">
            <w:pPr>
              <w:spacing w:line="440" w:lineRule="exact"/>
              <w:jc w:val="center"/>
              <w:rPr>
                <w:szCs w:val="21"/>
                <w:highlight w:val="none"/>
                <w:u w:val="single"/>
              </w:rPr>
            </w:pPr>
          </w:p>
        </w:tc>
        <w:tc>
          <w:tcPr>
            <w:tcW w:w="1277" w:type="dxa"/>
            <w:noWrap w:val="0"/>
            <w:vAlign w:val="center"/>
          </w:tcPr>
          <w:p w14:paraId="3C15BC56">
            <w:pPr>
              <w:spacing w:line="440" w:lineRule="exact"/>
              <w:jc w:val="center"/>
              <w:rPr>
                <w:szCs w:val="21"/>
                <w:highlight w:val="none"/>
                <w:u w:val="single"/>
              </w:rPr>
            </w:pPr>
          </w:p>
        </w:tc>
        <w:tc>
          <w:tcPr>
            <w:tcW w:w="968" w:type="dxa"/>
            <w:noWrap w:val="0"/>
            <w:vAlign w:val="center"/>
          </w:tcPr>
          <w:p w14:paraId="0B761B96">
            <w:pPr>
              <w:spacing w:line="440" w:lineRule="exact"/>
              <w:jc w:val="center"/>
              <w:rPr>
                <w:szCs w:val="21"/>
                <w:highlight w:val="none"/>
              </w:rPr>
            </w:pPr>
          </w:p>
        </w:tc>
        <w:tc>
          <w:tcPr>
            <w:tcW w:w="951" w:type="dxa"/>
            <w:noWrap w:val="0"/>
            <w:vAlign w:val="center"/>
          </w:tcPr>
          <w:p w14:paraId="7C70AC59">
            <w:pPr>
              <w:spacing w:line="440" w:lineRule="exact"/>
              <w:jc w:val="center"/>
              <w:rPr>
                <w:szCs w:val="21"/>
                <w:highlight w:val="none"/>
              </w:rPr>
            </w:pPr>
          </w:p>
        </w:tc>
        <w:tc>
          <w:tcPr>
            <w:tcW w:w="1176" w:type="dxa"/>
            <w:noWrap w:val="0"/>
            <w:vAlign w:val="center"/>
          </w:tcPr>
          <w:p w14:paraId="3E593FA4">
            <w:pPr>
              <w:spacing w:line="440" w:lineRule="exact"/>
              <w:jc w:val="center"/>
              <w:rPr>
                <w:szCs w:val="21"/>
                <w:highlight w:val="none"/>
              </w:rPr>
            </w:pPr>
          </w:p>
        </w:tc>
        <w:tc>
          <w:tcPr>
            <w:tcW w:w="1176" w:type="dxa"/>
            <w:noWrap w:val="0"/>
            <w:vAlign w:val="center"/>
          </w:tcPr>
          <w:p w14:paraId="5C8142FF">
            <w:pPr>
              <w:spacing w:line="440" w:lineRule="exact"/>
              <w:jc w:val="center"/>
              <w:rPr>
                <w:szCs w:val="21"/>
                <w:highlight w:val="none"/>
              </w:rPr>
            </w:pPr>
          </w:p>
        </w:tc>
      </w:tr>
      <w:tr w14:paraId="54A7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91" w:type="dxa"/>
            <w:noWrap w:val="0"/>
            <w:vAlign w:val="center"/>
          </w:tcPr>
          <w:p w14:paraId="358EEE08">
            <w:pPr>
              <w:spacing w:line="440" w:lineRule="exact"/>
              <w:jc w:val="center"/>
              <w:rPr>
                <w:szCs w:val="21"/>
                <w:highlight w:val="none"/>
              </w:rPr>
            </w:pPr>
            <w:r>
              <w:rPr>
                <w:szCs w:val="21"/>
                <w:highlight w:val="none"/>
              </w:rPr>
              <w:t>2</w:t>
            </w:r>
          </w:p>
        </w:tc>
        <w:tc>
          <w:tcPr>
            <w:tcW w:w="1441" w:type="dxa"/>
            <w:noWrap w:val="0"/>
            <w:vAlign w:val="center"/>
          </w:tcPr>
          <w:p w14:paraId="4DE6A877">
            <w:pPr>
              <w:spacing w:line="440" w:lineRule="exact"/>
              <w:jc w:val="center"/>
              <w:rPr>
                <w:rFonts w:hint="default"/>
                <w:szCs w:val="21"/>
                <w:highlight w:val="none"/>
                <w:lang w:val="en-US"/>
              </w:rPr>
            </w:pPr>
          </w:p>
        </w:tc>
        <w:tc>
          <w:tcPr>
            <w:tcW w:w="1135" w:type="dxa"/>
            <w:noWrap w:val="0"/>
            <w:vAlign w:val="center"/>
          </w:tcPr>
          <w:p w14:paraId="3BBD9138">
            <w:pPr>
              <w:spacing w:line="440" w:lineRule="exact"/>
              <w:jc w:val="center"/>
              <w:rPr>
                <w:rFonts w:hint="eastAsia"/>
                <w:szCs w:val="21"/>
                <w:highlight w:val="none"/>
              </w:rPr>
            </w:pPr>
          </w:p>
        </w:tc>
        <w:tc>
          <w:tcPr>
            <w:tcW w:w="1793" w:type="dxa"/>
            <w:noWrap w:val="0"/>
            <w:vAlign w:val="center"/>
          </w:tcPr>
          <w:p w14:paraId="40A6399E">
            <w:pPr>
              <w:spacing w:line="440" w:lineRule="exact"/>
              <w:jc w:val="center"/>
              <w:rPr>
                <w:rFonts w:hint="default" w:eastAsia="宋体"/>
                <w:szCs w:val="21"/>
                <w:highlight w:val="none"/>
                <w:u w:val="single"/>
                <w:lang w:val="en-US" w:eastAsia="zh-CN"/>
              </w:rPr>
            </w:pPr>
          </w:p>
        </w:tc>
        <w:tc>
          <w:tcPr>
            <w:tcW w:w="1277" w:type="dxa"/>
            <w:noWrap w:val="0"/>
            <w:vAlign w:val="center"/>
          </w:tcPr>
          <w:p w14:paraId="13397044">
            <w:pPr>
              <w:spacing w:line="440" w:lineRule="exact"/>
              <w:jc w:val="center"/>
              <w:rPr>
                <w:rFonts w:hint="default" w:eastAsia="宋体"/>
                <w:szCs w:val="21"/>
                <w:highlight w:val="none"/>
                <w:u w:val="single"/>
                <w:lang w:val="en-US" w:eastAsia="zh-CN"/>
              </w:rPr>
            </w:pPr>
          </w:p>
        </w:tc>
        <w:tc>
          <w:tcPr>
            <w:tcW w:w="968" w:type="dxa"/>
            <w:noWrap w:val="0"/>
            <w:vAlign w:val="center"/>
          </w:tcPr>
          <w:p w14:paraId="1665C3DA">
            <w:pPr>
              <w:spacing w:line="440" w:lineRule="exact"/>
              <w:jc w:val="center"/>
              <w:rPr>
                <w:szCs w:val="21"/>
                <w:highlight w:val="none"/>
              </w:rPr>
            </w:pPr>
          </w:p>
        </w:tc>
        <w:tc>
          <w:tcPr>
            <w:tcW w:w="951" w:type="dxa"/>
            <w:noWrap w:val="0"/>
            <w:vAlign w:val="center"/>
          </w:tcPr>
          <w:p w14:paraId="2F6161C2">
            <w:pPr>
              <w:spacing w:line="440" w:lineRule="exact"/>
              <w:jc w:val="center"/>
              <w:rPr>
                <w:szCs w:val="21"/>
                <w:highlight w:val="none"/>
              </w:rPr>
            </w:pPr>
          </w:p>
        </w:tc>
        <w:tc>
          <w:tcPr>
            <w:tcW w:w="1176" w:type="dxa"/>
            <w:noWrap w:val="0"/>
            <w:vAlign w:val="center"/>
          </w:tcPr>
          <w:p w14:paraId="100C849B">
            <w:pPr>
              <w:spacing w:line="440" w:lineRule="exact"/>
              <w:jc w:val="center"/>
              <w:rPr>
                <w:szCs w:val="21"/>
                <w:highlight w:val="none"/>
              </w:rPr>
            </w:pPr>
          </w:p>
        </w:tc>
        <w:tc>
          <w:tcPr>
            <w:tcW w:w="1176" w:type="dxa"/>
            <w:noWrap w:val="0"/>
            <w:vAlign w:val="center"/>
          </w:tcPr>
          <w:p w14:paraId="786CA830">
            <w:pPr>
              <w:spacing w:line="440" w:lineRule="exact"/>
              <w:jc w:val="center"/>
              <w:rPr>
                <w:szCs w:val="21"/>
                <w:highlight w:val="none"/>
              </w:rPr>
            </w:pPr>
          </w:p>
        </w:tc>
      </w:tr>
      <w:tr w14:paraId="54740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691" w:type="dxa"/>
            <w:noWrap w:val="0"/>
            <w:vAlign w:val="center"/>
          </w:tcPr>
          <w:p w14:paraId="32F35AD2">
            <w:pPr>
              <w:spacing w:line="440" w:lineRule="exact"/>
              <w:jc w:val="center"/>
              <w:rPr>
                <w:szCs w:val="21"/>
                <w:highlight w:val="none"/>
              </w:rPr>
            </w:pPr>
            <w:r>
              <w:rPr>
                <w:szCs w:val="21"/>
                <w:highlight w:val="none"/>
              </w:rPr>
              <w:t>3</w:t>
            </w:r>
          </w:p>
        </w:tc>
        <w:tc>
          <w:tcPr>
            <w:tcW w:w="1441" w:type="dxa"/>
            <w:noWrap w:val="0"/>
            <w:vAlign w:val="center"/>
          </w:tcPr>
          <w:p w14:paraId="4C3F5370">
            <w:pPr>
              <w:spacing w:line="440" w:lineRule="exact"/>
              <w:jc w:val="center"/>
              <w:rPr>
                <w:rFonts w:hint="default" w:eastAsia="宋体"/>
                <w:szCs w:val="21"/>
                <w:highlight w:val="none"/>
                <w:lang w:val="en-US" w:eastAsia="zh-CN"/>
              </w:rPr>
            </w:pPr>
          </w:p>
        </w:tc>
        <w:tc>
          <w:tcPr>
            <w:tcW w:w="1135" w:type="dxa"/>
            <w:noWrap w:val="0"/>
            <w:vAlign w:val="center"/>
          </w:tcPr>
          <w:p w14:paraId="7212FEDC">
            <w:pPr>
              <w:spacing w:line="440" w:lineRule="exact"/>
              <w:jc w:val="center"/>
              <w:rPr>
                <w:szCs w:val="21"/>
                <w:highlight w:val="none"/>
              </w:rPr>
            </w:pPr>
          </w:p>
        </w:tc>
        <w:tc>
          <w:tcPr>
            <w:tcW w:w="1793" w:type="dxa"/>
            <w:noWrap w:val="0"/>
            <w:vAlign w:val="center"/>
          </w:tcPr>
          <w:p w14:paraId="4741B2FB">
            <w:pPr>
              <w:spacing w:line="440" w:lineRule="exact"/>
              <w:jc w:val="center"/>
              <w:rPr>
                <w:rFonts w:hint="eastAsia" w:eastAsia="宋体"/>
                <w:szCs w:val="21"/>
                <w:highlight w:val="none"/>
                <w:lang w:val="en-US" w:eastAsia="zh-CN"/>
              </w:rPr>
            </w:pPr>
          </w:p>
        </w:tc>
        <w:tc>
          <w:tcPr>
            <w:tcW w:w="1277" w:type="dxa"/>
            <w:noWrap w:val="0"/>
            <w:vAlign w:val="center"/>
          </w:tcPr>
          <w:p w14:paraId="3CCC5984">
            <w:pPr>
              <w:spacing w:line="440" w:lineRule="exact"/>
              <w:jc w:val="center"/>
              <w:rPr>
                <w:rFonts w:hint="eastAsia" w:eastAsia="宋体"/>
                <w:szCs w:val="21"/>
                <w:highlight w:val="none"/>
                <w:lang w:val="en-US" w:eastAsia="zh-CN"/>
              </w:rPr>
            </w:pPr>
          </w:p>
        </w:tc>
        <w:tc>
          <w:tcPr>
            <w:tcW w:w="968" w:type="dxa"/>
            <w:noWrap w:val="0"/>
            <w:vAlign w:val="center"/>
          </w:tcPr>
          <w:p w14:paraId="29752889">
            <w:pPr>
              <w:spacing w:line="440" w:lineRule="exact"/>
              <w:jc w:val="center"/>
              <w:rPr>
                <w:szCs w:val="21"/>
                <w:highlight w:val="none"/>
              </w:rPr>
            </w:pPr>
          </w:p>
        </w:tc>
        <w:tc>
          <w:tcPr>
            <w:tcW w:w="951" w:type="dxa"/>
            <w:noWrap w:val="0"/>
            <w:vAlign w:val="center"/>
          </w:tcPr>
          <w:p w14:paraId="081EF3AE">
            <w:pPr>
              <w:spacing w:line="440" w:lineRule="exact"/>
              <w:jc w:val="center"/>
              <w:rPr>
                <w:szCs w:val="21"/>
                <w:highlight w:val="none"/>
              </w:rPr>
            </w:pPr>
          </w:p>
        </w:tc>
        <w:tc>
          <w:tcPr>
            <w:tcW w:w="1176" w:type="dxa"/>
            <w:noWrap w:val="0"/>
            <w:vAlign w:val="center"/>
          </w:tcPr>
          <w:p w14:paraId="3DB64C22">
            <w:pPr>
              <w:spacing w:line="440" w:lineRule="exact"/>
              <w:jc w:val="center"/>
              <w:rPr>
                <w:szCs w:val="21"/>
                <w:highlight w:val="none"/>
              </w:rPr>
            </w:pPr>
          </w:p>
        </w:tc>
        <w:tc>
          <w:tcPr>
            <w:tcW w:w="1176" w:type="dxa"/>
            <w:noWrap w:val="0"/>
            <w:vAlign w:val="center"/>
          </w:tcPr>
          <w:p w14:paraId="79636E5E">
            <w:pPr>
              <w:spacing w:line="440" w:lineRule="exact"/>
              <w:jc w:val="center"/>
              <w:rPr>
                <w:szCs w:val="21"/>
                <w:highlight w:val="none"/>
              </w:rPr>
            </w:pPr>
          </w:p>
        </w:tc>
      </w:tr>
      <w:tr w14:paraId="5426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1" w:type="dxa"/>
            <w:noWrap w:val="0"/>
            <w:vAlign w:val="center"/>
          </w:tcPr>
          <w:p w14:paraId="754F4D8D">
            <w:pPr>
              <w:spacing w:line="440" w:lineRule="exact"/>
              <w:jc w:val="center"/>
              <w:rPr>
                <w:szCs w:val="21"/>
                <w:highlight w:val="none"/>
              </w:rPr>
            </w:pPr>
            <w:r>
              <w:rPr>
                <w:szCs w:val="21"/>
                <w:highlight w:val="none"/>
              </w:rPr>
              <w:t>4</w:t>
            </w:r>
          </w:p>
        </w:tc>
        <w:tc>
          <w:tcPr>
            <w:tcW w:w="1441" w:type="dxa"/>
            <w:noWrap w:val="0"/>
            <w:vAlign w:val="center"/>
          </w:tcPr>
          <w:p w14:paraId="023AE3BA">
            <w:pPr>
              <w:spacing w:line="440" w:lineRule="exact"/>
              <w:jc w:val="center"/>
              <w:rPr>
                <w:szCs w:val="21"/>
                <w:highlight w:val="none"/>
              </w:rPr>
            </w:pPr>
          </w:p>
        </w:tc>
        <w:tc>
          <w:tcPr>
            <w:tcW w:w="1135" w:type="dxa"/>
            <w:noWrap w:val="0"/>
            <w:vAlign w:val="center"/>
          </w:tcPr>
          <w:p w14:paraId="366E1DD2">
            <w:pPr>
              <w:spacing w:line="440" w:lineRule="exact"/>
              <w:jc w:val="center"/>
              <w:rPr>
                <w:rFonts w:hint="eastAsia"/>
                <w:szCs w:val="21"/>
                <w:highlight w:val="none"/>
              </w:rPr>
            </w:pPr>
          </w:p>
        </w:tc>
        <w:tc>
          <w:tcPr>
            <w:tcW w:w="1793" w:type="dxa"/>
            <w:noWrap w:val="0"/>
            <w:vAlign w:val="center"/>
          </w:tcPr>
          <w:p w14:paraId="15BB7BAD">
            <w:pPr>
              <w:spacing w:line="440" w:lineRule="exact"/>
              <w:jc w:val="center"/>
              <w:rPr>
                <w:rFonts w:hint="eastAsia"/>
                <w:szCs w:val="21"/>
                <w:highlight w:val="none"/>
              </w:rPr>
            </w:pPr>
          </w:p>
        </w:tc>
        <w:tc>
          <w:tcPr>
            <w:tcW w:w="1277" w:type="dxa"/>
            <w:noWrap w:val="0"/>
            <w:vAlign w:val="center"/>
          </w:tcPr>
          <w:p w14:paraId="14AF817B">
            <w:pPr>
              <w:spacing w:line="440" w:lineRule="exact"/>
              <w:jc w:val="center"/>
              <w:rPr>
                <w:rFonts w:hint="eastAsia"/>
                <w:szCs w:val="21"/>
                <w:highlight w:val="none"/>
              </w:rPr>
            </w:pPr>
          </w:p>
        </w:tc>
        <w:tc>
          <w:tcPr>
            <w:tcW w:w="968" w:type="dxa"/>
            <w:noWrap w:val="0"/>
            <w:vAlign w:val="center"/>
          </w:tcPr>
          <w:p w14:paraId="33F2BD94">
            <w:pPr>
              <w:spacing w:line="440" w:lineRule="exact"/>
              <w:jc w:val="center"/>
              <w:rPr>
                <w:szCs w:val="21"/>
                <w:highlight w:val="none"/>
              </w:rPr>
            </w:pPr>
          </w:p>
        </w:tc>
        <w:tc>
          <w:tcPr>
            <w:tcW w:w="951" w:type="dxa"/>
            <w:noWrap w:val="0"/>
            <w:vAlign w:val="center"/>
          </w:tcPr>
          <w:p w14:paraId="45FC6FBC">
            <w:pPr>
              <w:spacing w:line="440" w:lineRule="exact"/>
              <w:jc w:val="center"/>
              <w:rPr>
                <w:szCs w:val="21"/>
                <w:highlight w:val="none"/>
              </w:rPr>
            </w:pPr>
          </w:p>
        </w:tc>
        <w:tc>
          <w:tcPr>
            <w:tcW w:w="1176" w:type="dxa"/>
            <w:noWrap w:val="0"/>
            <w:vAlign w:val="center"/>
          </w:tcPr>
          <w:p w14:paraId="27BEF192">
            <w:pPr>
              <w:spacing w:line="440" w:lineRule="exact"/>
              <w:jc w:val="center"/>
              <w:rPr>
                <w:szCs w:val="21"/>
                <w:highlight w:val="none"/>
              </w:rPr>
            </w:pPr>
          </w:p>
        </w:tc>
        <w:tc>
          <w:tcPr>
            <w:tcW w:w="1176" w:type="dxa"/>
            <w:noWrap w:val="0"/>
            <w:vAlign w:val="center"/>
          </w:tcPr>
          <w:p w14:paraId="445ECEC3">
            <w:pPr>
              <w:spacing w:line="440" w:lineRule="exact"/>
              <w:jc w:val="center"/>
              <w:rPr>
                <w:szCs w:val="21"/>
                <w:highlight w:val="none"/>
              </w:rPr>
            </w:pPr>
          </w:p>
        </w:tc>
      </w:tr>
      <w:tr w14:paraId="3A7B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691" w:type="dxa"/>
            <w:noWrap w:val="0"/>
            <w:vAlign w:val="center"/>
          </w:tcPr>
          <w:p w14:paraId="1D81D22F">
            <w:pPr>
              <w:spacing w:line="440" w:lineRule="exact"/>
              <w:jc w:val="center"/>
              <w:rPr>
                <w:rFonts w:hint="default" w:eastAsia="宋体"/>
                <w:szCs w:val="21"/>
                <w:highlight w:val="none"/>
                <w:lang w:val="en-US" w:eastAsia="zh-CN"/>
              </w:rPr>
            </w:pPr>
            <w:r>
              <w:rPr>
                <w:rFonts w:hint="eastAsia"/>
                <w:szCs w:val="21"/>
                <w:highlight w:val="none"/>
                <w:lang w:val="en-US" w:eastAsia="zh-CN"/>
              </w:rPr>
              <w:t>···</w:t>
            </w:r>
          </w:p>
        </w:tc>
        <w:tc>
          <w:tcPr>
            <w:tcW w:w="1441" w:type="dxa"/>
            <w:noWrap w:val="0"/>
            <w:vAlign w:val="center"/>
          </w:tcPr>
          <w:p w14:paraId="4F2B9E47">
            <w:pPr>
              <w:spacing w:line="440" w:lineRule="exact"/>
              <w:jc w:val="center"/>
              <w:rPr>
                <w:rFonts w:hint="eastAsia"/>
                <w:szCs w:val="21"/>
                <w:highlight w:val="none"/>
              </w:rPr>
            </w:pPr>
          </w:p>
        </w:tc>
        <w:tc>
          <w:tcPr>
            <w:tcW w:w="1135" w:type="dxa"/>
            <w:noWrap w:val="0"/>
            <w:vAlign w:val="center"/>
          </w:tcPr>
          <w:p w14:paraId="45DBD978">
            <w:pPr>
              <w:spacing w:line="440" w:lineRule="exact"/>
              <w:jc w:val="center"/>
              <w:rPr>
                <w:rFonts w:hint="eastAsia"/>
                <w:szCs w:val="21"/>
                <w:highlight w:val="none"/>
              </w:rPr>
            </w:pPr>
          </w:p>
        </w:tc>
        <w:tc>
          <w:tcPr>
            <w:tcW w:w="1793" w:type="dxa"/>
            <w:noWrap w:val="0"/>
            <w:vAlign w:val="center"/>
          </w:tcPr>
          <w:p w14:paraId="74A7C3AA">
            <w:pPr>
              <w:spacing w:line="440" w:lineRule="exact"/>
              <w:jc w:val="center"/>
              <w:rPr>
                <w:rFonts w:hint="eastAsia"/>
                <w:szCs w:val="21"/>
                <w:highlight w:val="none"/>
              </w:rPr>
            </w:pPr>
          </w:p>
        </w:tc>
        <w:tc>
          <w:tcPr>
            <w:tcW w:w="1277" w:type="dxa"/>
            <w:noWrap w:val="0"/>
            <w:vAlign w:val="center"/>
          </w:tcPr>
          <w:p w14:paraId="697BAC6D">
            <w:pPr>
              <w:spacing w:line="440" w:lineRule="exact"/>
              <w:jc w:val="center"/>
              <w:rPr>
                <w:rFonts w:hint="eastAsia"/>
                <w:szCs w:val="21"/>
                <w:highlight w:val="none"/>
              </w:rPr>
            </w:pPr>
          </w:p>
        </w:tc>
        <w:tc>
          <w:tcPr>
            <w:tcW w:w="968" w:type="dxa"/>
            <w:noWrap w:val="0"/>
            <w:vAlign w:val="center"/>
          </w:tcPr>
          <w:p w14:paraId="18C3AC75">
            <w:pPr>
              <w:spacing w:line="440" w:lineRule="exact"/>
              <w:jc w:val="center"/>
              <w:rPr>
                <w:szCs w:val="21"/>
                <w:highlight w:val="none"/>
              </w:rPr>
            </w:pPr>
          </w:p>
        </w:tc>
        <w:tc>
          <w:tcPr>
            <w:tcW w:w="951" w:type="dxa"/>
            <w:noWrap w:val="0"/>
            <w:vAlign w:val="center"/>
          </w:tcPr>
          <w:p w14:paraId="20A29A1A">
            <w:pPr>
              <w:spacing w:line="440" w:lineRule="exact"/>
              <w:jc w:val="center"/>
              <w:rPr>
                <w:szCs w:val="21"/>
                <w:highlight w:val="none"/>
              </w:rPr>
            </w:pPr>
          </w:p>
        </w:tc>
        <w:tc>
          <w:tcPr>
            <w:tcW w:w="1176" w:type="dxa"/>
            <w:noWrap w:val="0"/>
            <w:vAlign w:val="center"/>
          </w:tcPr>
          <w:p w14:paraId="2787B2BF">
            <w:pPr>
              <w:spacing w:line="440" w:lineRule="exact"/>
              <w:jc w:val="center"/>
              <w:rPr>
                <w:szCs w:val="21"/>
                <w:highlight w:val="none"/>
              </w:rPr>
            </w:pPr>
          </w:p>
        </w:tc>
        <w:tc>
          <w:tcPr>
            <w:tcW w:w="1176" w:type="dxa"/>
            <w:noWrap w:val="0"/>
            <w:vAlign w:val="center"/>
          </w:tcPr>
          <w:p w14:paraId="1F378260">
            <w:pPr>
              <w:spacing w:line="440" w:lineRule="exact"/>
              <w:jc w:val="center"/>
              <w:rPr>
                <w:szCs w:val="21"/>
                <w:highlight w:val="none"/>
              </w:rPr>
            </w:pPr>
          </w:p>
        </w:tc>
      </w:tr>
      <w:tr w14:paraId="5E57A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8256" w:type="dxa"/>
            <w:gridSpan w:val="7"/>
            <w:noWrap w:val="0"/>
            <w:vAlign w:val="center"/>
          </w:tcPr>
          <w:p w14:paraId="4B4E6B00">
            <w:pPr>
              <w:spacing w:line="440" w:lineRule="exact"/>
              <w:jc w:val="center"/>
              <w:rPr>
                <w:rFonts w:hint="eastAsia" w:eastAsia="宋体"/>
                <w:szCs w:val="21"/>
                <w:highlight w:val="none"/>
                <w:lang w:val="en-US" w:eastAsia="zh-CN"/>
              </w:rPr>
            </w:pPr>
            <w:r>
              <w:rPr>
                <w:rFonts w:hint="eastAsia"/>
                <w:b/>
                <w:bCs/>
                <w:szCs w:val="21"/>
                <w:highlight w:val="none"/>
                <w:lang w:val="en-US" w:eastAsia="zh-CN"/>
              </w:rPr>
              <w:t>总计</w:t>
            </w:r>
          </w:p>
        </w:tc>
        <w:tc>
          <w:tcPr>
            <w:tcW w:w="1176" w:type="dxa"/>
            <w:noWrap w:val="0"/>
            <w:vAlign w:val="center"/>
          </w:tcPr>
          <w:p w14:paraId="40F02FA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szCs w:val="21"/>
                <w:highlight w:val="none"/>
                <w:lang w:val="en-US" w:eastAsia="zh-CN"/>
              </w:rPr>
            </w:pPr>
            <w:r>
              <w:rPr>
                <w:rFonts w:hint="eastAsia"/>
                <w:szCs w:val="21"/>
                <w:highlight w:val="none"/>
                <w:lang w:val="en-US" w:eastAsia="zh-CN"/>
              </w:rPr>
              <w:t>小写：</w:t>
            </w:r>
          </w:p>
          <w:p w14:paraId="3CF3B7F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szCs w:val="21"/>
                <w:highlight w:val="none"/>
                <w:lang w:val="en-US" w:eastAsia="zh-CN"/>
              </w:rPr>
            </w:pPr>
            <w:r>
              <w:rPr>
                <w:rFonts w:hint="eastAsia"/>
                <w:szCs w:val="21"/>
                <w:highlight w:val="none"/>
                <w:lang w:val="en-US" w:eastAsia="zh-CN"/>
              </w:rPr>
              <w:t>大写：</w:t>
            </w:r>
          </w:p>
        </w:tc>
        <w:tc>
          <w:tcPr>
            <w:tcW w:w="1176" w:type="dxa"/>
            <w:noWrap w:val="0"/>
            <w:vAlign w:val="center"/>
          </w:tcPr>
          <w:p w14:paraId="0676F42F">
            <w:pPr>
              <w:spacing w:line="440" w:lineRule="exact"/>
              <w:jc w:val="center"/>
              <w:rPr>
                <w:szCs w:val="21"/>
                <w:highlight w:val="none"/>
              </w:rPr>
            </w:pPr>
          </w:p>
        </w:tc>
      </w:tr>
    </w:tbl>
    <w:p w14:paraId="25B2ABD1">
      <w:pPr>
        <w:pStyle w:val="39"/>
        <w:spacing w:before="156"/>
        <w:ind w:left="0" w:leftChars="0" w:firstLine="0" w:firstLineChars="0"/>
        <w:rPr>
          <w:rFonts w:hint="eastAsia"/>
          <w:b/>
          <w:bCs/>
          <w:sz w:val="18"/>
          <w:szCs w:val="18"/>
          <w:highlight w:val="none"/>
          <w:shd w:val="clear" w:color="auto" w:fill="auto"/>
          <w:lang w:eastAsia="zh-CN"/>
        </w:rPr>
      </w:pPr>
    </w:p>
    <w:p w14:paraId="494E4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14:paraId="2969EC0C">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14:paraId="32656944">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2、表中须</w:t>
      </w:r>
      <w:r>
        <w:rPr>
          <w:rFonts w:hint="eastAsia" w:ascii="宋体" w:hAnsi="宋体" w:cs="宋体"/>
          <w:b/>
          <w:bCs/>
          <w:szCs w:val="21"/>
          <w:highlight w:val="none"/>
          <w:lang w:val="en-US" w:eastAsia="zh-CN"/>
        </w:rPr>
        <w:t>对应本项目采购需求</w:t>
      </w:r>
      <w:r>
        <w:rPr>
          <w:rFonts w:hint="eastAsia" w:ascii="宋体" w:hAnsi="宋体" w:eastAsia="宋体" w:cs="宋体"/>
          <w:szCs w:val="21"/>
          <w:highlight w:val="none"/>
          <w:lang w:val="en-US" w:eastAsia="zh-CN"/>
        </w:rPr>
        <w:t>明确列出所投产品的货物名称、品牌型号</w:t>
      </w:r>
      <w:r>
        <w:rPr>
          <w:rFonts w:hint="eastAsia" w:ascii="宋体" w:hAnsi="宋体" w:cs="宋体"/>
          <w:szCs w:val="21"/>
          <w:highlight w:val="none"/>
          <w:lang w:val="en-US" w:eastAsia="zh-CN"/>
        </w:rPr>
        <w:t>、规格参数</w:t>
      </w:r>
      <w:r>
        <w:rPr>
          <w:rFonts w:hint="eastAsia" w:ascii="宋体" w:hAnsi="宋体" w:eastAsia="宋体" w:cs="宋体"/>
          <w:szCs w:val="21"/>
          <w:highlight w:val="none"/>
          <w:lang w:val="en-US" w:eastAsia="zh-CN"/>
        </w:rPr>
        <w:t>，否则可能导致投标无效。</w:t>
      </w:r>
    </w:p>
    <w:p w14:paraId="36ADA0B8">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highlight w:val="none"/>
        </w:rPr>
      </w:pPr>
      <w:r>
        <w:rPr>
          <w:rFonts w:hint="eastAsia" w:ascii="宋体" w:hAnsi="宋体" w:cs="宋体"/>
          <w:bCs/>
          <w:szCs w:val="21"/>
          <w:highlight w:val="none"/>
          <w:lang w:val="en-US" w:eastAsia="zh-CN"/>
        </w:rPr>
        <w:t>3、</w:t>
      </w:r>
      <w:r>
        <w:rPr>
          <w:rFonts w:hint="eastAsia" w:ascii="宋体" w:hAnsi="宋体" w:cs="宋体"/>
          <w:bCs/>
          <w:szCs w:val="21"/>
          <w:highlight w:val="none"/>
        </w:rPr>
        <w:t>本《响应报价书》中如存在大写金额与小写金额不一致的，投标人须以大写金额为准进行修正；总价金额与依据单价计算出的结果不一致的，须以单价金额为准进行修正，除单价金额小数点有明显错误。</w:t>
      </w:r>
    </w:p>
    <w:p w14:paraId="7D4EE61A">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4、本《响应报价书》由供应商参照采购需求进行填写。</w:t>
      </w:r>
    </w:p>
    <w:p w14:paraId="2A1A38F9">
      <w:pPr>
        <w:adjustRightInd w:val="0"/>
        <w:snapToGrid w:val="0"/>
        <w:spacing w:line="400" w:lineRule="exact"/>
        <w:rPr>
          <w:rFonts w:hint="eastAsia" w:ascii="宋体" w:hAnsi="宋体" w:cs="宋体"/>
          <w:szCs w:val="21"/>
          <w:highlight w:val="none"/>
        </w:rPr>
      </w:pPr>
    </w:p>
    <w:p w14:paraId="000EBC9F">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14:paraId="370AEE91">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(签字或盖法人印章)</w:t>
      </w:r>
    </w:p>
    <w:p w14:paraId="5101D6AD">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0F1366AD">
      <w:pPr>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DFC90CB">
      <w:pPr>
        <w:pStyle w:val="4"/>
        <w:adjustRightInd w:val="0"/>
        <w:snapToGrid w:val="0"/>
        <w:spacing w:before="0" w:after="0" w:line="240" w:lineRule="exact"/>
        <w:rPr>
          <w:rFonts w:ascii="宋体" w:hAnsi="宋体"/>
          <w:sz w:val="24"/>
          <w:szCs w:val="28"/>
          <w:highlight w:val="none"/>
        </w:rPr>
      </w:pPr>
      <w:r>
        <w:rPr>
          <w:rFonts w:hint="eastAsia" w:ascii="宋体" w:hAnsi="宋体" w:cs="宋体"/>
          <w:sz w:val="21"/>
          <w:szCs w:val="21"/>
          <w:highlight w:val="none"/>
        </w:rPr>
        <w:t>附件七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abstractNum w:abstractNumId="2">
    <w:nsid w:val="6CF515C0"/>
    <w:multiLevelType w:val="singleLevel"/>
    <w:tmpl w:val="6CF515C0"/>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500C0"/>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8BB245F"/>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3A2331"/>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433CCB"/>
    <w:rsid w:val="13592465"/>
    <w:rsid w:val="13A961DB"/>
    <w:rsid w:val="14051CA6"/>
    <w:rsid w:val="1414601F"/>
    <w:rsid w:val="14255A7F"/>
    <w:rsid w:val="147737A7"/>
    <w:rsid w:val="14827BCA"/>
    <w:rsid w:val="14866E4C"/>
    <w:rsid w:val="15055C7F"/>
    <w:rsid w:val="15081ED3"/>
    <w:rsid w:val="151E2BAA"/>
    <w:rsid w:val="15773C44"/>
    <w:rsid w:val="159267B6"/>
    <w:rsid w:val="161D1882"/>
    <w:rsid w:val="161D2237"/>
    <w:rsid w:val="16C41FE1"/>
    <w:rsid w:val="16D939C6"/>
    <w:rsid w:val="16E90795"/>
    <w:rsid w:val="16EB5EE4"/>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807163"/>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285158"/>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4F5641"/>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8B67D2"/>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20238"/>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772A38"/>
    <w:rsid w:val="5A9B3313"/>
    <w:rsid w:val="5AB47BDF"/>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1F449A"/>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EFE1335"/>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4"/>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1"/>
    <w:autoRedefine/>
    <w:qFormat/>
    <w:uiPriority w:val="99"/>
    <w:pPr>
      <w:spacing w:after="120"/>
    </w:pPr>
    <w:rPr>
      <w:szCs w:val="24"/>
    </w:rPr>
  </w:style>
  <w:style w:type="paragraph" w:styleId="8">
    <w:name w:val="Body Text Indent"/>
    <w:basedOn w:val="1"/>
    <w:next w:val="9"/>
    <w:autoRedefine/>
    <w:unhideWhenUsed/>
    <w:qFormat/>
    <w:uiPriority w:val="0"/>
    <w:pPr>
      <w:ind w:left="420" w:leftChars="200"/>
    </w:pPr>
  </w:style>
  <w:style w:type="paragraph" w:styleId="9">
    <w:name w:val="envelope return"/>
    <w:basedOn w:val="1"/>
    <w:autoRedefine/>
    <w:unhideWhenUsed/>
    <w:qFormat/>
    <w:uiPriority w:val="99"/>
    <w:pPr>
      <w:snapToGrid w:val="0"/>
      <w:spacing w:line="360" w:lineRule="auto"/>
    </w:pPr>
    <w:rPr>
      <w:rFonts w:ascii="Arial" w:hAnsi="Arial" w:cs="Arial"/>
    </w:rPr>
  </w:style>
  <w:style w:type="paragraph" w:styleId="10">
    <w:name w:val="Block Text"/>
    <w:basedOn w:val="1"/>
    <w:autoRedefine/>
    <w:qFormat/>
    <w:uiPriority w:val="0"/>
    <w:pPr>
      <w:spacing w:line="300" w:lineRule="auto"/>
      <w:ind w:left="29" w:leftChars="12" w:right="6" w:firstLine="560" w:firstLineChars="200"/>
    </w:pPr>
    <w:rPr>
      <w:sz w:val="28"/>
    </w:rPr>
  </w:style>
  <w:style w:type="paragraph" w:styleId="11">
    <w:name w:val="Plain Text"/>
    <w:basedOn w:val="1"/>
    <w:autoRedefine/>
    <w:qFormat/>
    <w:uiPriority w:val="99"/>
    <w:rPr>
      <w:rFonts w:ascii="宋体" w:hAnsi="Courier New"/>
      <w:szCs w:val="22"/>
    </w:rPr>
  </w:style>
  <w:style w:type="paragraph" w:styleId="12">
    <w:name w:val="Date"/>
    <w:basedOn w:val="1"/>
    <w:next w:val="1"/>
    <w:autoRedefine/>
    <w:qFormat/>
    <w:uiPriority w:val="99"/>
    <w:rPr>
      <w:rFonts w:ascii="Arial" w:hAnsi="Arial" w:eastAsia="楷体_GB2312"/>
      <w:sz w:val="28"/>
    </w:rPr>
  </w:style>
  <w:style w:type="paragraph" w:styleId="13">
    <w:name w:val="Body Text Indent 2"/>
    <w:basedOn w:val="1"/>
    <w:autoRedefine/>
    <w:qFormat/>
    <w:uiPriority w:val="0"/>
    <w:pPr>
      <w:spacing w:line="590" w:lineRule="exact"/>
      <w:ind w:firstLine="880" w:firstLineChars="200"/>
    </w:pPr>
    <w:rPr>
      <w:rFonts w:eastAsia="方正仿宋_GBK"/>
    </w:rPr>
  </w:style>
  <w:style w:type="paragraph" w:styleId="14">
    <w:name w:val="Balloon Text"/>
    <w:basedOn w:val="1"/>
    <w:link w:val="63"/>
    <w:autoRedefine/>
    <w:qFormat/>
    <w:uiPriority w:val="0"/>
    <w:rPr>
      <w:sz w:val="18"/>
      <w:szCs w:val="18"/>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0"/>
  </w:style>
  <w:style w:type="paragraph" w:styleId="18">
    <w:name w:val="Body Text 2"/>
    <w:basedOn w:val="1"/>
    <w:autoRedefine/>
    <w:qFormat/>
    <w:uiPriority w:val="0"/>
    <w:pPr>
      <w:spacing w:line="280" w:lineRule="exact"/>
    </w:pPr>
    <w:rPr>
      <w:rFonts w:ascii="仿宋_GB2312" w:eastAsia="仿宋_GB2312"/>
      <w:b/>
      <w:sz w:val="24"/>
    </w:rPr>
  </w:style>
  <w:style w:type="paragraph" w:styleId="19">
    <w:name w:val="Normal (Web)"/>
    <w:basedOn w:val="1"/>
    <w:autoRedefine/>
    <w:qFormat/>
    <w:uiPriority w:val="0"/>
    <w:pPr>
      <w:spacing w:before="100" w:beforeAutospacing="1" w:after="100" w:afterAutospacing="1"/>
      <w:jc w:val="left"/>
    </w:pPr>
    <w:rPr>
      <w:kern w:val="0"/>
      <w:sz w:val="24"/>
    </w:rPr>
  </w:style>
  <w:style w:type="paragraph" w:styleId="20">
    <w:name w:val="Body Text First Indent"/>
    <w:basedOn w:val="7"/>
    <w:autoRedefine/>
    <w:qFormat/>
    <w:uiPriority w:val="0"/>
    <w:pPr>
      <w:spacing w:line="400" w:lineRule="atLeast"/>
      <w:ind w:firstLine="426"/>
    </w:pPr>
    <w:rPr>
      <w:sz w:val="24"/>
      <w:szCs w:val="20"/>
    </w:rPr>
  </w:style>
  <w:style w:type="paragraph" w:styleId="21">
    <w:name w:val="Body Text First Indent 2"/>
    <w:basedOn w:val="8"/>
    <w:next w:val="1"/>
    <w:autoRedefine/>
    <w:qFormat/>
    <w:uiPriority w:val="0"/>
    <w:pPr>
      <w:spacing w:line="360" w:lineRule="auto"/>
      <w:jc w:val="left"/>
    </w:pPr>
    <w:rPr>
      <w:rFonts w:cs="宋体"/>
      <w:sz w:val="28"/>
      <w:szCs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Emphasis"/>
    <w:basedOn w:val="24"/>
    <w:autoRedefine/>
    <w:qFormat/>
    <w:uiPriority w:val="0"/>
  </w:style>
  <w:style w:type="character" w:styleId="29">
    <w:name w:val="HTML Definition"/>
    <w:basedOn w:val="24"/>
    <w:autoRedefine/>
    <w:qFormat/>
    <w:uiPriority w:val="0"/>
  </w:style>
  <w:style w:type="character" w:styleId="30">
    <w:name w:val="HTML Typewriter"/>
    <w:basedOn w:val="24"/>
    <w:autoRedefine/>
    <w:qFormat/>
    <w:uiPriority w:val="0"/>
    <w:rPr>
      <w:rFonts w:ascii="monospace" w:hAnsi="monospace" w:eastAsia="monospace" w:cs="monospace"/>
      <w:sz w:val="20"/>
    </w:rPr>
  </w:style>
  <w:style w:type="character" w:styleId="31">
    <w:name w:val="HTML Acronym"/>
    <w:basedOn w:val="24"/>
    <w:autoRedefine/>
    <w:qFormat/>
    <w:uiPriority w:val="0"/>
  </w:style>
  <w:style w:type="character" w:styleId="32">
    <w:name w:val="HTML Variable"/>
    <w:basedOn w:val="24"/>
    <w:autoRedefine/>
    <w:qFormat/>
    <w:uiPriority w:val="0"/>
  </w:style>
  <w:style w:type="character" w:styleId="33">
    <w:name w:val="Hyperlink"/>
    <w:autoRedefine/>
    <w:qFormat/>
    <w:uiPriority w:val="0"/>
    <w:rPr>
      <w:color w:val="0000FF"/>
      <w:u w:val="single"/>
    </w:rPr>
  </w:style>
  <w:style w:type="character" w:styleId="34">
    <w:name w:val="HTML Code"/>
    <w:basedOn w:val="24"/>
    <w:autoRedefine/>
    <w:qFormat/>
    <w:uiPriority w:val="0"/>
    <w:rPr>
      <w:rFonts w:hint="default" w:ascii="monospace" w:hAnsi="monospace" w:eastAsia="monospace" w:cs="monospace"/>
      <w:sz w:val="20"/>
    </w:rPr>
  </w:style>
  <w:style w:type="character" w:styleId="35">
    <w:name w:val="HTML Cite"/>
    <w:basedOn w:val="24"/>
    <w:autoRedefine/>
    <w:qFormat/>
    <w:uiPriority w:val="0"/>
  </w:style>
  <w:style w:type="character" w:styleId="36">
    <w:name w:val="HTML Keyboard"/>
    <w:basedOn w:val="24"/>
    <w:autoRedefine/>
    <w:qFormat/>
    <w:uiPriority w:val="0"/>
    <w:rPr>
      <w:rFonts w:hint="default" w:ascii="monospace" w:hAnsi="monospace" w:eastAsia="monospace" w:cs="monospace"/>
      <w:sz w:val="20"/>
    </w:rPr>
  </w:style>
  <w:style w:type="character" w:styleId="37">
    <w:name w:val="HTML Sample"/>
    <w:basedOn w:val="24"/>
    <w:autoRedefine/>
    <w:qFormat/>
    <w:uiPriority w:val="0"/>
    <w:rPr>
      <w:rFonts w:hint="default" w:ascii="monospace" w:hAnsi="monospace" w:eastAsia="monospace" w:cs="monospace"/>
    </w:rPr>
  </w:style>
  <w:style w:type="paragraph" w:customStyle="1" w:styleId="38">
    <w:name w:val="Char Char Char Char"/>
    <w:basedOn w:val="1"/>
    <w:next w:val="1"/>
    <w:autoRedefine/>
    <w:qFormat/>
    <w:uiPriority w:val="0"/>
    <w:rPr>
      <w:rFonts w:ascii="Tahoma" w:hAnsi="Tahoma"/>
      <w:sz w:val="24"/>
    </w:rPr>
  </w:style>
  <w:style w:type="paragraph" w:customStyle="1" w:styleId="39">
    <w:name w:val="模板普通正文"/>
    <w:basedOn w:val="8"/>
    <w:autoRedefine/>
    <w:qFormat/>
    <w:uiPriority w:val="0"/>
    <w:pPr>
      <w:spacing w:beforeLines="50" w:after="10"/>
      <w:ind w:left="0" w:leftChars="0" w:firstLine="490" w:firstLineChars="175"/>
      <w:jc w:val="left"/>
    </w:pPr>
    <w:rPr>
      <w:sz w:val="20"/>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BodyText2"/>
    <w:basedOn w:val="1"/>
    <w:autoRedefine/>
    <w:qFormat/>
    <w:uiPriority w:val="0"/>
    <w:pPr>
      <w:textAlignment w:val="baseline"/>
    </w:pPr>
    <w:rPr>
      <w:rFonts w:ascii="仿宋_GB2312" w:eastAsia="仿宋_GB2312"/>
      <w:b/>
      <w:sz w:val="24"/>
    </w:rPr>
  </w:style>
  <w:style w:type="paragraph" w:customStyle="1" w:styleId="43">
    <w:name w:val="WPSOffice手动目录 1"/>
    <w:autoRedefine/>
    <w:qFormat/>
    <w:uiPriority w:val="0"/>
    <w:rPr>
      <w:rFonts w:ascii="Times New Roman" w:hAnsi="Times New Roman" w:eastAsia="宋体" w:cs="Times New Roman"/>
      <w:lang w:val="en-US" w:eastAsia="zh-CN" w:bidi="ar-SA"/>
    </w:rPr>
  </w:style>
  <w:style w:type="paragraph" w:customStyle="1" w:styleId="44">
    <w:name w:val="D&amp;L"/>
    <w:basedOn w:val="16"/>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autoRedefine/>
    <w:qFormat/>
    <w:uiPriority w:val="99"/>
    <w:rPr>
      <w:rFonts w:ascii="Tahoma" w:hAnsi="Tahoma"/>
      <w:sz w:val="24"/>
    </w:rPr>
  </w:style>
  <w:style w:type="paragraph" w:customStyle="1" w:styleId="47">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48">
    <w:name w:val="Char Char Char Char Char Char Char1 Char"/>
    <w:basedOn w:val="1"/>
    <w:autoRedefine/>
    <w:qFormat/>
    <w:uiPriority w:val="99"/>
    <w:rPr>
      <w:rFonts w:ascii="Tahoma" w:hAnsi="Tahoma"/>
      <w:sz w:val="24"/>
    </w:rPr>
  </w:style>
  <w:style w:type="character" w:customStyle="1" w:styleId="49">
    <w:name w:val="标题 3 Char"/>
    <w:basedOn w:val="24"/>
    <w:link w:val="4"/>
    <w:autoRedefine/>
    <w:qFormat/>
    <w:locked/>
    <w:uiPriority w:val="99"/>
    <w:rPr>
      <w:b/>
      <w:bCs/>
      <w:sz w:val="32"/>
      <w:szCs w:val="32"/>
    </w:rPr>
  </w:style>
  <w:style w:type="paragraph" w:customStyle="1" w:styleId="50">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autoRedefine/>
    <w:unhideWhenUsed/>
    <w:qFormat/>
    <w:uiPriority w:val="99"/>
    <w:pPr>
      <w:ind w:firstLine="420" w:firstLineChars="200"/>
    </w:pPr>
    <w:rPr>
      <w:rFonts w:ascii="Calibri" w:hAnsi="Calibri"/>
      <w:szCs w:val="22"/>
    </w:rPr>
  </w:style>
  <w:style w:type="paragraph" w:customStyle="1" w:styleId="52">
    <w:name w:val="Table Paragraph"/>
    <w:basedOn w:val="1"/>
    <w:autoRedefine/>
    <w:qFormat/>
    <w:uiPriority w:val="1"/>
  </w:style>
  <w:style w:type="paragraph" w:customStyle="1" w:styleId="53">
    <w:name w:val="_Style 1"/>
    <w:basedOn w:val="1"/>
    <w:autoRedefine/>
    <w:qFormat/>
    <w:uiPriority w:val="0"/>
    <w:pPr>
      <w:ind w:firstLine="420" w:firstLineChars="200"/>
    </w:pPr>
    <w:rPr>
      <w:rFonts w:ascii="Calibri" w:hAnsi="Calibri"/>
      <w:szCs w:val="22"/>
    </w:rPr>
  </w:style>
  <w:style w:type="paragraph" w:customStyle="1" w:styleId="54">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4"/>
    <w:autoRedefine/>
    <w:qFormat/>
    <w:uiPriority w:val="0"/>
    <w:rPr>
      <w:rFonts w:hint="default" w:ascii="Arial" w:hAnsi="Arial" w:cs="Arial"/>
      <w:color w:val="000000"/>
      <w:sz w:val="20"/>
      <w:szCs w:val="20"/>
      <w:u w:val="none"/>
    </w:rPr>
  </w:style>
  <w:style w:type="character" w:customStyle="1" w:styleId="58">
    <w:name w:val="font11"/>
    <w:basedOn w:val="24"/>
    <w:autoRedefine/>
    <w:qFormat/>
    <w:uiPriority w:val="0"/>
    <w:rPr>
      <w:rFonts w:hint="eastAsia" w:ascii="宋体" w:hAnsi="宋体" w:eastAsia="宋体" w:cs="宋体"/>
      <w:color w:val="000000"/>
      <w:sz w:val="20"/>
      <w:szCs w:val="20"/>
      <w:u w:val="none"/>
    </w:rPr>
  </w:style>
  <w:style w:type="character" w:customStyle="1" w:styleId="59">
    <w:name w:val="font71"/>
    <w:basedOn w:val="24"/>
    <w:autoRedefine/>
    <w:qFormat/>
    <w:uiPriority w:val="0"/>
    <w:rPr>
      <w:rFonts w:hint="eastAsia" w:ascii="宋体" w:hAnsi="宋体" w:eastAsia="宋体" w:cs="宋体"/>
      <w:color w:val="000000"/>
      <w:sz w:val="22"/>
      <w:szCs w:val="22"/>
      <w:u w:val="none"/>
    </w:rPr>
  </w:style>
  <w:style w:type="character" w:customStyle="1" w:styleId="60">
    <w:name w:val="font31"/>
    <w:basedOn w:val="24"/>
    <w:autoRedefine/>
    <w:qFormat/>
    <w:uiPriority w:val="0"/>
    <w:rPr>
      <w:rFonts w:hint="eastAsia" w:ascii="宋体" w:hAnsi="宋体" w:eastAsia="宋体" w:cs="宋体"/>
      <w:color w:val="000000"/>
      <w:sz w:val="22"/>
      <w:szCs w:val="22"/>
      <w:u w:val="none"/>
    </w:rPr>
  </w:style>
  <w:style w:type="character" w:customStyle="1" w:styleId="61">
    <w:name w:val="font01"/>
    <w:basedOn w:val="24"/>
    <w:autoRedefine/>
    <w:qFormat/>
    <w:uiPriority w:val="0"/>
    <w:rPr>
      <w:rFonts w:ascii="Helvetica" w:hAnsi="Helvetica" w:eastAsia="Helvetica" w:cs="Helvetica"/>
      <w:color w:val="000000"/>
      <w:sz w:val="22"/>
      <w:szCs w:val="22"/>
      <w:u w:val="none"/>
    </w:rPr>
  </w:style>
  <w:style w:type="paragraph" w:customStyle="1" w:styleId="62">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4"/>
    <w:link w:val="14"/>
    <w:autoRedefine/>
    <w:qFormat/>
    <w:uiPriority w:val="0"/>
    <w:rPr>
      <w:kern w:val="2"/>
      <w:sz w:val="18"/>
      <w:szCs w:val="18"/>
    </w:rPr>
  </w:style>
  <w:style w:type="character" w:customStyle="1" w:styleId="64">
    <w:name w:val="标题 4 Char"/>
    <w:basedOn w:val="24"/>
    <w:link w:val="5"/>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14287</Words>
  <Characters>16657</Characters>
  <Lines>118</Lines>
  <Paragraphs>33</Paragraphs>
  <TotalTime>37</TotalTime>
  <ScaleCrop>false</ScaleCrop>
  <LinksUpToDate>false</LinksUpToDate>
  <CharactersWithSpaces>16958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2025-09-10T08:47:25Z</cp:lastPrinted>
  <dcterms:modified xsi:type="dcterms:W3CDTF">2025-09-10T09:52:15Z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563AA8227FAB4F65AA1C618C0590BE87_13</vt:lpwstr>
  </property>
  <property fmtid="{D5CDD505-2E9C-101B-9397-08002B2CF9AE}" pid="4" name="KSOTemplateDocerSaveRecord">
    <vt:lpwstr>eyJoZGlkIjoiMDY3ZWYyYWYzNjE1ODE5NTgxNWViODAxMDFkNTNkYmIiLCJ1c2VySWQiOiIxNjczNTA4MTc2In0=</vt:lpwstr>
  </property>
</Properties>
</file>