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BFB702">
      <w:pPr>
        <w:spacing w:line="360" w:lineRule="auto"/>
        <w:jc w:val="center"/>
        <w:rPr>
          <w:rFonts w:hint="eastAsia" w:ascii="宋体" w:hAnsi="宋体"/>
          <w:b/>
          <w:color w:val="auto"/>
          <w:sz w:val="40"/>
          <w:szCs w:val="40"/>
          <w:highlight w:val="none"/>
          <w:lang w:eastAsia="zh-CN"/>
        </w:rPr>
      </w:pPr>
    </w:p>
    <w:p w14:paraId="284FFEA1">
      <w:pPr>
        <w:adjustRightInd w:val="0"/>
        <w:snapToGrid w:val="0"/>
        <w:spacing w:line="800" w:lineRule="exact"/>
        <w:jc w:val="center"/>
        <w:outlineLvl w:val="9"/>
        <w:rPr>
          <w:rFonts w:hint="eastAsia" w:ascii="宋体" w:hAnsi="宋体" w:eastAsia="宋体" w:cs="宋体"/>
          <w:b/>
          <w:bCs/>
          <w:color w:val="auto"/>
          <w:sz w:val="48"/>
          <w:szCs w:val="48"/>
          <w:highlight w:val="none"/>
        </w:rPr>
      </w:pPr>
      <w:r>
        <w:rPr>
          <w:rFonts w:hint="eastAsia" w:ascii="宋体" w:hAnsi="宋体" w:eastAsia="宋体" w:cs="宋体"/>
          <w:b/>
          <w:bCs/>
          <w:color w:val="auto"/>
          <w:sz w:val="48"/>
          <w:szCs w:val="48"/>
          <w:highlight w:val="none"/>
          <w:lang w:val="en-US" w:eastAsia="zh-CN"/>
        </w:rPr>
        <w:t>谈判</w:t>
      </w:r>
      <w:r>
        <w:rPr>
          <w:rFonts w:hint="eastAsia" w:ascii="宋体" w:hAnsi="宋体" w:eastAsia="宋体" w:cs="宋体"/>
          <w:b/>
          <w:bCs/>
          <w:color w:val="auto"/>
          <w:sz w:val="48"/>
          <w:szCs w:val="48"/>
          <w:highlight w:val="none"/>
        </w:rPr>
        <w:t>文件</w:t>
      </w:r>
    </w:p>
    <w:p w14:paraId="553D172B">
      <w:pPr>
        <w:pStyle w:val="35"/>
        <w:ind w:left="0" w:leftChars="0" w:firstLine="0" w:firstLineChars="0"/>
        <w:jc w:val="center"/>
        <w:rPr>
          <w:rFonts w:hint="default" w:ascii="宋体" w:hAnsi="宋体" w:eastAsia="宋体" w:cs="宋体"/>
          <w:b/>
          <w:bCs/>
          <w:color w:val="auto"/>
          <w:kern w:val="2"/>
          <w:sz w:val="44"/>
          <w:szCs w:val="44"/>
          <w:highlight w:val="none"/>
          <w:lang w:val="en-US" w:eastAsia="zh-CN" w:bidi="ar-SA"/>
        </w:rPr>
      </w:pPr>
      <w:r>
        <w:rPr>
          <w:rFonts w:hint="eastAsia" w:ascii="宋体" w:hAnsi="宋体" w:cs="宋体"/>
          <w:b/>
          <w:bCs/>
          <w:color w:val="auto"/>
          <w:kern w:val="2"/>
          <w:sz w:val="44"/>
          <w:szCs w:val="44"/>
          <w:highlight w:val="none"/>
          <w:lang w:val="en-US" w:eastAsia="zh-CN" w:bidi="ar-SA"/>
        </w:rPr>
        <w:t>（服务</w:t>
      </w:r>
      <w:r>
        <w:rPr>
          <w:rFonts w:hint="eastAsia" w:ascii="宋体" w:hAnsi="宋体" w:eastAsia="宋体" w:cs="宋体"/>
          <w:b/>
          <w:bCs/>
          <w:color w:val="auto"/>
          <w:kern w:val="2"/>
          <w:sz w:val="44"/>
          <w:szCs w:val="44"/>
          <w:highlight w:val="none"/>
          <w:lang w:val="en-US" w:eastAsia="zh-CN" w:bidi="ar-SA"/>
        </w:rPr>
        <w:t>类)</w:t>
      </w:r>
    </w:p>
    <w:p w14:paraId="72F26F8D">
      <w:pPr>
        <w:pStyle w:val="10"/>
        <w:rPr>
          <w:rFonts w:hint="eastAsia" w:eastAsia="宋体"/>
          <w:color w:val="auto"/>
          <w:highlight w:val="none"/>
          <w:lang w:eastAsia="zh-CN"/>
        </w:rPr>
      </w:pPr>
    </w:p>
    <w:p w14:paraId="5395B038">
      <w:pPr>
        <w:pStyle w:val="11"/>
        <w:rPr>
          <w:rFonts w:hint="eastAsia"/>
          <w:color w:val="auto"/>
          <w:highlight w:val="none"/>
        </w:rPr>
      </w:pPr>
    </w:p>
    <w:p w14:paraId="47C0A50C">
      <w:pPr>
        <w:pStyle w:val="11"/>
        <w:rPr>
          <w:rFonts w:hint="eastAsia"/>
          <w:color w:val="auto"/>
          <w:highlight w:val="none"/>
        </w:rPr>
      </w:pPr>
    </w:p>
    <w:p w14:paraId="650E258C">
      <w:pPr>
        <w:pStyle w:val="11"/>
        <w:rPr>
          <w:rFonts w:hint="eastAsia"/>
          <w:color w:val="auto"/>
          <w:highlight w:val="none"/>
        </w:rPr>
      </w:pPr>
    </w:p>
    <w:p w14:paraId="18E52B50">
      <w:pPr>
        <w:pStyle w:val="11"/>
        <w:rPr>
          <w:rFonts w:hint="eastAsia"/>
          <w:color w:val="auto"/>
          <w:highlight w:val="none"/>
        </w:rPr>
      </w:pPr>
    </w:p>
    <w:p w14:paraId="7C763F68">
      <w:pPr>
        <w:bidi w:val="0"/>
        <w:jc w:val="center"/>
        <w:rPr>
          <w:rFonts w:hint="eastAsia"/>
          <w:color w:val="auto"/>
          <w:highlight w:val="none"/>
        </w:rPr>
      </w:pPr>
      <w:r>
        <w:rPr>
          <w:rFonts w:hint="eastAsia"/>
          <w:color w:val="auto"/>
          <w:highlight w:val="none"/>
        </w:rPr>
        <w:drawing>
          <wp:inline distT="0" distB="0" distL="114300" distR="114300">
            <wp:extent cx="1961515" cy="1332230"/>
            <wp:effectExtent l="0" t="0" r="635" b="1270"/>
            <wp:docPr id="4"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logo"/>
                    <pic:cNvPicPr>
                      <a:picLocks noChangeAspect="1"/>
                    </pic:cNvPicPr>
                  </pic:nvPicPr>
                  <pic:blipFill>
                    <a:blip r:embed="rId10"/>
                    <a:stretch>
                      <a:fillRect/>
                    </a:stretch>
                  </pic:blipFill>
                  <pic:spPr>
                    <a:xfrm>
                      <a:off x="0" y="0"/>
                      <a:ext cx="1961515" cy="1332230"/>
                    </a:xfrm>
                    <a:prstGeom prst="rect">
                      <a:avLst/>
                    </a:prstGeom>
                    <a:noFill/>
                    <a:ln>
                      <a:noFill/>
                    </a:ln>
                  </pic:spPr>
                </pic:pic>
              </a:graphicData>
            </a:graphic>
          </wp:inline>
        </w:drawing>
      </w:r>
    </w:p>
    <w:p w14:paraId="730062CB">
      <w:pPr>
        <w:adjustRightInd w:val="0"/>
        <w:snapToGrid w:val="0"/>
        <w:spacing w:line="240" w:lineRule="auto"/>
        <w:jc w:val="center"/>
        <w:outlineLvl w:val="9"/>
        <w:rPr>
          <w:rFonts w:hint="eastAsia" w:ascii="宋体" w:hAnsi="宋体" w:eastAsia="宋体" w:cs="宋体"/>
          <w:b/>
          <w:bCs/>
          <w:color w:val="auto"/>
          <w:sz w:val="48"/>
          <w:szCs w:val="48"/>
          <w:highlight w:val="none"/>
        </w:rPr>
      </w:pPr>
      <w:r>
        <w:rPr>
          <w:rFonts w:hint="eastAsia" w:ascii="宋体" w:hAnsi="等线" w:eastAsia="宋体" w:cs="Times New Roman"/>
          <w:b/>
          <w:bCs/>
          <w:color w:val="auto"/>
          <w:spacing w:val="20"/>
          <w:kern w:val="0"/>
          <w:sz w:val="32"/>
          <w:szCs w:val="32"/>
          <w:highlight w:val="none"/>
        </w:rPr>
        <w:fldChar w:fldCharType="begin"/>
      </w:r>
      <w:r>
        <w:rPr>
          <w:rFonts w:hint="eastAsia" w:ascii="宋体" w:hAnsi="等线" w:eastAsia="宋体" w:cs="Times New Roman"/>
          <w:b/>
          <w:bCs/>
          <w:color w:val="auto"/>
          <w:spacing w:val="20"/>
          <w:kern w:val="0"/>
          <w:sz w:val="32"/>
          <w:szCs w:val="32"/>
          <w:highlight w:val="none"/>
        </w:rPr>
        <w:instrText xml:space="preserve"> HYPERLINK "http://www.ahdmig.cn/?tdsourcetag=s_pcqq_aiomsg" </w:instrText>
      </w:r>
      <w:r>
        <w:rPr>
          <w:rFonts w:hint="eastAsia" w:ascii="宋体" w:hAnsi="等线" w:eastAsia="宋体" w:cs="Times New Roman"/>
          <w:b/>
          <w:bCs/>
          <w:color w:val="auto"/>
          <w:spacing w:val="20"/>
          <w:kern w:val="0"/>
          <w:sz w:val="32"/>
          <w:szCs w:val="32"/>
          <w:highlight w:val="none"/>
        </w:rPr>
        <w:fldChar w:fldCharType="separate"/>
      </w:r>
      <w:r>
        <w:rPr>
          <w:rFonts w:hint="eastAsia" w:ascii="宋体" w:hAnsi="等线" w:eastAsia="宋体" w:cs="Times New Roman"/>
          <w:b/>
          <w:bCs/>
          <w:color w:val="auto"/>
          <w:spacing w:val="20"/>
          <w:kern w:val="0"/>
          <w:sz w:val="32"/>
          <w:szCs w:val="32"/>
          <w:highlight w:val="none"/>
        </w:rPr>
        <w:t>http</w:t>
      </w:r>
      <w:r>
        <w:rPr>
          <w:rFonts w:hint="eastAsia" w:ascii="宋体" w:hAnsi="等线" w:cs="Times New Roman"/>
          <w:b/>
          <w:bCs/>
          <w:color w:val="auto"/>
          <w:spacing w:val="20"/>
          <w:kern w:val="0"/>
          <w:sz w:val="32"/>
          <w:szCs w:val="32"/>
          <w:highlight w:val="none"/>
          <w:lang w:eastAsia="zh-CN"/>
        </w:rPr>
        <w:t>：</w:t>
      </w:r>
      <w:r>
        <w:rPr>
          <w:rFonts w:hint="eastAsia" w:ascii="宋体" w:hAnsi="等线" w:eastAsia="宋体" w:cs="Times New Roman"/>
          <w:b/>
          <w:bCs/>
          <w:color w:val="auto"/>
          <w:spacing w:val="20"/>
          <w:kern w:val="0"/>
          <w:sz w:val="32"/>
          <w:szCs w:val="32"/>
          <w:highlight w:val="none"/>
        </w:rPr>
        <w:t>//www.ahdmig.cn</w:t>
      </w:r>
      <w:r>
        <w:rPr>
          <w:rFonts w:hint="eastAsia" w:ascii="宋体" w:hAnsi="等线" w:eastAsia="宋体" w:cs="Times New Roman"/>
          <w:b/>
          <w:bCs/>
          <w:color w:val="auto"/>
          <w:spacing w:val="20"/>
          <w:kern w:val="0"/>
          <w:sz w:val="32"/>
          <w:szCs w:val="32"/>
          <w:highlight w:val="none"/>
        </w:rPr>
        <w:fldChar w:fldCharType="end"/>
      </w:r>
    </w:p>
    <w:p w14:paraId="633A754F">
      <w:pPr>
        <w:spacing w:line="600" w:lineRule="exact"/>
        <w:jc w:val="both"/>
        <w:rPr>
          <w:rFonts w:hint="eastAsia" w:ascii="宋体" w:hAnsi="宋体" w:eastAsia="宋体" w:cs="宋体"/>
          <w:b/>
          <w:bCs/>
          <w:color w:val="auto"/>
          <w:kern w:val="10"/>
          <w:position w:val="-12"/>
          <w:sz w:val="44"/>
          <w:szCs w:val="44"/>
          <w:highlight w:val="none"/>
        </w:rPr>
      </w:pPr>
    </w:p>
    <w:p w14:paraId="5953F54C">
      <w:pPr>
        <w:rPr>
          <w:rFonts w:hint="eastAsia" w:ascii="宋体" w:hAnsi="宋体" w:eastAsia="宋体" w:cs="宋体"/>
          <w:b/>
          <w:color w:val="auto"/>
          <w:sz w:val="30"/>
          <w:szCs w:val="30"/>
          <w:highlight w:val="none"/>
        </w:rPr>
      </w:pPr>
    </w:p>
    <w:p w14:paraId="5FD64288">
      <w:pPr>
        <w:pStyle w:val="36"/>
        <w:ind w:left="0" w:leftChars="0" w:firstLine="0" w:firstLineChars="0"/>
        <w:rPr>
          <w:rFonts w:hint="eastAsia"/>
          <w:color w:val="auto"/>
          <w:highlight w:val="none"/>
        </w:rPr>
      </w:pPr>
    </w:p>
    <w:p w14:paraId="03EDE4D2">
      <w:pPr>
        <w:pStyle w:val="11"/>
        <w:rPr>
          <w:rFonts w:hint="eastAsia"/>
          <w:color w:val="auto"/>
          <w:highlight w:val="none"/>
        </w:rPr>
      </w:pPr>
    </w:p>
    <w:p w14:paraId="34D1F4F2">
      <w:pPr>
        <w:pStyle w:val="11"/>
        <w:rPr>
          <w:rFonts w:hint="eastAsia"/>
          <w:color w:val="auto"/>
          <w:highlight w:val="none"/>
        </w:rPr>
      </w:pPr>
    </w:p>
    <w:p w14:paraId="133A280A">
      <w:pPr>
        <w:pStyle w:val="11"/>
        <w:rPr>
          <w:rFonts w:hint="eastAsia"/>
          <w:color w:val="auto"/>
          <w:highlight w:val="none"/>
        </w:rPr>
      </w:pPr>
    </w:p>
    <w:p w14:paraId="76C76294">
      <w:pPr>
        <w:pStyle w:val="11"/>
        <w:rPr>
          <w:rFonts w:hint="eastAsia"/>
          <w:color w:val="auto"/>
          <w:highlight w:val="none"/>
        </w:rPr>
      </w:pPr>
    </w:p>
    <w:p w14:paraId="500425F8">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left="2883" w:leftChars="608" w:hanging="1606" w:hangingChars="500"/>
        <w:jc w:val="left"/>
        <w:textAlignment w:val="auto"/>
        <w:outlineLvl w:val="9"/>
        <w:rPr>
          <w:rFonts w:hint="default" w:ascii="宋体" w:hAnsi="宋体" w:eastAsia="宋体" w:cs="宋体"/>
          <w:b/>
          <w:color w:val="auto"/>
          <w:spacing w:val="0"/>
          <w:kern w:val="0"/>
          <w:sz w:val="32"/>
          <w:szCs w:val="32"/>
          <w:highlight w:val="none"/>
          <w:lang w:val="en-US" w:eastAsia="zh-CN"/>
        </w:rPr>
      </w:pPr>
      <w:r>
        <w:rPr>
          <w:rFonts w:hint="eastAsia" w:ascii="宋体" w:hAnsi="宋体" w:eastAsia="宋体" w:cs="宋体"/>
          <w:b/>
          <w:color w:val="auto"/>
          <w:spacing w:val="0"/>
          <w:kern w:val="0"/>
          <w:sz w:val="32"/>
          <w:szCs w:val="32"/>
          <w:highlight w:val="none"/>
        </w:rPr>
        <w:t>项目名称：霍山东大街特色街区</w:t>
      </w:r>
      <w:r>
        <w:rPr>
          <w:rFonts w:hint="eastAsia" w:ascii="宋体" w:hAnsi="宋体" w:cs="宋体"/>
          <w:b/>
          <w:color w:val="auto"/>
          <w:spacing w:val="0"/>
          <w:kern w:val="0"/>
          <w:sz w:val="32"/>
          <w:szCs w:val="32"/>
          <w:highlight w:val="none"/>
          <w:lang w:eastAsia="zh-CN"/>
        </w:rPr>
        <w:t>、大别山两山学院</w:t>
      </w:r>
      <w:r>
        <w:rPr>
          <w:rFonts w:hint="eastAsia" w:ascii="宋体" w:hAnsi="宋体" w:cs="宋体"/>
          <w:b/>
          <w:color w:val="auto"/>
          <w:spacing w:val="0"/>
          <w:kern w:val="0"/>
          <w:sz w:val="32"/>
          <w:szCs w:val="32"/>
          <w:highlight w:val="none"/>
          <w:lang w:val="en-US" w:eastAsia="zh-CN"/>
        </w:rPr>
        <w:t>消防维保服务项目</w:t>
      </w:r>
    </w:p>
    <w:p w14:paraId="1E5808EF">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firstLine="1285" w:firstLineChars="400"/>
        <w:jc w:val="left"/>
        <w:textAlignment w:val="auto"/>
        <w:rPr>
          <w:rFonts w:hint="default" w:ascii="宋体" w:hAnsi="宋体" w:cs="宋体"/>
          <w:b/>
          <w:bCs/>
          <w:i w:val="0"/>
          <w:caps w:val="0"/>
          <w:color w:val="auto"/>
          <w:spacing w:val="0"/>
          <w:kern w:val="26"/>
          <w:sz w:val="31"/>
          <w:szCs w:val="31"/>
          <w:highlight w:val="none"/>
          <w:lang w:val="en-US" w:eastAsia="zh-CN"/>
        </w:rPr>
      </w:pPr>
      <w:r>
        <w:rPr>
          <w:rFonts w:hint="eastAsia" w:ascii="宋体" w:hAnsi="宋体" w:eastAsia="宋体" w:cs="宋体"/>
          <w:b/>
          <w:color w:val="auto"/>
          <w:spacing w:val="0"/>
          <w:kern w:val="0"/>
          <w:sz w:val="32"/>
          <w:szCs w:val="32"/>
          <w:highlight w:val="none"/>
        </w:rPr>
        <w:t>项目编号：</w:t>
      </w:r>
      <w:r>
        <w:rPr>
          <w:rFonts w:hint="eastAsia" w:ascii="宋体" w:hAnsi="宋体" w:cs="宋体"/>
          <w:b/>
          <w:bCs/>
          <w:i w:val="0"/>
          <w:caps w:val="0"/>
          <w:color w:val="auto"/>
          <w:spacing w:val="0"/>
          <w:kern w:val="26"/>
          <w:sz w:val="31"/>
          <w:szCs w:val="31"/>
          <w:highlight w:val="none"/>
          <w:lang w:eastAsia="zh-CN"/>
        </w:rPr>
        <w:t>DBSCG-2025-141</w:t>
      </w:r>
    </w:p>
    <w:p w14:paraId="47BC9A18">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firstLine="1285" w:firstLineChars="400"/>
        <w:jc w:val="left"/>
        <w:textAlignment w:val="auto"/>
        <w:outlineLvl w:val="9"/>
        <w:rPr>
          <w:rFonts w:hint="default" w:ascii="宋体" w:hAnsi="宋体" w:eastAsia="宋体" w:cs="宋体"/>
          <w:b/>
          <w:color w:val="auto"/>
          <w:spacing w:val="0"/>
          <w:kern w:val="0"/>
          <w:sz w:val="32"/>
          <w:szCs w:val="32"/>
          <w:highlight w:val="none"/>
          <w:lang w:val="en-US"/>
        </w:rPr>
      </w:pPr>
      <w:r>
        <w:rPr>
          <w:rFonts w:hint="eastAsia" w:ascii="宋体" w:hAnsi="宋体" w:eastAsia="宋体" w:cs="宋体"/>
          <w:b/>
          <w:color w:val="auto"/>
          <w:spacing w:val="0"/>
          <w:kern w:val="0"/>
          <w:sz w:val="32"/>
          <w:szCs w:val="32"/>
          <w:highlight w:val="none"/>
        </w:rPr>
        <w:t>采</w:t>
      </w:r>
      <w:r>
        <w:rPr>
          <w:rFonts w:hint="eastAsia" w:ascii="宋体" w:hAnsi="宋体" w:eastAsia="宋体" w:cs="宋体"/>
          <w:b/>
          <w:color w:val="auto"/>
          <w:spacing w:val="0"/>
          <w:kern w:val="0"/>
          <w:sz w:val="32"/>
          <w:szCs w:val="32"/>
          <w:highlight w:val="none"/>
          <w:lang w:val="en-US" w:eastAsia="zh-CN"/>
        </w:rPr>
        <w:t xml:space="preserve"> </w:t>
      </w:r>
      <w:r>
        <w:rPr>
          <w:rFonts w:hint="eastAsia" w:ascii="宋体" w:hAnsi="宋体" w:eastAsia="宋体" w:cs="宋体"/>
          <w:b/>
          <w:color w:val="auto"/>
          <w:spacing w:val="0"/>
          <w:kern w:val="0"/>
          <w:sz w:val="32"/>
          <w:szCs w:val="32"/>
          <w:highlight w:val="none"/>
        </w:rPr>
        <w:t>购</w:t>
      </w:r>
      <w:r>
        <w:rPr>
          <w:rFonts w:hint="eastAsia" w:ascii="宋体" w:hAnsi="宋体" w:eastAsia="宋体" w:cs="宋体"/>
          <w:b/>
          <w:color w:val="auto"/>
          <w:spacing w:val="0"/>
          <w:kern w:val="0"/>
          <w:sz w:val="32"/>
          <w:szCs w:val="32"/>
          <w:highlight w:val="none"/>
          <w:lang w:val="en-US" w:eastAsia="zh-CN"/>
        </w:rPr>
        <w:t xml:space="preserve"> </w:t>
      </w:r>
      <w:r>
        <w:rPr>
          <w:rFonts w:hint="eastAsia" w:ascii="宋体" w:hAnsi="宋体" w:eastAsia="宋体" w:cs="宋体"/>
          <w:b/>
          <w:color w:val="auto"/>
          <w:spacing w:val="0"/>
          <w:kern w:val="0"/>
          <w:sz w:val="32"/>
          <w:szCs w:val="32"/>
          <w:highlight w:val="none"/>
        </w:rPr>
        <w:t>人：</w:t>
      </w:r>
      <w:r>
        <w:rPr>
          <w:rFonts w:hint="eastAsia" w:ascii="宋体" w:hAnsi="宋体" w:cs="宋体"/>
          <w:b/>
          <w:color w:val="auto"/>
          <w:spacing w:val="0"/>
          <w:kern w:val="0"/>
          <w:sz w:val="32"/>
          <w:szCs w:val="32"/>
          <w:highlight w:val="none"/>
          <w:u w:val="none"/>
          <w:lang w:val="en-US" w:eastAsia="zh-CN"/>
        </w:rPr>
        <w:t>安徽中京物业服务有限公司</w:t>
      </w:r>
    </w:p>
    <w:p w14:paraId="7664FD9C">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firstLine="1285" w:firstLineChars="400"/>
        <w:jc w:val="left"/>
        <w:textAlignment w:val="auto"/>
        <w:rPr>
          <w:rFonts w:hint="eastAsia" w:ascii="宋体" w:hAnsi="宋体" w:eastAsia="宋体" w:cs="宋体"/>
          <w:b/>
          <w:color w:val="auto"/>
          <w:spacing w:val="0"/>
          <w:kern w:val="0"/>
          <w:sz w:val="32"/>
          <w:szCs w:val="32"/>
          <w:highlight w:val="none"/>
          <w:lang w:eastAsia="zh-CN"/>
        </w:rPr>
      </w:pPr>
      <w:r>
        <w:rPr>
          <w:rFonts w:hint="eastAsia" w:ascii="宋体" w:hAnsi="宋体" w:eastAsia="宋体" w:cs="宋体"/>
          <w:b/>
          <w:color w:val="auto"/>
          <w:spacing w:val="0"/>
          <w:kern w:val="0"/>
          <w:sz w:val="32"/>
          <w:szCs w:val="32"/>
          <w:highlight w:val="none"/>
          <w:lang w:eastAsia="zh-CN"/>
        </w:rPr>
        <w:t>代理</w:t>
      </w:r>
      <w:r>
        <w:rPr>
          <w:rFonts w:hint="eastAsia" w:ascii="宋体" w:hAnsi="宋体" w:eastAsia="宋体" w:cs="宋体"/>
          <w:b/>
          <w:color w:val="auto"/>
          <w:spacing w:val="0"/>
          <w:kern w:val="0"/>
          <w:sz w:val="32"/>
          <w:szCs w:val="32"/>
          <w:highlight w:val="none"/>
        </w:rPr>
        <w:t>机构：</w:t>
      </w:r>
      <w:r>
        <w:rPr>
          <w:rFonts w:hint="eastAsia" w:ascii="宋体" w:hAnsi="宋体" w:eastAsia="宋体" w:cs="宋体"/>
          <w:b/>
          <w:color w:val="auto"/>
          <w:spacing w:val="0"/>
          <w:kern w:val="0"/>
          <w:sz w:val="32"/>
          <w:szCs w:val="32"/>
          <w:highlight w:val="none"/>
          <w:lang w:eastAsia="zh-CN"/>
        </w:rPr>
        <w:t>安徽大别山工程咨询有限公司</w:t>
      </w:r>
    </w:p>
    <w:p w14:paraId="5245B0FD">
      <w:pPr>
        <w:keepNext w:val="0"/>
        <w:keepLines w:val="0"/>
        <w:pageBreakBefore w:val="0"/>
        <w:widowControl w:val="0"/>
        <w:tabs>
          <w:tab w:val="left" w:pos="2410"/>
        </w:tabs>
        <w:kinsoku/>
        <w:wordWrap/>
        <w:overflowPunct/>
        <w:topLinePunct w:val="0"/>
        <w:autoSpaceDE w:val="0"/>
        <w:autoSpaceDN w:val="0"/>
        <w:bidi w:val="0"/>
        <w:adjustRightInd w:val="0"/>
        <w:snapToGrid w:val="0"/>
        <w:spacing w:line="360" w:lineRule="auto"/>
        <w:ind w:firstLine="1285" w:firstLineChars="400"/>
        <w:jc w:val="left"/>
        <w:textAlignment w:val="auto"/>
        <w:rPr>
          <w:rFonts w:hint="eastAsia" w:ascii="仿宋" w:hAnsi="仿宋" w:eastAsia="仿宋" w:cs="仿宋"/>
          <w:color w:val="auto"/>
          <w:sz w:val="32"/>
          <w:szCs w:val="32"/>
          <w:highlight w:val="none"/>
        </w:rPr>
      </w:pPr>
      <w:r>
        <w:rPr>
          <w:rFonts w:hint="eastAsia" w:ascii="宋体" w:hAnsi="宋体" w:eastAsia="宋体" w:cs="宋体"/>
          <w:b/>
          <w:color w:val="auto"/>
          <w:spacing w:val="0"/>
          <w:kern w:val="0"/>
          <w:sz w:val="32"/>
          <w:szCs w:val="32"/>
          <w:highlight w:val="none"/>
          <w:lang w:eastAsia="zh-CN"/>
        </w:rPr>
        <w:t>采购时间：</w:t>
      </w:r>
      <w:r>
        <w:rPr>
          <w:rFonts w:hint="eastAsia" w:ascii="宋体" w:hAnsi="宋体" w:eastAsia="宋体" w:cs="宋体"/>
          <w:b/>
          <w:color w:val="auto"/>
          <w:spacing w:val="0"/>
          <w:kern w:val="0"/>
          <w:sz w:val="32"/>
          <w:szCs w:val="32"/>
          <w:highlight w:val="none"/>
          <w:lang w:val="en-US" w:eastAsia="zh-CN"/>
        </w:rPr>
        <w:t>202</w:t>
      </w:r>
      <w:r>
        <w:rPr>
          <w:rFonts w:hint="eastAsia" w:ascii="宋体" w:hAnsi="宋体" w:cs="宋体"/>
          <w:b/>
          <w:color w:val="auto"/>
          <w:spacing w:val="0"/>
          <w:kern w:val="0"/>
          <w:sz w:val="32"/>
          <w:szCs w:val="32"/>
          <w:highlight w:val="none"/>
          <w:lang w:val="en-US" w:eastAsia="zh-CN"/>
        </w:rPr>
        <w:t>5</w:t>
      </w:r>
      <w:r>
        <w:rPr>
          <w:rFonts w:hint="eastAsia" w:ascii="宋体" w:hAnsi="宋体" w:eastAsia="宋体" w:cs="宋体"/>
          <w:b/>
          <w:color w:val="auto"/>
          <w:spacing w:val="0"/>
          <w:kern w:val="0"/>
          <w:sz w:val="32"/>
          <w:szCs w:val="32"/>
          <w:highlight w:val="none"/>
          <w:lang w:eastAsia="zh-CN"/>
        </w:rPr>
        <w:t>年</w:t>
      </w:r>
      <w:r>
        <w:rPr>
          <w:rFonts w:hint="eastAsia" w:ascii="宋体" w:hAnsi="宋体" w:cs="宋体"/>
          <w:b/>
          <w:color w:val="auto"/>
          <w:spacing w:val="0"/>
          <w:kern w:val="0"/>
          <w:sz w:val="32"/>
          <w:szCs w:val="32"/>
          <w:highlight w:val="none"/>
          <w:lang w:val="en-US" w:eastAsia="zh-CN"/>
        </w:rPr>
        <w:t>12</w:t>
      </w:r>
      <w:r>
        <w:rPr>
          <w:rFonts w:hint="eastAsia" w:ascii="宋体" w:hAnsi="宋体" w:eastAsia="宋体" w:cs="宋体"/>
          <w:b/>
          <w:color w:val="auto"/>
          <w:spacing w:val="0"/>
          <w:kern w:val="0"/>
          <w:sz w:val="32"/>
          <w:szCs w:val="32"/>
          <w:highlight w:val="none"/>
          <w:lang w:val="en-US" w:eastAsia="zh-CN"/>
        </w:rPr>
        <w:t>月</w:t>
      </w:r>
    </w:p>
    <w:p w14:paraId="14636829">
      <w:pPr>
        <w:rPr>
          <w:rFonts w:hint="eastAsia" w:ascii="仿宋" w:hAnsi="仿宋" w:eastAsia="仿宋" w:cs="仿宋"/>
          <w:color w:val="auto"/>
          <w:sz w:val="32"/>
          <w:szCs w:val="32"/>
          <w:highlight w:val="none"/>
        </w:rPr>
        <w:sectPr>
          <w:headerReference r:id="rId3" w:type="first"/>
          <w:footerReference r:id="rId4" w:type="first"/>
          <w:pgSz w:w="11906" w:h="16838"/>
          <w:pgMar w:top="1440" w:right="1800" w:bottom="1440" w:left="1800" w:header="851" w:footer="992" w:gutter="0"/>
          <w:pgNumType w:fmt="decimal" w:start="1"/>
          <w:cols w:space="720" w:num="1"/>
          <w:titlePg/>
          <w:docGrid w:type="lines" w:linePitch="312" w:charSpace="0"/>
        </w:sectPr>
      </w:pPr>
    </w:p>
    <w:p w14:paraId="6D98B27F">
      <w:pPr>
        <w:pStyle w:val="24"/>
        <w:tabs>
          <w:tab w:val="right" w:leader="dot" w:pos="9746"/>
        </w:tabs>
        <w:jc w:val="center"/>
        <w:outlineLvl w:val="1"/>
        <w:rPr>
          <w:rFonts w:hint="eastAsia" w:ascii="微软雅黑" w:hAnsi="微软雅黑" w:eastAsia="微软雅黑" w:cs="微软雅黑"/>
          <w:b/>
          <w:bCs/>
          <w:color w:val="auto"/>
          <w:sz w:val="32"/>
          <w:szCs w:val="32"/>
          <w:highlight w:val="none"/>
          <w:lang w:val="en-US" w:eastAsia="zh-CN"/>
        </w:rPr>
      </w:pPr>
      <w:r>
        <w:rPr>
          <w:rFonts w:hint="eastAsia" w:ascii="微软雅黑" w:hAnsi="微软雅黑" w:eastAsia="微软雅黑" w:cs="微软雅黑"/>
          <w:b/>
          <w:bCs/>
          <w:color w:val="auto"/>
          <w:sz w:val="32"/>
          <w:szCs w:val="32"/>
          <w:highlight w:val="none"/>
          <w:lang w:val="en-US" w:eastAsia="zh-CN"/>
        </w:rPr>
        <w:t>目  录</w:t>
      </w:r>
    </w:p>
    <w:p w14:paraId="04EC26C1">
      <w:pPr>
        <w:pStyle w:val="24"/>
        <w:tabs>
          <w:tab w:val="right" w:leader="dot" w:pos="8306"/>
        </w:tabs>
        <w:rPr>
          <w:rFonts w:hint="eastAsia" w:ascii="宋体" w:hAnsi="宋体" w:eastAsia="宋体" w:cs="宋体"/>
          <w:sz w:val="28"/>
          <w:szCs w:val="28"/>
          <w:highlight w:val="none"/>
        </w:rPr>
      </w:pPr>
      <w:bookmarkStart w:id="0" w:name="_Toc30186"/>
      <w:bookmarkStart w:id="1" w:name="_Toc28964"/>
      <w:bookmarkStart w:id="2" w:name="_Toc216158623"/>
      <w:bookmarkStart w:id="3" w:name="_Toc363199264"/>
      <w:r>
        <w:rPr>
          <w:rFonts w:hint="eastAsia" w:ascii="华文中宋" w:hAnsi="华文中宋" w:eastAsia="华文中宋" w:cs="华文中宋"/>
          <w:b w:val="0"/>
          <w:bCs/>
          <w:color w:val="auto"/>
          <w:sz w:val="28"/>
          <w:szCs w:val="28"/>
          <w:highlight w:val="none"/>
          <w:lang w:val="en-US" w:eastAsia="zh-CN"/>
        </w:rPr>
        <w:fldChar w:fldCharType="begin"/>
      </w:r>
      <w:r>
        <w:rPr>
          <w:rFonts w:hint="eastAsia" w:ascii="华文中宋" w:hAnsi="华文中宋" w:eastAsia="华文中宋" w:cs="华文中宋"/>
          <w:b w:val="0"/>
          <w:bCs/>
          <w:color w:val="auto"/>
          <w:sz w:val="28"/>
          <w:szCs w:val="28"/>
          <w:highlight w:val="none"/>
          <w:lang w:val="en-US" w:eastAsia="zh-CN"/>
        </w:rPr>
        <w:instrText xml:space="preserve">TOC \o "1-1" \h \u </w:instrText>
      </w:r>
      <w:r>
        <w:rPr>
          <w:rFonts w:hint="eastAsia" w:ascii="华文中宋" w:hAnsi="华文中宋" w:eastAsia="华文中宋" w:cs="华文中宋"/>
          <w:b w:val="0"/>
          <w:bCs/>
          <w:color w:val="auto"/>
          <w:sz w:val="28"/>
          <w:szCs w:val="28"/>
          <w:highlight w:val="none"/>
          <w:lang w:val="en-US" w:eastAsia="zh-CN"/>
        </w:rPr>
        <w:fldChar w:fldCharType="separate"/>
      </w:r>
      <w:r>
        <w:rPr>
          <w:rFonts w:hint="eastAsia" w:ascii="宋体" w:hAnsi="宋体" w:eastAsia="宋体" w:cs="宋体"/>
          <w:bCs/>
          <w:color w:val="auto"/>
          <w:sz w:val="28"/>
          <w:szCs w:val="28"/>
          <w:highlight w:val="none"/>
          <w:lang w:val="en-US" w:eastAsia="zh-CN"/>
        </w:rPr>
        <w:fldChar w:fldCharType="begin"/>
      </w:r>
      <w:r>
        <w:rPr>
          <w:rFonts w:hint="eastAsia" w:ascii="宋体" w:hAnsi="宋体" w:eastAsia="宋体" w:cs="宋体"/>
          <w:bCs/>
          <w:sz w:val="28"/>
          <w:szCs w:val="28"/>
          <w:highlight w:val="none"/>
          <w:lang w:val="en-US" w:eastAsia="zh-CN"/>
        </w:rPr>
        <w:instrText xml:space="preserve"> HYPERLINK \l _Toc25770 </w:instrText>
      </w:r>
      <w:r>
        <w:rPr>
          <w:rFonts w:hint="eastAsia" w:ascii="宋体" w:hAnsi="宋体" w:eastAsia="宋体" w:cs="宋体"/>
          <w:bCs/>
          <w:sz w:val="28"/>
          <w:szCs w:val="28"/>
          <w:highlight w:val="none"/>
          <w:lang w:val="en-US" w:eastAsia="zh-CN"/>
        </w:rPr>
        <w:fldChar w:fldCharType="separate"/>
      </w:r>
      <w:r>
        <w:rPr>
          <w:rFonts w:hint="eastAsia" w:ascii="宋体" w:hAnsi="宋体" w:eastAsia="宋体" w:cs="宋体"/>
          <w:bCs/>
          <w:sz w:val="28"/>
          <w:szCs w:val="28"/>
          <w:highlight w:val="none"/>
          <w:lang w:val="en-US" w:eastAsia="zh-CN"/>
        </w:rPr>
        <w:t>第</w:t>
      </w:r>
      <w:r>
        <w:rPr>
          <w:rFonts w:hint="eastAsia" w:ascii="宋体" w:hAnsi="宋体" w:eastAsia="宋体" w:cs="宋体"/>
          <w:bCs/>
          <w:sz w:val="28"/>
          <w:szCs w:val="28"/>
          <w:highlight w:val="none"/>
          <w:lang w:eastAsia="zh-CN"/>
        </w:rPr>
        <w:t xml:space="preserve">一章 </w:t>
      </w:r>
      <w:r>
        <w:rPr>
          <w:rFonts w:hint="eastAsia" w:ascii="宋体" w:hAnsi="宋体" w:eastAsia="宋体" w:cs="宋体"/>
          <w:bCs/>
          <w:sz w:val="28"/>
          <w:szCs w:val="28"/>
          <w:highlight w:val="none"/>
          <w:lang w:val="en-US" w:eastAsia="zh-CN"/>
        </w:rPr>
        <w:t xml:space="preserve"> </w:t>
      </w:r>
      <w:r>
        <w:rPr>
          <w:rFonts w:hint="eastAsia" w:ascii="宋体" w:hAnsi="宋体" w:eastAsia="宋体" w:cs="宋体"/>
          <w:bCs/>
          <w:sz w:val="28"/>
          <w:szCs w:val="28"/>
          <w:highlight w:val="none"/>
          <w:lang w:eastAsia="zh-CN"/>
        </w:rPr>
        <w:t>竞争谈判公告</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_Toc25770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w:t>
      </w:r>
      <w:r>
        <w:rPr>
          <w:rFonts w:hint="eastAsia" w:ascii="宋体" w:hAnsi="宋体" w:eastAsia="宋体" w:cs="宋体"/>
          <w:sz w:val="28"/>
          <w:szCs w:val="28"/>
          <w:highlight w:val="none"/>
        </w:rPr>
        <w:fldChar w:fldCharType="end"/>
      </w:r>
      <w:r>
        <w:rPr>
          <w:rFonts w:hint="eastAsia" w:ascii="宋体" w:hAnsi="宋体" w:eastAsia="宋体" w:cs="宋体"/>
          <w:bCs/>
          <w:color w:val="auto"/>
          <w:sz w:val="28"/>
          <w:szCs w:val="28"/>
          <w:highlight w:val="none"/>
          <w:lang w:val="en-US" w:eastAsia="zh-CN"/>
        </w:rPr>
        <w:fldChar w:fldCharType="end"/>
      </w:r>
    </w:p>
    <w:p w14:paraId="0DF6D713">
      <w:pPr>
        <w:pStyle w:val="24"/>
        <w:tabs>
          <w:tab w:val="right" w:leader="dot" w:pos="8306"/>
        </w:tabs>
        <w:rPr>
          <w:rFonts w:hint="eastAsia" w:ascii="宋体" w:hAnsi="宋体" w:eastAsia="宋体" w:cs="宋体"/>
          <w:sz w:val="28"/>
          <w:szCs w:val="28"/>
          <w:highlight w:val="none"/>
        </w:rPr>
      </w:pPr>
      <w:r>
        <w:rPr>
          <w:rFonts w:hint="eastAsia" w:ascii="宋体" w:hAnsi="宋体" w:eastAsia="宋体" w:cs="宋体"/>
          <w:bCs/>
          <w:color w:val="auto"/>
          <w:sz w:val="28"/>
          <w:szCs w:val="28"/>
          <w:highlight w:val="none"/>
          <w:lang w:val="en-US" w:eastAsia="zh-CN"/>
        </w:rPr>
        <w:fldChar w:fldCharType="begin"/>
      </w:r>
      <w:r>
        <w:rPr>
          <w:rFonts w:hint="eastAsia" w:ascii="宋体" w:hAnsi="宋体" w:eastAsia="宋体" w:cs="宋体"/>
          <w:bCs/>
          <w:sz w:val="28"/>
          <w:szCs w:val="28"/>
          <w:highlight w:val="none"/>
          <w:lang w:val="en-US" w:eastAsia="zh-CN"/>
        </w:rPr>
        <w:instrText xml:space="preserve"> HYPERLINK \l _Toc1619 </w:instrText>
      </w:r>
      <w:r>
        <w:rPr>
          <w:rFonts w:hint="eastAsia" w:ascii="宋体" w:hAnsi="宋体" w:eastAsia="宋体" w:cs="宋体"/>
          <w:bCs/>
          <w:sz w:val="28"/>
          <w:szCs w:val="28"/>
          <w:highlight w:val="none"/>
          <w:lang w:val="en-US" w:eastAsia="zh-CN"/>
        </w:rPr>
        <w:fldChar w:fldCharType="separate"/>
      </w:r>
      <w:r>
        <w:rPr>
          <w:rFonts w:hint="eastAsia" w:ascii="宋体" w:hAnsi="宋体" w:eastAsia="宋体" w:cs="宋体"/>
          <w:bCs/>
          <w:sz w:val="28"/>
          <w:szCs w:val="28"/>
          <w:highlight w:val="none"/>
          <w:lang w:val="en-US" w:eastAsia="zh-CN"/>
        </w:rPr>
        <w:t xml:space="preserve">第二章  </w:t>
      </w:r>
      <w:r>
        <w:rPr>
          <w:rFonts w:hint="eastAsia" w:ascii="宋体" w:hAnsi="宋体" w:eastAsia="宋体" w:cs="宋体"/>
          <w:bCs/>
          <w:sz w:val="28"/>
          <w:szCs w:val="28"/>
          <w:highlight w:val="none"/>
        </w:rPr>
        <w:t>供应商须知</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_Toc1619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3</w:t>
      </w:r>
      <w:r>
        <w:rPr>
          <w:rFonts w:hint="eastAsia" w:ascii="宋体" w:hAnsi="宋体" w:eastAsia="宋体" w:cs="宋体"/>
          <w:sz w:val="28"/>
          <w:szCs w:val="28"/>
          <w:highlight w:val="none"/>
        </w:rPr>
        <w:fldChar w:fldCharType="end"/>
      </w:r>
      <w:r>
        <w:rPr>
          <w:rFonts w:hint="eastAsia" w:ascii="宋体" w:hAnsi="宋体" w:eastAsia="宋体" w:cs="宋体"/>
          <w:bCs/>
          <w:color w:val="auto"/>
          <w:sz w:val="28"/>
          <w:szCs w:val="28"/>
          <w:highlight w:val="none"/>
          <w:lang w:val="en-US" w:eastAsia="zh-CN"/>
        </w:rPr>
        <w:fldChar w:fldCharType="end"/>
      </w:r>
    </w:p>
    <w:p w14:paraId="6145FBAD">
      <w:pPr>
        <w:pStyle w:val="24"/>
        <w:tabs>
          <w:tab w:val="right" w:leader="dot" w:pos="8306"/>
        </w:tabs>
        <w:rPr>
          <w:rFonts w:hint="eastAsia" w:ascii="宋体" w:hAnsi="宋体" w:eastAsia="宋体" w:cs="宋体"/>
          <w:sz w:val="28"/>
          <w:szCs w:val="28"/>
          <w:highlight w:val="none"/>
        </w:rPr>
      </w:pPr>
      <w:r>
        <w:rPr>
          <w:rFonts w:hint="eastAsia" w:ascii="宋体" w:hAnsi="宋体" w:eastAsia="宋体" w:cs="宋体"/>
          <w:bCs/>
          <w:color w:val="auto"/>
          <w:sz w:val="28"/>
          <w:szCs w:val="28"/>
          <w:highlight w:val="none"/>
          <w:lang w:val="en-US" w:eastAsia="zh-CN"/>
        </w:rPr>
        <w:fldChar w:fldCharType="begin"/>
      </w:r>
      <w:r>
        <w:rPr>
          <w:rFonts w:hint="eastAsia" w:ascii="宋体" w:hAnsi="宋体" w:eastAsia="宋体" w:cs="宋体"/>
          <w:bCs/>
          <w:sz w:val="28"/>
          <w:szCs w:val="28"/>
          <w:highlight w:val="none"/>
          <w:lang w:val="en-US" w:eastAsia="zh-CN"/>
        </w:rPr>
        <w:instrText xml:space="preserve"> HYPERLINK \l _Toc11965 </w:instrText>
      </w:r>
      <w:r>
        <w:rPr>
          <w:rFonts w:hint="eastAsia" w:ascii="宋体" w:hAnsi="宋体" w:eastAsia="宋体" w:cs="宋体"/>
          <w:bCs/>
          <w:sz w:val="28"/>
          <w:szCs w:val="28"/>
          <w:highlight w:val="none"/>
          <w:lang w:val="en-US" w:eastAsia="zh-CN"/>
        </w:rPr>
        <w:fldChar w:fldCharType="separate"/>
      </w:r>
      <w:r>
        <w:rPr>
          <w:rFonts w:hint="eastAsia" w:ascii="宋体" w:hAnsi="宋体" w:eastAsia="宋体" w:cs="宋体"/>
          <w:bCs/>
          <w:caps/>
          <w:kern w:val="2"/>
          <w:sz w:val="28"/>
          <w:szCs w:val="28"/>
          <w:highlight w:val="none"/>
          <w:lang w:val="zh-CN" w:eastAsia="zh-CN" w:bidi="ar-SA"/>
        </w:rPr>
        <w:t>第</w:t>
      </w:r>
      <w:r>
        <w:rPr>
          <w:rFonts w:hint="eastAsia" w:ascii="宋体" w:hAnsi="宋体" w:eastAsia="宋体" w:cs="宋体"/>
          <w:bCs/>
          <w:caps/>
          <w:kern w:val="2"/>
          <w:sz w:val="28"/>
          <w:szCs w:val="28"/>
          <w:highlight w:val="none"/>
          <w:lang w:val="en-US" w:eastAsia="zh-CN" w:bidi="ar-SA"/>
        </w:rPr>
        <w:t>三</w:t>
      </w:r>
      <w:r>
        <w:rPr>
          <w:rFonts w:hint="eastAsia" w:ascii="宋体" w:hAnsi="宋体" w:eastAsia="宋体" w:cs="宋体"/>
          <w:bCs/>
          <w:caps/>
          <w:kern w:val="2"/>
          <w:sz w:val="28"/>
          <w:szCs w:val="28"/>
          <w:highlight w:val="none"/>
          <w:lang w:val="zh-CN" w:eastAsia="zh-CN" w:bidi="ar-SA"/>
        </w:rPr>
        <w:t>章</w:t>
      </w:r>
      <w:r>
        <w:rPr>
          <w:rFonts w:hint="eastAsia" w:ascii="宋体" w:hAnsi="宋体" w:eastAsia="宋体" w:cs="宋体"/>
          <w:bCs/>
          <w:caps/>
          <w:kern w:val="2"/>
          <w:sz w:val="28"/>
          <w:szCs w:val="28"/>
          <w:highlight w:val="none"/>
          <w:lang w:val="en-US" w:eastAsia="zh-CN" w:bidi="ar-SA"/>
        </w:rPr>
        <w:t xml:space="preserve">  </w:t>
      </w:r>
      <w:r>
        <w:rPr>
          <w:rFonts w:hint="eastAsia" w:ascii="宋体" w:hAnsi="宋体" w:eastAsia="宋体" w:cs="宋体"/>
          <w:bCs/>
          <w:sz w:val="28"/>
          <w:szCs w:val="28"/>
          <w:highlight w:val="none"/>
        </w:rPr>
        <w:t>采购合同</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_Toc11965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13</w:t>
      </w:r>
      <w:r>
        <w:rPr>
          <w:rFonts w:hint="eastAsia" w:ascii="宋体" w:hAnsi="宋体" w:eastAsia="宋体" w:cs="宋体"/>
          <w:sz w:val="28"/>
          <w:szCs w:val="28"/>
          <w:highlight w:val="none"/>
        </w:rPr>
        <w:fldChar w:fldCharType="end"/>
      </w:r>
      <w:r>
        <w:rPr>
          <w:rFonts w:hint="eastAsia" w:ascii="宋体" w:hAnsi="宋体" w:eastAsia="宋体" w:cs="宋体"/>
          <w:bCs/>
          <w:color w:val="auto"/>
          <w:sz w:val="28"/>
          <w:szCs w:val="28"/>
          <w:highlight w:val="none"/>
          <w:lang w:val="en-US" w:eastAsia="zh-CN"/>
        </w:rPr>
        <w:fldChar w:fldCharType="end"/>
      </w:r>
    </w:p>
    <w:p w14:paraId="40EAF4BB">
      <w:pPr>
        <w:pStyle w:val="24"/>
        <w:tabs>
          <w:tab w:val="right" w:leader="dot" w:pos="8306"/>
        </w:tabs>
        <w:rPr>
          <w:rFonts w:hint="eastAsia" w:ascii="宋体" w:hAnsi="宋体" w:eastAsia="宋体" w:cs="宋体"/>
          <w:sz w:val="28"/>
          <w:szCs w:val="28"/>
          <w:highlight w:val="none"/>
        </w:rPr>
      </w:pPr>
      <w:r>
        <w:rPr>
          <w:rFonts w:hint="eastAsia" w:ascii="宋体" w:hAnsi="宋体" w:eastAsia="宋体" w:cs="宋体"/>
          <w:bCs/>
          <w:color w:val="auto"/>
          <w:sz w:val="28"/>
          <w:szCs w:val="28"/>
          <w:highlight w:val="none"/>
          <w:lang w:val="en-US" w:eastAsia="zh-CN"/>
        </w:rPr>
        <w:fldChar w:fldCharType="begin"/>
      </w:r>
      <w:r>
        <w:rPr>
          <w:rFonts w:hint="eastAsia" w:ascii="宋体" w:hAnsi="宋体" w:eastAsia="宋体" w:cs="宋体"/>
          <w:bCs/>
          <w:sz w:val="28"/>
          <w:szCs w:val="28"/>
          <w:highlight w:val="none"/>
          <w:lang w:val="en-US" w:eastAsia="zh-CN"/>
        </w:rPr>
        <w:instrText xml:space="preserve"> HYPERLINK \l _Toc30971 </w:instrText>
      </w:r>
      <w:r>
        <w:rPr>
          <w:rFonts w:hint="eastAsia" w:ascii="宋体" w:hAnsi="宋体" w:eastAsia="宋体" w:cs="宋体"/>
          <w:bCs/>
          <w:sz w:val="28"/>
          <w:szCs w:val="28"/>
          <w:highlight w:val="none"/>
          <w:lang w:val="en-US" w:eastAsia="zh-CN"/>
        </w:rPr>
        <w:fldChar w:fldCharType="separate"/>
      </w:r>
      <w:r>
        <w:rPr>
          <w:rFonts w:hint="eastAsia" w:ascii="宋体" w:hAnsi="宋体" w:eastAsia="宋体" w:cs="宋体"/>
          <w:bCs/>
          <w:caps/>
          <w:kern w:val="2"/>
          <w:sz w:val="28"/>
          <w:szCs w:val="28"/>
          <w:highlight w:val="none"/>
          <w:lang w:val="zh-CN" w:eastAsia="zh-CN" w:bidi="ar-SA"/>
        </w:rPr>
        <w:t>第</w:t>
      </w:r>
      <w:r>
        <w:rPr>
          <w:rFonts w:hint="eastAsia" w:ascii="宋体" w:hAnsi="宋体" w:eastAsia="宋体" w:cs="宋体"/>
          <w:bCs/>
          <w:caps/>
          <w:kern w:val="2"/>
          <w:sz w:val="28"/>
          <w:szCs w:val="28"/>
          <w:highlight w:val="none"/>
          <w:lang w:val="en-US" w:eastAsia="zh-CN" w:bidi="ar-SA"/>
        </w:rPr>
        <w:t>四</w:t>
      </w:r>
      <w:r>
        <w:rPr>
          <w:rFonts w:hint="eastAsia" w:ascii="宋体" w:hAnsi="宋体" w:eastAsia="宋体" w:cs="宋体"/>
          <w:bCs/>
          <w:caps/>
          <w:kern w:val="2"/>
          <w:sz w:val="28"/>
          <w:szCs w:val="28"/>
          <w:highlight w:val="none"/>
          <w:lang w:val="zh-CN" w:eastAsia="zh-CN" w:bidi="ar-SA"/>
        </w:rPr>
        <w:t>章</w:t>
      </w:r>
      <w:r>
        <w:rPr>
          <w:rFonts w:hint="eastAsia" w:ascii="宋体" w:hAnsi="宋体" w:eastAsia="宋体" w:cs="宋体"/>
          <w:bCs/>
          <w:caps/>
          <w:kern w:val="2"/>
          <w:sz w:val="28"/>
          <w:szCs w:val="28"/>
          <w:highlight w:val="none"/>
          <w:lang w:val="en-US" w:eastAsia="zh-CN" w:bidi="ar-SA"/>
        </w:rPr>
        <w:t xml:space="preserve">  </w:t>
      </w:r>
      <w:r>
        <w:rPr>
          <w:rFonts w:hint="eastAsia" w:ascii="宋体" w:hAnsi="宋体" w:eastAsia="宋体" w:cs="宋体"/>
          <w:bCs/>
          <w:sz w:val="28"/>
          <w:szCs w:val="28"/>
          <w:highlight w:val="none"/>
        </w:rPr>
        <w:t>采购</w:t>
      </w:r>
      <w:r>
        <w:rPr>
          <w:rFonts w:hint="eastAsia" w:ascii="宋体" w:hAnsi="宋体" w:eastAsia="宋体" w:cs="宋体"/>
          <w:bCs/>
          <w:sz w:val="28"/>
          <w:szCs w:val="28"/>
          <w:highlight w:val="none"/>
          <w:lang w:val="en-US" w:eastAsia="zh-CN"/>
        </w:rPr>
        <w:t>需求</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_Toc30971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14</w:t>
      </w:r>
      <w:r>
        <w:rPr>
          <w:rFonts w:hint="eastAsia" w:ascii="宋体" w:hAnsi="宋体" w:eastAsia="宋体" w:cs="宋体"/>
          <w:sz w:val="28"/>
          <w:szCs w:val="28"/>
          <w:highlight w:val="none"/>
        </w:rPr>
        <w:fldChar w:fldCharType="end"/>
      </w:r>
      <w:r>
        <w:rPr>
          <w:rFonts w:hint="eastAsia" w:ascii="宋体" w:hAnsi="宋体" w:eastAsia="宋体" w:cs="宋体"/>
          <w:bCs/>
          <w:color w:val="auto"/>
          <w:sz w:val="28"/>
          <w:szCs w:val="28"/>
          <w:highlight w:val="none"/>
          <w:lang w:val="en-US" w:eastAsia="zh-CN"/>
        </w:rPr>
        <w:fldChar w:fldCharType="end"/>
      </w:r>
    </w:p>
    <w:p w14:paraId="03C194AF">
      <w:pPr>
        <w:pStyle w:val="24"/>
        <w:tabs>
          <w:tab w:val="right" w:leader="dot" w:pos="8306"/>
        </w:tabs>
        <w:rPr>
          <w:rFonts w:hint="eastAsia" w:ascii="宋体" w:hAnsi="宋体" w:eastAsia="宋体" w:cs="宋体"/>
          <w:sz w:val="28"/>
          <w:szCs w:val="28"/>
          <w:highlight w:val="none"/>
        </w:rPr>
      </w:pPr>
      <w:r>
        <w:rPr>
          <w:rFonts w:hint="eastAsia" w:ascii="宋体" w:hAnsi="宋体" w:eastAsia="宋体" w:cs="宋体"/>
          <w:bCs/>
          <w:color w:val="auto"/>
          <w:sz w:val="28"/>
          <w:szCs w:val="28"/>
          <w:highlight w:val="none"/>
          <w:lang w:val="en-US" w:eastAsia="zh-CN"/>
        </w:rPr>
        <w:fldChar w:fldCharType="begin"/>
      </w:r>
      <w:r>
        <w:rPr>
          <w:rFonts w:hint="eastAsia" w:ascii="宋体" w:hAnsi="宋体" w:eastAsia="宋体" w:cs="宋体"/>
          <w:bCs/>
          <w:sz w:val="28"/>
          <w:szCs w:val="28"/>
          <w:highlight w:val="none"/>
          <w:lang w:val="en-US" w:eastAsia="zh-CN"/>
        </w:rPr>
        <w:instrText xml:space="preserve"> HYPERLINK \l _Toc19648 </w:instrText>
      </w:r>
      <w:r>
        <w:rPr>
          <w:rFonts w:hint="eastAsia" w:ascii="宋体" w:hAnsi="宋体" w:eastAsia="宋体" w:cs="宋体"/>
          <w:bCs/>
          <w:sz w:val="28"/>
          <w:szCs w:val="28"/>
          <w:highlight w:val="none"/>
          <w:lang w:val="en-US" w:eastAsia="zh-CN"/>
        </w:rPr>
        <w:fldChar w:fldCharType="separate"/>
      </w:r>
      <w:r>
        <w:rPr>
          <w:rFonts w:hint="eastAsia" w:ascii="宋体" w:hAnsi="宋体" w:eastAsia="宋体" w:cs="宋体"/>
          <w:bCs/>
          <w:caps/>
          <w:kern w:val="2"/>
          <w:sz w:val="28"/>
          <w:szCs w:val="28"/>
          <w:highlight w:val="none"/>
          <w:lang w:val="zh-CN"/>
        </w:rPr>
        <w:t>第</w:t>
      </w:r>
      <w:r>
        <w:rPr>
          <w:rFonts w:hint="eastAsia" w:ascii="宋体" w:hAnsi="宋体" w:eastAsia="宋体" w:cs="宋体"/>
          <w:bCs/>
          <w:caps/>
          <w:kern w:val="2"/>
          <w:sz w:val="28"/>
          <w:szCs w:val="28"/>
          <w:highlight w:val="none"/>
          <w:lang w:val="en-US" w:eastAsia="zh-CN"/>
        </w:rPr>
        <w:t>五</w:t>
      </w:r>
      <w:r>
        <w:rPr>
          <w:rFonts w:hint="eastAsia" w:ascii="宋体" w:hAnsi="宋体" w:eastAsia="宋体" w:cs="宋体"/>
          <w:bCs/>
          <w:caps/>
          <w:kern w:val="2"/>
          <w:sz w:val="28"/>
          <w:szCs w:val="28"/>
          <w:highlight w:val="none"/>
          <w:lang w:val="zh-CN"/>
        </w:rPr>
        <w:t>章  评审方法和标准</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_Toc19648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17</w:t>
      </w:r>
      <w:r>
        <w:rPr>
          <w:rFonts w:hint="eastAsia" w:ascii="宋体" w:hAnsi="宋体" w:eastAsia="宋体" w:cs="宋体"/>
          <w:sz w:val="28"/>
          <w:szCs w:val="28"/>
          <w:highlight w:val="none"/>
        </w:rPr>
        <w:fldChar w:fldCharType="end"/>
      </w:r>
      <w:r>
        <w:rPr>
          <w:rFonts w:hint="eastAsia" w:ascii="宋体" w:hAnsi="宋体" w:eastAsia="宋体" w:cs="宋体"/>
          <w:bCs/>
          <w:color w:val="auto"/>
          <w:sz w:val="28"/>
          <w:szCs w:val="28"/>
          <w:highlight w:val="none"/>
          <w:lang w:val="en-US" w:eastAsia="zh-CN"/>
        </w:rPr>
        <w:fldChar w:fldCharType="end"/>
      </w:r>
    </w:p>
    <w:p w14:paraId="7F6FF95A">
      <w:pPr>
        <w:pStyle w:val="24"/>
        <w:tabs>
          <w:tab w:val="right" w:leader="dot" w:pos="8306"/>
        </w:tabs>
        <w:rPr>
          <w:highlight w:val="none"/>
        </w:rPr>
      </w:pPr>
      <w:r>
        <w:rPr>
          <w:rFonts w:hint="eastAsia" w:ascii="宋体" w:hAnsi="宋体" w:eastAsia="宋体" w:cs="宋体"/>
          <w:bCs/>
          <w:color w:val="auto"/>
          <w:sz w:val="28"/>
          <w:szCs w:val="28"/>
          <w:highlight w:val="none"/>
          <w:lang w:val="en-US" w:eastAsia="zh-CN"/>
        </w:rPr>
        <w:fldChar w:fldCharType="begin"/>
      </w:r>
      <w:r>
        <w:rPr>
          <w:rFonts w:hint="eastAsia" w:ascii="宋体" w:hAnsi="宋体" w:eastAsia="宋体" w:cs="宋体"/>
          <w:bCs/>
          <w:sz w:val="28"/>
          <w:szCs w:val="28"/>
          <w:highlight w:val="none"/>
          <w:lang w:val="en-US" w:eastAsia="zh-CN"/>
        </w:rPr>
        <w:instrText xml:space="preserve"> HYPERLINK \l _Toc801 </w:instrText>
      </w:r>
      <w:r>
        <w:rPr>
          <w:rFonts w:hint="eastAsia" w:ascii="宋体" w:hAnsi="宋体" w:eastAsia="宋体" w:cs="宋体"/>
          <w:bCs/>
          <w:sz w:val="28"/>
          <w:szCs w:val="28"/>
          <w:highlight w:val="none"/>
          <w:lang w:val="en-US" w:eastAsia="zh-CN"/>
        </w:rPr>
        <w:fldChar w:fldCharType="separate"/>
      </w:r>
      <w:r>
        <w:rPr>
          <w:rFonts w:hint="eastAsia" w:ascii="宋体" w:hAnsi="宋体" w:eastAsia="宋体" w:cs="宋体"/>
          <w:bCs/>
          <w:caps/>
          <w:kern w:val="2"/>
          <w:sz w:val="28"/>
          <w:szCs w:val="28"/>
          <w:highlight w:val="none"/>
          <w:lang w:val="zh-CN"/>
        </w:rPr>
        <w:t>第</w:t>
      </w:r>
      <w:r>
        <w:rPr>
          <w:rFonts w:hint="eastAsia" w:ascii="宋体" w:hAnsi="宋体" w:eastAsia="宋体" w:cs="宋体"/>
          <w:bCs/>
          <w:caps/>
          <w:kern w:val="2"/>
          <w:sz w:val="28"/>
          <w:szCs w:val="28"/>
          <w:highlight w:val="none"/>
          <w:lang w:val="en-US" w:eastAsia="zh-CN"/>
        </w:rPr>
        <w:t>六</w:t>
      </w:r>
      <w:r>
        <w:rPr>
          <w:rFonts w:hint="eastAsia" w:ascii="宋体" w:hAnsi="宋体" w:eastAsia="宋体" w:cs="宋体"/>
          <w:bCs/>
          <w:caps/>
          <w:kern w:val="2"/>
          <w:sz w:val="28"/>
          <w:szCs w:val="28"/>
          <w:highlight w:val="none"/>
          <w:lang w:val="zh-CN"/>
        </w:rPr>
        <w:t>章  谈判响应文件格式</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_Toc801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19</w:t>
      </w:r>
      <w:r>
        <w:rPr>
          <w:rFonts w:hint="eastAsia" w:ascii="宋体" w:hAnsi="宋体" w:eastAsia="宋体" w:cs="宋体"/>
          <w:sz w:val="28"/>
          <w:szCs w:val="28"/>
          <w:highlight w:val="none"/>
        </w:rPr>
        <w:fldChar w:fldCharType="end"/>
      </w:r>
      <w:r>
        <w:rPr>
          <w:rFonts w:hint="eastAsia" w:ascii="宋体" w:hAnsi="宋体" w:eastAsia="宋体" w:cs="宋体"/>
          <w:bCs/>
          <w:color w:val="auto"/>
          <w:sz w:val="28"/>
          <w:szCs w:val="28"/>
          <w:highlight w:val="none"/>
          <w:lang w:val="en-US" w:eastAsia="zh-CN"/>
        </w:rPr>
        <w:fldChar w:fldCharType="end"/>
      </w:r>
    </w:p>
    <w:p w14:paraId="43590700">
      <w:pPr>
        <w:spacing w:before="156" w:beforeLines="50" w:after="156" w:afterLines="50" w:line="520" w:lineRule="exact"/>
        <w:jc w:val="center"/>
        <w:outlineLvl w:val="9"/>
        <w:rPr>
          <w:rFonts w:hint="eastAsia" w:ascii="华文中宋" w:hAnsi="华文中宋" w:eastAsia="华文中宋" w:cs="华文中宋"/>
          <w:b w:val="0"/>
          <w:bCs/>
          <w:color w:val="auto"/>
          <w:sz w:val="28"/>
          <w:szCs w:val="28"/>
          <w:highlight w:val="none"/>
          <w:lang w:val="en-US" w:eastAsia="zh-CN"/>
        </w:rPr>
      </w:pPr>
      <w:r>
        <w:rPr>
          <w:rFonts w:hint="eastAsia" w:ascii="华文中宋" w:hAnsi="华文中宋" w:eastAsia="华文中宋" w:cs="华文中宋"/>
          <w:bCs/>
          <w:color w:val="auto"/>
          <w:szCs w:val="28"/>
          <w:highlight w:val="none"/>
          <w:lang w:val="en-US" w:eastAsia="zh-CN"/>
        </w:rPr>
        <w:fldChar w:fldCharType="end"/>
      </w:r>
    </w:p>
    <w:p w14:paraId="2701F1D4">
      <w:pPr>
        <w:pStyle w:val="3"/>
        <w:spacing w:before="156" w:beforeLines="50" w:after="156" w:afterLines="50" w:line="520" w:lineRule="exact"/>
        <w:jc w:val="center"/>
        <w:outlineLvl w:val="9"/>
        <w:rPr>
          <w:rFonts w:hint="eastAsia" w:ascii="华文中宋" w:hAnsi="华文中宋" w:eastAsia="华文中宋" w:cs="华文中宋"/>
          <w:b w:val="0"/>
          <w:bCs/>
          <w:color w:val="auto"/>
          <w:sz w:val="28"/>
          <w:szCs w:val="28"/>
          <w:highlight w:val="none"/>
          <w:lang w:val="en-US" w:eastAsia="zh-CN"/>
        </w:rPr>
        <w:sectPr>
          <w:pgSz w:w="11906" w:h="16838"/>
          <w:pgMar w:top="1440" w:right="1800" w:bottom="1440" w:left="1800" w:header="851" w:footer="992" w:gutter="0"/>
          <w:pgNumType w:fmt="decimal" w:start="1"/>
          <w:cols w:space="720" w:num="1"/>
          <w:titlePg/>
          <w:docGrid w:type="lines" w:linePitch="312" w:charSpace="0"/>
        </w:sectPr>
      </w:pPr>
      <w:r>
        <w:rPr>
          <w:rFonts w:hint="eastAsia" w:ascii="华文中宋" w:hAnsi="华文中宋" w:eastAsia="华文中宋" w:cs="华文中宋"/>
          <w:b w:val="0"/>
          <w:bCs/>
          <w:color w:val="auto"/>
          <w:sz w:val="28"/>
          <w:szCs w:val="28"/>
          <w:highlight w:val="none"/>
          <w:lang w:val="en-US" w:eastAsia="zh-CN"/>
        </w:rPr>
        <w:t xml:space="preserve"> </w:t>
      </w:r>
    </w:p>
    <w:bookmarkEnd w:id="0"/>
    <w:bookmarkEnd w:id="1"/>
    <w:p w14:paraId="657BB1B8">
      <w:pPr>
        <w:keepNext w:val="0"/>
        <w:keepLines w:val="0"/>
        <w:pageBreakBefore w:val="0"/>
        <w:widowControl w:val="0"/>
        <w:kinsoku/>
        <w:wordWrap/>
        <w:overflowPunct/>
        <w:topLinePunct w:val="0"/>
        <w:autoSpaceDE/>
        <w:autoSpaceDN/>
        <w:bidi w:val="0"/>
        <w:adjustRightInd w:val="0"/>
        <w:snapToGrid w:val="0"/>
        <w:spacing w:line="480" w:lineRule="auto"/>
        <w:jc w:val="center"/>
        <w:textAlignment w:val="auto"/>
        <w:outlineLvl w:val="0"/>
        <w:rPr>
          <w:rFonts w:hint="eastAsia"/>
          <w:b/>
          <w:bCs/>
          <w:color w:val="auto"/>
          <w:sz w:val="32"/>
          <w:szCs w:val="32"/>
          <w:highlight w:val="none"/>
        </w:rPr>
      </w:pPr>
      <w:bookmarkStart w:id="4" w:name="_Toc20153"/>
      <w:bookmarkStart w:id="5" w:name="_Toc4745"/>
      <w:bookmarkStart w:id="6" w:name="_Toc25770"/>
      <w:r>
        <w:rPr>
          <w:rFonts w:hint="eastAsia"/>
          <w:b/>
          <w:bCs/>
          <w:color w:val="auto"/>
          <w:sz w:val="32"/>
          <w:szCs w:val="32"/>
          <w:highlight w:val="none"/>
          <w:lang w:val="en-US" w:eastAsia="zh-CN"/>
        </w:rPr>
        <w:t>第</w:t>
      </w:r>
      <w:r>
        <w:rPr>
          <w:rFonts w:hint="eastAsia"/>
          <w:b/>
          <w:bCs/>
          <w:color w:val="auto"/>
          <w:sz w:val="32"/>
          <w:szCs w:val="32"/>
          <w:highlight w:val="none"/>
          <w:lang w:eastAsia="zh-CN"/>
        </w:rPr>
        <w:t xml:space="preserve">一章 </w:t>
      </w:r>
      <w:r>
        <w:rPr>
          <w:rFonts w:hint="eastAsia"/>
          <w:b/>
          <w:bCs/>
          <w:color w:val="auto"/>
          <w:sz w:val="32"/>
          <w:szCs w:val="32"/>
          <w:highlight w:val="none"/>
          <w:lang w:val="en-US" w:eastAsia="zh-CN"/>
        </w:rPr>
        <w:t xml:space="preserve"> </w:t>
      </w:r>
      <w:r>
        <w:rPr>
          <w:rFonts w:hint="eastAsia"/>
          <w:b/>
          <w:bCs/>
          <w:color w:val="auto"/>
          <w:sz w:val="32"/>
          <w:szCs w:val="32"/>
          <w:highlight w:val="none"/>
          <w:lang w:eastAsia="zh-CN"/>
        </w:rPr>
        <w:t>竞争谈判公告</w:t>
      </w:r>
      <w:bookmarkEnd w:id="4"/>
      <w:bookmarkEnd w:id="5"/>
      <w:bookmarkEnd w:id="6"/>
    </w:p>
    <w:p w14:paraId="58CE8351">
      <w:pPr>
        <w:keepNext w:val="0"/>
        <w:keepLines w:val="0"/>
        <w:pageBreakBefore w:val="0"/>
        <w:widowControl w:val="0"/>
        <w:kinsoku/>
        <w:wordWrap/>
        <w:overflowPunct/>
        <w:topLinePunct w:val="0"/>
        <w:autoSpaceDE/>
        <w:autoSpaceDN/>
        <w:bidi w:val="0"/>
        <w:adjustRightInd/>
        <w:snapToGrid w:val="0"/>
        <w:spacing w:before="157" w:beforeLines="50" w:after="0"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bookmarkStart w:id="7" w:name="_Toc35393629"/>
      <w:bookmarkStart w:id="8" w:name="_Toc28359089"/>
      <w:bookmarkStart w:id="9" w:name="_Toc23161"/>
      <w:bookmarkStart w:id="10" w:name="_Toc35393798"/>
      <w:bookmarkStart w:id="11" w:name="_Toc17456"/>
      <w:bookmarkStart w:id="12" w:name="_Toc7777"/>
      <w:bookmarkStart w:id="13" w:name="_Toc28359012"/>
      <w:r>
        <w:rPr>
          <w:rFonts w:hint="eastAsia" w:ascii="宋体" w:hAnsi="宋体" w:eastAsia="宋体" w:cs="宋体"/>
          <w:b w:val="0"/>
          <w:bCs/>
          <w:color w:val="auto"/>
          <w:sz w:val="21"/>
          <w:szCs w:val="21"/>
          <w:highlight w:val="none"/>
        </w:rPr>
        <w:t>安徽大别山工程咨询有限公司受</w:t>
      </w:r>
      <w:r>
        <w:rPr>
          <w:rFonts w:hint="eastAsia" w:ascii="宋体" w:hAnsi="宋体" w:cs="宋体"/>
          <w:b w:val="0"/>
          <w:bCs/>
          <w:color w:val="auto"/>
          <w:sz w:val="21"/>
          <w:szCs w:val="21"/>
          <w:highlight w:val="none"/>
          <w:u w:val="single"/>
          <w:lang w:eastAsia="zh-CN"/>
        </w:rPr>
        <w:t>安徽中京物业服务有限公司</w:t>
      </w:r>
      <w:r>
        <w:rPr>
          <w:rFonts w:hint="eastAsia" w:ascii="宋体" w:hAnsi="宋体" w:eastAsia="宋体" w:cs="宋体"/>
          <w:b w:val="0"/>
          <w:bCs/>
          <w:color w:val="auto"/>
          <w:sz w:val="21"/>
          <w:szCs w:val="21"/>
          <w:highlight w:val="none"/>
        </w:rPr>
        <w:t>委托，代理</w:t>
      </w:r>
      <w:r>
        <w:rPr>
          <w:rFonts w:hint="eastAsia" w:ascii="宋体" w:hAnsi="宋体" w:cs="宋体"/>
          <w:b w:val="0"/>
          <w:bCs/>
          <w:color w:val="auto"/>
          <w:sz w:val="21"/>
          <w:szCs w:val="21"/>
          <w:highlight w:val="none"/>
          <w:u w:val="single"/>
          <w:lang w:eastAsia="zh-CN"/>
        </w:rPr>
        <w:t>霍山东大街特色街区、大别山两山学院消防维保服务项目</w:t>
      </w:r>
      <w:r>
        <w:rPr>
          <w:rFonts w:hint="eastAsia" w:ascii="宋体" w:hAnsi="宋体" w:eastAsia="宋体" w:cs="宋体"/>
          <w:b w:val="0"/>
          <w:bCs/>
          <w:color w:val="auto"/>
          <w:sz w:val="21"/>
          <w:szCs w:val="21"/>
          <w:highlight w:val="none"/>
        </w:rPr>
        <w:t>，经</w:t>
      </w:r>
      <w:r>
        <w:rPr>
          <w:rFonts w:hint="eastAsia" w:ascii="宋体" w:hAnsi="宋体" w:cs="宋体"/>
          <w:b w:val="0"/>
          <w:bCs/>
          <w:color w:val="auto"/>
          <w:sz w:val="21"/>
          <w:szCs w:val="21"/>
          <w:highlight w:val="none"/>
          <w:lang w:eastAsia="zh-CN"/>
        </w:rPr>
        <w:t>安徽大别山国有资产投资（控股）集团有限公司</w:t>
      </w:r>
      <w:r>
        <w:rPr>
          <w:rFonts w:hint="eastAsia" w:ascii="宋体" w:hAnsi="宋体" w:eastAsia="宋体" w:cs="宋体"/>
          <w:b w:val="0"/>
          <w:bCs/>
          <w:color w:val="auto"/>
          <w:sz w:val="21"/>
          <w:szCs w:val="21"/>
          <w:highlight w:val="none"/>
        </w:rPr>
        <w:t>审批，根据《国有企业采购操作规范》及《安徽霍山国有资产投资控股集团有限公司招标采购管理制度》，本项目采用</w:t>
      </w:r>
      <w:r>
        <w:rPr>
          <w:rFonts w:hint="eastAsia" w:ascii="宋体" w:hAnsi="宋体" w:eastAsia="宋体" w:cs="宋体"/>
          <w:b w:val="0"/>
          <w:bCs/>
          <w:color w:val="auto"/>
          <w:sz w:val="21"/>
          <w:szCs w:val="21"/>
          <w:highlight w:val="none"/>
          <w:u w:val="single"/>
        </w:rPr>
        <w:t>竞争谈判</w:t>
      </w:r>
      <w:r>
        <w:rPr>
          <w:rFonts w:hint="eastAsia" w:ascii="宋体" w:hAnsi="宋体" w:eastAsia="宋体" w:cs="宋体"/>
          <w:b w:val="0"/>
          <w:bCs/>
          <w:color w:val="auto"/>
          <w:sz w:val="21"/>
          <w:szCs w:val="21"/>
          <w:highlight w:val="none"/>
        </w:rPr>
        <w:t>方式采购，已具备采购条件，欢迎符合条件的</w:t>
      </w:r>
      <w:r>
        <w:rPr>
          <w:rFonts w:hint="eastAsia" w:ascii="宋体" w:hAnsi="宋体" w:cs="宋体"/>
          <w:b w:val="0"/>
          <w:bCs/>
          <w:color w:val="auto"/>
          <w:sz w:val="21"/>
          <w:szCs w:val="21"/>
          <w:highlight w:val="none"/>
          <w:lang w:val="en-US" w:eastAsia="zh-CN"/>
        </w:rPr>
        <w:t>国内</w:t>
      </w:r>
      <w:r>
        <w:rPr>
          <w:rFonts w:hint="eastAsia" w:ascii="宋体" w:hAnsi="宋体" w:eastAsia="宋体" w:cs="宋体"/>
          <w:b w:val="0"/>
          <w:bCs/>
          <w:color w:val="auto"/>
          <w:sz w:val="21"/>
          <w:szCs w:val="21"/>
          <w:highlight w:val="none"/>
        </w:rPr>
        <w:t>供应商参加竞争谈判。</w:t>
      </w:r>
    </w:p>
    <w:p w14:paraId="06A0EFED">
      <w:pPr>
        <w:keepNext w:val="0"/>
        <w:keepLines w:val="0"/>
        <w:pageBreakBefore w:val="0"/>
        <w:widowControl w:val="0"/>
        <w:kinsoku/>
        <w:wordWrap/>
        <w:overflowPunct/>
        <w:topLinePunct w:val="0"/>
        <w:autoSpaceDE/>
        <w:autoSpaceDN/>
        <w:bidi w:val="0"/>
        <w:adjustRightInd/>
        <w:snapToGrid w:val="0"/>
        <w:spacing w:after="0"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一、项目基本情况</w:t>
      </w:r>
      <w:bookmarkEnd w:id="7"/>
      <w:bookmarkEnd w:id="8"/>
      <w:bookmarkEnd w:id="9"/>
      <w:bookmarkEnd w:id="10"/>
      <w:bookmarkEnd w:id="11"/>
      <w:bookmarkEnd w:id="12"/>
      <w:bookmarkEnd w:id="13"/>
    </w:p>
    <w:p w14:paraId="6A5B057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、项目名称：</w:t>
      </w:r>
      <w:r>
        <w:rPr>
          <w:rFonts w:hint="eastAsia" w:ascii="宋体" w:hAnsi="宋体" w:cs="宋体"/>
          <w:color w:val="auto"/>
          <w:sz w:val="21"/>
          <w:szCs w:val="21"/>
          <w:highlight w:val="none"/>
          <w:lang w:eastAsia="zh-CN"/>
        </w:rPr>
        <w:t>霍山东大街特色街区、大别山两山学院消防维保服务项目</w:t>
      </w:r>
    </w:p>
    <w:p w14:paraId="31EBDA3A">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项目编号：</w:t>
      </w:r>
      <w:bookmarkStart w:id="69" w:name="_GoBack"/>
      <w:r>
        <w:rPr>
          <w:rFonts w:hint="eastAsia" w:ascii="宋体" w:hAnsi="宋体" w:cs="宋体"/>
          <w:color w:val="auto"/>
          <w:sz w:val="21"/>
          <w:szCs w:val="21"/>
          <w:highlight w:val="none"/>
          <w:lang w:val="en-US" w:eastAsia="zh-CN"/>
        </w:rPr>
        <w:t>DBSCG-2025-141</w:t>
      </w:r>
      <w:bookmarkEnd w:id="69"/>
    </w:p>
    <w:p w14:paraId="0A0B03DC">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项目类型：</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rPr>
        <w:t>类</w:t>
      </w:r>
    </w:p>
    <w:p w14:paraId="568E1354">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、采购方式：竞争谈判</w:t>
      </w:r>
    </w:p>
    <w:p w14:paraId="307BFA7A">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、预算金额：</w:t>
      </w:r>
      <w:r>
        <w:rPr>
          <w:rFonts w:hint="eastAsia" w:ascii="宋体" w:hAnsi="宋体" w:cs="宋体"/>
          <w:color w:val="auto"/>
          <w:sz w:val="21"/>
          <w:szCs w:val="21"/>
          <w:highlight w:val="none"/>
          <w:lang w:val="en-US" w:eastAsia="zh-CN"/>
        </w:rPr>
        <w:t>65000.00元</w:t>
      </w:r>
    </w:p>
    <w:p w14:paraId="17209661">
      <w:pPr>
        <w:pageBreakBefore w:val="0"/>
        <w:kinsoku/>
        <w:wordWrap/>
        <w:overflowPunct/>
        <w:topLinePunct w:val="0"/>
        <w:autoSpaceDE/>
        <w:autoSpaceDN/>
        <w:bidi w:val="0"/>
        <w:adjustRightInd/>
        <w:snapToGrid w:val="0"/>
        <w:spacing w:line="360" w:lineRule="auto"/>
        <w:ind w:firstLine="420" w:firstLineChars="200"/>
        <w:jc w:val="both"/>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、最高限价：</w:t>
      </w:r>
      <w:r>
        <w:rPr>
          <w:rFonts w:hint="eastAsia" w:ascii="宋体" w:hAnsi="宋体" w:cs="宋体"/>
          <w:color w:val="auto"/>
          <w:sz w:val="21"/>
          <w:szCs w:val="21"/>
          <w:highlight w:val="none"/>
          <w:lang w:val="en-US" w:eastAsia="zh-CN"/>
        </w:rPr>
        <w:t>65000.00元/年（其中霍山东大街特色街区商业</w:t>
      </w:r>
      <w:r>
        <w:rPr>
          <w:rFonts w:hint="eastAsia" w:ascii="宋体" w:hAnsi="宋体" w:cs="宋体"/>
          <w:color w:val="auto"/>
          <w:sz w:val="21"/>
          <w:szCs w:val="21"/>
          <w:highlight w:val="none"/>
          <w:lang w:eastAsia="zh-CN"/>
        </w:rPr>
        <w:t>消防维保</w:t>
      </w:r>
      <w:r>
        <w:rPr>
          <w:rFonts w:hint="eastAsia" w:ascii="宋体" w:hAnsi="宋体" w:cs="宋体"/>
          <w:color w:val="auto"/>
          <w:sz w:val="21"/>
          <w:szCs w:val="21"/>
          <w:highlight w:val="none"/>
          <w:lang w:val="en-US" w:eastAsia="zh-CN"/>
        </w:rPr>
        <w:t>控制价31000元/年，霍山东大街特色街区住宅及霍山县大别山两山学院</w:t>
      </w:r>
      <w:r>
        <w:rPr>
          <w:rFonts w:hint="eastAsia" w:ascii="宋体" w:hAnsi="宋体" w:cs="宋体"/>
          <w:color w:val="auto"/>
          <w:sz w:val="21"/>
          <w:szCs w:val="21"/>
          <w:highlight w:val="none"/>
          <w:lang w:eastAsia="zh-CN"/>
        </w:rPr>
        <w:t>消防维保</w:t>
      </w:r>
      <w:r>
        <w:rPr>
          <w:rFonts w:hint="eastAsia" w:ascii="宋体" w:hAnsi="宋体" w:cs="宋体"/>
          <w:color w:val="auto"/>
          <w:sz w:val="21"/>
          <w:szCs w:val="21"/>
          <w:highlight w:val="none"/>
          <w:lang w:val="en-US" w:eastAsia="zh-CN"/>
        </w:rPr>
        <w:t>控制价34000元/年），超出最高限价按无效投标处理。</w:t>
      </w:r>
    </w:p>
    <w:p w14:paraId="519D6E29">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7、采购需求：</w:t>
      </w:r>
      <w:r>
        <w:rPr>
          <w:rFonts w:hint="eastAsia" w:ascii="宋体" w:hAnsi="宋体" w:cs="宋体"/>
          <w:color w:val="auto"/>
          <w:sz w:val="21"/>
          <w:szCs w:val="21"/>
          <w:highlight w:val="none"/>
          <w:lang w:val="en-US" w:eastAsia="zh-CN"/>
        </w:rPr>
        <w:t>霍山东大街特色街区、大别山两山学院消防维保服务项目，详见</w:t>
      </w:r>
      <w:r>
        <w:rPr>
          <w:rFonts w:hint="eastAsia" w:ascii="宋体" w:hAnsi="宋体" w:eastAsia="宋体" w:cs="宋体"/>
          <w:color w:val="auto"/>
          <w:sz w:val="21"/>
          <w:szCs w:val="21"/>
          <w:highlight w:val="none"/>
          <w:lang w:val="en-US" w:eastAsia="zh-CN"/>
        </w:rPr>
        <w:t>采购需求。</w:t>
      </w:r>
    </w:p>
    <w:p w14:paraId="3B45F93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服务期</w:t>
      </w:r>
      <w:r>
        <w:rPr>
          <w:rFonts w:hint="eastAsia" w:ascii="宋体" w:hAnsi="宋体" w:eastAsia="宋体" w:cs="宋体"/>
          <w:color w:val="auto"/>
          <w:sz w:val="21"/>
          <w:szCs w:val="21"/>
          <w:highlight w:val="none"/>
        </w:rPr>
        <w:t>：</w:t>
      </w:r>
      <w:r>
        <w:rPr>
          <w:rFonts w:hint="eastAsia" w:ascii="宋体" w:hAnsi="宋体" w:cs="宋体"/>
          <w:b w:val="0"/>
          <w:bCs w:val="0"/>
          <w:color w:val="auto"/>
          <w:sz w:val="21"/>
          <w:szCs w:val="21"/>
          <w:highlight w:val="none"/>
          <w:lang w:val="en-US" w:eastAsia="zh-CN"/>
        </w:rPr>
        <w:t>3年，合同一年一签，年度考核合格后续签下年度合同。</w:t>
      </w:r>
    </w:p>
    <w:p w14:paraId="2659A830">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、是否接受联合体：本项目不接受联合体</w:t>
      </w:r>
      <w:r>
        <w:rPr>
          <w:rFonts w:hint="eastAsia" w:ascii="宋体" w:hAnsi="宋体" w:eastAsia="宋体" w:cs="宋体"/>
          <w:color w:val="auto"/>
          <w:sz w:val="21"/>
          <w:szCs w:val="21"/>
          <w:highlight w:val="none"/>
          <w:lang w:eastAsia="zh-CN"/>
        </w:rPr>
        <w:t>。</w:t>
      </w:r>
    </w:p>
    <w:p w14:paraId="04463801">
      <w:pPr>
        <w:pageBreakBefore w:val="0"/>
        <w:kinsoku/>
        <w:wordWrap/>
        <w:overflowPunct/>
        <w:topLinePunct w:val="0"/>
        <w:autoSpaceDE/>
        <w:autoSpaceDN/>
        <w:bidi w:val="0"/>
        <w:adjustRightInd/>
        <w:snapToGrid w:val="0"/>
        <w:spacing w:before="0" w:after="0"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bookmarkStart w:id="14" w:name="_Toc11070"/>
      <w:bookmarkStart w:id="15" w:name="_Toc35393630"/>
      <w:bookmarkStart w:id="16" w:name="_Toc12105"/>
      <w:bookmarkStart w:id="17" w:name="_Toc28359013"/>
      <w:bookmarkStart w:id="18" w:name="_Toc20998"/>
      <w:bookmarkStart w:id="19" w:name="_Toc28359090"/>
      <w:bookmarkStart w:id="20" w:name="_Toc35393799"/>
      <w:r>
        <w:rPr>
          <w:rFonts w:hint="eastAsia" w:ascii="宋体" w:hAnsi="宋体" w:eastAsia="宋体" w:cs="宋体"/>
          <w:b w:val="0"/>
          <w:bCs/>
          <w:color w:val="auto"/>
          <w:sz w:val="21"/>
          <w:szCs w:val="21"/>
          <w:highlight w:val="none"/>
        </w:rPr>
        <w:t>二、申请人的资格要求</w:t>
      </w:r>
      <w:bookmarkEnd w:id="14"/>
      <w:bookmarkEnd w:id="15"/>
      <w:bookmarkEnd w:id="16"/>
      <w:bookmarkEnd w:id="17"/>
      <w:bookmarkEnd w:id="18"/>
      <w:bookmarkEnd w:id="19"/>
      <w:bookmarkEnd w:id="20"/>
    </w:p>
    <w:p w14:paraId="0CE8FA0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1、供应商须</w:t>
      </w:r>
      <w:r>
        <w:rPr>
          <w:rFonts w:hint="eastAsia" w:ascii="宋体" w:hAnsi="宋体" w:cs="宋体"/>
          <w:color w:val="auto"/>
          <w:sz w:val="21"/>
          <w:szCs w:val="21"/>
          <w:highlight w:val="none"/>
          <w:lang w:val="en-US" w:eastAsia="zh-CN"/>
        </w:rPr>
        <w:t>具备独立法人资格，</w:t>
      </w:r>
      <w:r>
        <w:rPr>
          <w:rFonts w:hint="eastAsia" w:ascii="宋体" w:hAnsi="宋体" w:eastAsia="宋体" w:cs="宋体"/>
          <w:color w:val="auto"/>
          <w:sz w:val="21"/>
          <w:szCs w:val="21"/>
          <w:highlight w:val="none"/>
          <w:lang w:val="en-US" w:eastAsia="zh-CN"/>
        </w:rPr>
        <w:t>具有有效的营业执照；</w:t>
      </w:r>
    </w:p>
    <w:p w14:paraId="0B816243">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2、本项目对供应商的特定资格要求：</w:t>
      </w:r>
    </w:p>
    <w:p w14:paraId="7AE5A2D4">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（1）供应商须具有与本项目类似的消防维保服务业绩；</w:t>
      </w:r>
    </w:p>
    <w:p w14:paraId="6888A7B6">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（2）供应商须为本项目安排至少3名服务人员，其中项目负责人1名，须具备一级注册消防工程师资格；2名现场维保人员，须持有效消防设施操作员证书（维保方向）；</w:t>
      </w:r>
    </w:p>
    <w:p w14:paraId="438E3EB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bookmarkStart w:id="21" w:name="_Toc28359014"/>
      <w:bookmarkStart w:id="22" w:name="_Toc28359091"/>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、供应商存在以下不良信用记录情形之一的，不得推荐为中标候选供应商，不得确定为中标供应商（仅以下述渠道查询结果为准，其他网站无效）：</w:t>
      </w:r>
    </w:p>
    <w:p w14:paraId="7CA8FA8C">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（1）供应商被人民法院列入失信被执行人的，</w:t>
      </w:r>
    </w:p>
    <w:p w14:paraId="5CA11441">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信用中国官网（www.creditchina.gov.cn）；</w:t>
      </w:r>
    </w:p>
    <w:p w14:paraId="321348EF">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（2）供应商被工商行政管理部门列入企业经营异常名录的，</w:t>
      </w:r>
    </w:p>
    <w:p w14:paraId="0C6C9E7D">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国家企业信用信息公示系统网站（www.gsxt.gov.cn）；</w:t>
      </w:r>
    </w:p>
    <w:p w14:paraId="01C27EC4">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（3）供应商被税务部门列入重大税收违法案件当事人名单的，</w:t>
      </w:r>
    </w:p>
    <w:p w14:paraId="2A094CC6">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信用中国官网（www.creditchina.gov.cn）；</w:t>
      </w:r>
    </w:p>
    <w:p w14:paraId="2A73385B">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rightChars="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kern w:val="0"/>
          <w:sz w:val="21"/>
          <w:szCs w:val="21"/>
          <w:highlight w:val="none"/>
          <w:lang w:val="en-US" w:eastAsia="zh-CN" w:bidi="ar-SA"/>
        </w:rPr>
        <w:t>（</w:t>
      </w:r>
      <w:r>
        <w:rPr>
          <w:rFonts w:hint="eastAsia" w:ascii="宋体" w:hAnsi="宋体" w:eastAsia="宋体" w:cs="宋体"/>
          <w:color w:val="auto"/>
          <w:kern w:val="0"/>
          <w:sz w:val="21"/>
          <w:szCs w:val="21"/>
          <w:highlight w:val="none"/>
          <w:lang w:val="en-US" w:eastAsia="zh-CN" w:bidi="ar-SA"/>
        </w:rPr>
        <w:t>4）</w:t>
      </w:r>
      <w:r>
        <w:rPr>
          <w:rFonts w:hint="eastAsia" w:ascii="宋体" w:hAnsi="宋体" w:cs="宋体"/>
          <w:color w:val="auto"/>
          <w:sz w:val="21"/>
          <w:szCs w:val="21"/>
          <w:highlight w:val="none"/>
          <w:lang w:val="en-US" w:eastAsia="zh-CN"/>
        </w:rPr>
        <w:t>供应商被政府采购监管部门列入政府采购严重违法失信行为记录名单的，</w:t>
      </w:r>
    </w:p>
    <w:p w14:paraId="3BA8026B">
      <w:pPr>
        <w:pStyle w:val="3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right="0" w:rightChars="0" w:firstLine="420" w:firstLineChars="200"/>
        <w:jc w:val="left"/>
        <w:textAlignment w:val="auto"/>
        <w:outlineLvl w:val="9"/>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中国政府采购官网（www.ccgp.gov.cn）。</w:t>
      </w:r>
    </w:p>
    <w:bookmarkEnd w:id="21"/>
    <w:bookmarkEnd w:id="22"/>
    <w:p w14:paraId="50C8F14B">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bookmarkStart w:id="23" w:name="_Toc18386"/>
      <w:r>
        <w:rPr>
          <w:rFonts w:hint="eastAsia" w:ascii="宋体" w:hAnsi="宋体" w:eastAsia="宋体" w:cs="宋体"/>
          <w:b w:val="0"/>
          <w:bCs/>
          <w:color w:val="auto"/>
          <w:sz w:val="21"/>
          <w:szCs w:val="21"/>
          <w:highlight w:val="none"/>
        </w:rPr>
        <w:t>三、招标文件获取时间</w:t>
      </w:r>
    </w:p>
    <w:p w14:paraId="2F2CEEB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本项目勿需报名，投标供应商于</w:t>
      </w:r>
      <w:r>
        <w:rPr>
          <w:rFonts w:hint="eastAsia" w:ascii="宋体" w:hAnsi="宋体" w:cs="宋体"/>
          <w:b w:val="0"/>
          <w:bCs/>
          <w:color w:val="auto"/>
          <w:sz w:val="21"/>
          <w:szCs w:val="21"/>
          <w:highlight w:val="none"/>
          <w:lang w:eastAsia="zh-CN"/>
        </w:rPr>
        <w:t>2025年12月8日</w:t>
      </w:r>
      <w:r>
        <w:rPr>
          <w:rFonts w:hint="eastAsia" w:ascii="宋体" w:hAnsi="宋体" w:eastAsia="宋体" w:cs="宋体"/>
          <w:b w:val="0"/>
          <w:bCs/>
          <w:color w:val="auto"/>
          <w:sz w:val="21"/>
          <w:szCs w:val="21"/>
          <w:highlight w:val="none"/>
        </w:rPr>
        <w:t>起（北京时间，下同）起自行登录安徽霍山国有资产投资控股集团有限公司（http</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//ahdmig.cn/）“招标采购”栏目中下载招标文件等相关资料。请投标供应商关注安徽霍山国有资产投资控股集团有限公司（http</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//ahdmig.cn/）“招标采购”“补充公告”中关于本项目的补遗、答疑等内容。</w:t>
      </w:r>
    </w:p>
    <w:p w14:paraId="44AD820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四、开标日期和地点</w:t>
      </w:r>
    </w:p>
    <w:p w14:paraId="1166147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rPr>
        <w:t>（一）开标日期：</w:t>
      </w:r>
      <w:r>
        <w:rPr>
          <w:rFonts w:hint="eastAsia" w:ascii="宋体" w:hAnsi="宋体" w:cs="宋体"/>
          <w:b w:val="0"/>
          <w:bCs/>
          <w:color w:val="auto"/>
          <w:sz w:val="21"/>
          <w:szCs w:val="21"/>
          <w:highlight w:val="none"/>
          <w:lang w:eastAsia="zh-CN"/>
        </w:rPr>
        <w:t>2025年12月11日09时00分</w:t>
      </w:r>
    </w:p>
    <w:p w14:paraId="68F2B2B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（二）开标地点：安徽大别山工程咨询有限公司开标厅201室（霍山县国投大厦）</w:t>
      </w:r>
    </w:p>
    <w:p w14:paraId="77A9143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五、联系方式</w:t>
      </w:r>
    </w:p>
    <w:p w14:paraId="6B02657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一)项目单位：</w:t>
      </w:r>
      <w:r>
        <w:rPr>
          <w:rFonts w:hint="eastAsia" w:ascii="宋体" w:hAnsi="宋体" w:cs="宋体"/>
          <w:b w:val="0"/>
          <w:bCs/>
          <w:color w:val="auto"/>
          <w:sz w:val="21"/>
          <w:szCs w:val="21"/>
          <w:highlight w:val="none"/>
          <w:lang w:eastAsia="zh-CN"/>
        </w:rPr>
        <w:t xml:space="preserve">安徽中京物业服务有限公司 </w:t>
      </w:r>
    </w:p>
    <w:p w14:paraId="47D03277">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地  址：</w:t>
      </w:r>
      <w:r>
        <w:rPr>
          <w:rFonts w:hint="eastAsia" w:ascii="宋体" w:hAnsi="宋体" w:cs="宋体"/>
          <w:b w:val="0"/>
          <w:bCs/>
          <w:color w:val="auto"/>
          <w:sz w:val="21"/>
          <w:szCs w:val="21"/>
          <w:highlight w:val="none"/>
          <w:lang w:eastAsia="zh-CN"/>
        </w:rPr>
        <w:t>霍山县国投大厦15楼</w:t>
      </w:r>
    </w:p>
    <w:p w14:paraId="05BB811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rPr>
      </w:pPr>
      <w:r>
        <w:rPr>
          <w:rFonts w:hint="eastAsia" w:ascii="宋体" w:hAnsi="宋体" w:eastAsia="宋体" w:cs="宋体"/>
          <w:b w:val="0"/>
          <w:bCs/>
          <w:color w:val="auto"/>
          <w:sz w:val="21"/>
          <w:szCs w:val="21"/>
          <w:highlight w:val="none"/>
        </w:rPr>
        <w:t>联系人：</w:t>
      </w:r>
      <w:r>
        <w:rPr>
          <w:rFonts w:hint="eastAsia" w:ascii="宋体" w:hAnsi="宋体" w:cs="宋体"/>
          <w:b w:val="0"/>
          <w:bCs/>
          <w:color w:val="auto"/>
          <w:sz w:val="21"/>
          <w:szCs w:val="21"/>
          <w:highlight w:val="none"/>
          <w:lang w:val="en-US" w:eastAsia="zh-CN"/>
        </w:rPr>
        <w:t>许先生</w:t>
      </w:r>
    </w:p>
    <w:p w14:paraId="2EADEC8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联系方式</w:t>
      </w:r>
      <w:r>
        <w:rPr>
          <w:rFonts w:hint="eastAsia" w:ascii="宋体" w:hAnsi="宋体" w:cs="宋体"/>
          <w:b w:val="0"/>
          <w:bCs/>
          <w:color w:val="auto"/>
          <w:sz w:val="21"/>
          <w:szCs w:val="21"/>
          <w:highlight w:val="none"/>
          <w:lang w:eastAsia="zh-CN"/>
        </w:rPr>
        <w:t>：0564-5020029</w:t>
      </w:r>
    </w:p>
    <w:p w14:paraId="08E89B4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二)代理机构：安徽大别山工程咨询有限公司</w:t>
      </w:r>
    </w:p>
    <w:p w14:paraId="1EAFDB03">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地  址：霍山县国投大厦2楼20</w:t>
      </w:r>
      <w:r>
        <w:rPr>
          <w:rFonts w:hint="eastAsia" w:ascii="宋体" w:hAnsi="宋体" w:cs="宋体"/>
          <w:b w:val="0"/>
          <w:bCs/>
          <w:color w:val="auto"/>
          <w:sz w:val="21"/>
          <w:szCs w:val="21"/>
          <w:highlight w:val="none"/>
          <w:lang w:val="en-US" w:eastAsia="zh-CN"/>
        </w:rPr>
        <w:t>4</w:t>
      </w:r>
      <w:r>
        <w:rPr>
          <w:rFonts w:hint="eastAsia" w:ascii="宋体" w:hAnsi="宋体" w:eastAsia="宋体" w:cs="宋体"/>
          <w:b w:val="0"/>
          <w:bCs/>
          <w:color w:val="auto"/>
          <w:sz w:val="21"/>
          <w:szCs w:val="21"/>
          <w:highlight w:val="none"/>
        </w:rPr>
        <w:t>室</w:t>
      </w:r>
    </w:p>
    <w:p w14:paraId="073ED1A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联系人：</w:t>
      </w:r>
      <w:r>
        <w:rPr>
          <w:rFonts w:hint="eastAsia" w:ascii="宋体" w:hAnsi="宋体" w:cs="宋体"/>
          <w:b w:val="0"/>
          <w:bCs/>
          <w:color w:val="auto"/>
          <w:sz w:val="21"/>
          <w:szCs w:val="21"/>
          <w:highlight w:val="none"/>
          <w:lang w:val="en-US" w:eastAsia="zh-CN"/>
        </w:rPr>
        <w:t>徐先生</w:t>
      </w:r>
    </w:p>
    <w:p w14:paraId="03D7964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联系方式：0564-5020033，</w:t>
      </w:r>
      <w:r>
        <w:rPr>
          <w:rFonts w:hint="eastAsia" w:ascii="宋体" w:hAnsi="宋体" w:cs="宋体"/>
          <w:b w:val="0"/>
          <w:bCs/>
          <w:color w:val="auto"/>
          <w:sz w:val="21"/>
          <w:szCs w:val="21"/>
          <w:highlight w:val="none"/>
          <w:lang w:val="en-US" w:eastAsia="zh-CN"/>
        </w:rPr>
        <w:t>17756405133</w:t>
      </w:r>
    </w:p>
    <w:p w14:paraId="1C5962D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（三）监督部门：安徽霍山国有资产投资控股集团有限公司纪检监察室</w:t>
      </w:r>
    </w:p>
    <w:p w14:paraId="0E5C1345">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地  址：霍山县国投大厦</w:t>
      </w:r>
      <w:r>
        <w:rPr>
          <w:rFonts w:hint="eastAsia" w:ascii="宋体" w:hAnsi="宋体" w:eastAsia="宋体" w:cs="宋体"/>
          <w:b w:val="0"/>
          <w:bCs/>
          <w:color w:val="auto"/>
          <w:sz w:val="21"/>
          <w:szCs w:val="21"/>
          <w:highlight w:val="none"/>
          <w:lang w:val="en-US" w:eastAsia="zh-CN"/>
        </w:rPr>
        <w:t>16</w:t>
      </w:r>
      <w:r>
        <w:rPr>
          <w:rFonts w:hint="eastAsia" w:ascii="宋体" w:hAnsi="宋体" w:eastAsia="宋体" w:cs="宋体"/>
          <w:b w:val="0"/>
          <w:bCs/>
          <w:color w:val="auto"/>
          <w:sz w:val="21"/>
          <w:szCs w:val="21"/>
          <w:highlight w:val="none"/>
        </w:rPr>
        <w:t>楼</w:t>
      </w:r>
      <w:r>
        <w:rPr>
          <w:rFonts w:hint="eastAsia" w:ascii="宋体" w:hAnsi="宋体" w:cs="宋体"/>
          <w:b w:val="0"/>
          <w:bCs/>
          <w:color w:val="auto"/>
          <w:sz w:val="21"/>
          <w:szCs w:val="21"/>
          <w:highlight w:val="none"/>
          <w:lang w:val="en-US" w:eastAsia="zh-CN"/>
        </w:rPr>
        <w:t>1607室</w:t>
      </w:r>
    </w:p>
    <w:p w14:paraId="33F9F7C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rPr>
        <w:t>联系人：张</w:t>
      </w:r>
      <w:r>
        <w:rPr>
          <w:rFonts w:hint="eastAsia" w:ascii="宋体" w:hAnsi="宋体" w:cs="宋体"/>
          <w:b w:val="0"/>
          <w:bCs/>
          <w:color w:val="auto"/>
          <w:sz w:val="21"/>
          <w:szCs w:val="21"/>
          <w:highlight w:val="none"/>
          <w:lang w:val="en-US" w:eastAsia="zh-CN"/>
        </w:rPr>
        <w:t>先生</w:t>
      </w:r>
    </w:p>
    <w:p w14:paraId="69966B06">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电  话：0564-5020180</w:t>
      </w:r>
    </w:p>
    <w:p w14:paraId="6901DA8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六、发布媒介</w:t>
      </w:r>
    </w:p>
    <w:p w14:paraId="7B45D89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 w:val="0"/>
          <w:bCs/>
          <w:color w:val="auto"/>
          <w:sz w:val="21"/>
          <w:szCs w:val="21"/>
          <w:highlight w:val="none"/>
          <w:lang w:eastAsia="zh-CN"/>
        </w:rPr>
      </w:pPr>
      <w:r>
        <w:rPr>
          <w:rFonts w:hint="eastAsia" w:ascii="宋体" w:hAnsi="宋体" w:eastAsia="宋体" w:cs="宋体"/>
          <w:b w:val="0"/>
          <w:bCs/>
          <w:color w:val="auto"/>
          <w:sz w:val="21"/>
          <w:szCs w:val="21"/>
          <w:highlight w:val="none"/>
        </w:rPr>
        <w:t>安徽霍山国有资产投资控股集团有限公司（http</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//ahdmig.cn/）</w:t>
      </w:r>
      <w:r>
        <w:rPr>
          <w:rFonts w:hint="eastAsia" w:ascii="宋体" w:hAnsi="宋体" w:cs="宋体"/>
          <w:b w:val="0"/>
          <w:bCs/>
          <w:color w:val="auto"/>
          <w:sz w:val="21"/>
          <w:szCs w:val="21"/>
          <w:highlight w:val="none"/>
          <w:lang w:eastAsia="zh-CN"/>
        </w:rPr>
        <w:t>。</w:t>
      </w:r>
    </w:p>
    <w:p w14:paraId="0BB236AA">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cs="宋体"/>
          <w:b w:val="0"/>
          <w:bCs/>
          <w:color w:val="auto"/>
          <w:sz w:val="21"/>
          <w:szCs w:val="21"/>
          <w:highlight w:val="none"/>
          <w:lang w:eastAsia="zh-CN"/>
        </w:rPr>
      </w:pPr>
    </w:p>
    <w:p w14:paraId="3A0678CE">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b w:val="0"/>
          <w:bCs/>
          <w:color w:val="auto"/>
          <w:sz w:val="21"/>
          <w:szCs w:val="21"/>
          <w:highlight w:val="none"/>
          <w:lang w:eastAsia="zh-CN"/>
        </w:rPr>
      </w:pPr>
      <w:r>
        <w:rPr>
          <w:rFonts w:hint="eastAsia" w:ascii="宋体" w:hAnsi="宋体" w:cs="宋体"/>
          <w:b w:val="0"/>
          <w:bCs/>
          <w:color w:val="auto"/>
          <w:sz w:val="21"/>
          <w:szCs w:val="21"/>
          <w:highlight w:val="none"/>
          <w:lang w:eastAsia="zh-CN"/>
        </w:rPr>
        <w:t>安徽中京物业服务有限公司</w:t>
      </w:r>
    </w:p>
    <w:p w14:paraId="6C198FF5">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安徽大别山工程咨询有限公司</w:t>
      </w:r>
    </w:p>
    <w:p w14:paraId="30BEA341">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cs="宋体"/>
          <w:b w:val="0"/>
          <w:bCs/>
          <w:color w:val="auto"/>
          <w:sz w:val="21"/>
          <w:szCs w:val="21"/>
          <w:highlight w:val="none"/>
          <w:lang w:eastAsia="zh-CN"/>
        </w:rPr>
      </w:pPr>
      <w:r>
        <w:rPr>
          <w:rFonts w:hint="eastAsia" w:ascii="宋体" w:hAnsi="宋体" w:cs="宋体"/>
          <w:b w:val="0"/>
          <w:bCs/>
          <w:color w:val="auto"/>
          <w:sz w:val="21"/>
          <w:szCs w:val="21"/>
          <w:highlight w:val="none"/>
          <w:lang w:eastAsia="zh-CN"/>
        </w:rPr>
        <w:t>2025年12月8日</w:t>
      </w:r>
    </w:p>
    <w:p w14:paraId="7B64C815">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42F8C6F9">
      <w:pPr>
        <w:keepNext w:val="0"/>
        <w:keepLines w:val="0"/>
        <w:pageBreakBefore w:val="0"/>
        <w:widowControl w:val="0"/>
        <w:kinsoku/>
        <w:wordWrap/>
        <w:overflowPunct/>
        <w:topLinePunct w:val="0"/>
        <w:autoSpaceDE/>
        <w:autoSpaceDN/>
        <w:bidi w:val="0"/>
        <w:adjustRightInd w:val="0"/>
        <w:snapToGrid w:val="0"/>
        <w:spacing w:line="480" w:lineRule="auto"/>
        <w:jc w:val="center"/>
        <w:textAlignment w:val="auto"/>
        <w:outlineLvl w:val="0"/>
        <w:rPr>
          <w:b/>
          <w:bCs/>
          <w:color w:val="auto"/>
          <w:sz w:val="32"/>
          <w:szCs w:val="32"/>
          <w:highlight w:val="none"/>
        </w:rPr>
      </w:pPr>
      <w:bookmarkStart w:id="24" w:name="_Toc9266"/>
      <w:bookmarkStart w:id="25" w:name="_Toc1619"/>
      <w:bookmarkStart w:id="26" w:name="_Toc22581"/>
      <w:bookmarkStart w:id="27" w:name="_Toc9928"/>
      <w:r>
        <w:rPr>
          <w:rFonts w:hint="eastAsia"/>
          <w:b/>
          <w:bCs/>
          <w:color w:val="auto"/>
          <w:sz w:val="32"/>
          <w:szCs w:val="32"/>
          <w:highlight w:val="none"/>
          <w:lang w:val="en-US" w:eastAsia="zh-CN"/>
        </w:rPr>
        <w:t xml:space="preserve">第二章  </w:t>
      </w:r>
      <w:r>
        <w:rPr>
          <w:rFonts w:hint="eastAsia"/>
          <w:b/>
          <w:bCs/>
          <w:color w:val="auto"/>
          <w:sz w:val="32"/>
          <w:szCs w:val="32"/>
          <w:highlight w:val="none"/>
        </w:rPr>
        <w:t>供应商须知</w:t>
      </w:r>
      <w:bookmarkEnd w:id="2"/>
      <w:bookmarkEnd w:id="3"/>
      <w:bookmarkEnd w:id="23"/>
      <w:bookmarkEnd w:id="24"/>
      <w:bookmarkEnd w:id="25"/>
      <w:bookmarkEnd w:id="26"/>
      <w:bookmarkEnd w:id="27"/>
    </w:p>
    <w:p w14:paraId="03AC77EC">
      <w:pPr>
        <w:keepNext w:val="0"/>
        <w:keepLines w:val="0"/>
        <w:pageBreakBefore w:val="0"/>
        <w:widowControl/>
        <w:shd w:val="clear" w:color="auto" w:fill="FFFFFF"/>
        <w:kinsoku/>
        <w:wordWrap/>
        <w:overflowPunct/>
        <w:topLinePunct w:val="0"/>
        <w:autoSpaceDE/>
        <w:autoSpaceDN/>
        <w:bidi w:val="0"/>
        <w:adjustRightInd w:val="0"/>
        <w:snapToGrid w:val="0"/>
        <w:spacing w:line="480" w:lineRule="auto"/>
        <w:jc w:val="center"/>
        <w:textAlignment w:val="auto"/>
        <w:outlineLvl w:val="1"/>
        <w:rPr>
          <w:rFonts w:hint="eastAsia" w:ascii="宋体" w:hAnsi="宋体" w:eastAsia="宋体" w:cs="宋体"/>
          <w:b/>
          <w:bCs/>
          <w:color w:val="auto"/>
          <w:kern w:val="0"/>
          <w:sz w:val="30"/>
          <w:szCs w:val="30"/>
          <w:highlight w:val="none"/>
          <w:lang w:val="zh-CN"/>
        </w:rPr>
      </w:pPr>
      <w:r>
        <w:rPr>
          <w:rFonts w:hint="eastAsia" w:ascii="宋体" w:hAnsi="宋体" w:eastAsia="宋体" w:cs="宋体"/>
          <w:b/>
          <w:bCs/>
          <w:color w:val="auto"/>
          <w:kern w:val="0"/>
          <w:sz w:val="30"/>
          <w:szCs w:val="30"/>
          <w:highlight w:val="none"/>
        </w:rPr>
        <w:t>一、</w:t>
      </w:r>
      <w:r>
        <w:rPr>
          <w:rFonts w:hint="eastAsia" w:ascii="宋体" w:hAnsi="宋体" w:eastAsia="宋体" w:cs="宋体"/>
          <w:b/>
          <w:bCs/>
          <w:color w:val="auto"/>
          <w:kern w:val="0"/>
          <w:sz w:val="30"/>
          <w:szCs w:val="30"/>
          <w:highlight w:val="none"/>
          <w:lang w:val="zh-CN"/>
        </w:rPr>
        <w:t>供应商须知前附表</w:t>
      </w:r>
    </w:p>
    <w:tbl>
      <w:tblPr>
        <w:tblStyle w:val="37"/>
        <w:tblW w:w="1004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67"/>
        <w:gridCol w:w="2190"/>
        <w:gridCol w:w="7090"/>
      </w:tblGrid>
      <w:tr w14:paraId="72A23F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44FBB37">
            <w:pPr>
              <w:adjustRightInd w:val="0"/>
              <w:snapToGrid w:val="0"/>
              <w:spacing w:line="360" w:lineRule="exact"/>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AC8011F">
            <w:pPr>
              <w:adjustRightInd w:val="0"/>
              <w:snapToGrid w:val="0"/>
              <w:spacing w:line="36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内  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E1D04AE">
            <w:pPr>
              <w:tabs>
                <w:tab w:val="left" w:pos="1180"/>
              </w:tabs>
              <w:adjustRightInd w:val="0"/>
              <w:snapToGrid w:val="0"/>
              <w:spacing w:line="36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说明与要求</w:t>
            </w:r>
          </w:p>
        </w:tc>
      </w:tr>
      <w:tr w14:paraId="07B155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3CBABC0">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60175E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C64FF1F">
            <w:pPr>
              <w:adjustRightInd w:val="0"/>
              <w:snapToGrid w:val="0"/>
              <w:spacing w:line="310" w:lineRule="exact"/>
              <w:rPr>
                <w:rFonts w:hint="default" w:ascii="宋体" w:hAnsi="宋体" w:cs="宋体"/>
                <w:color w:val="auto"/>
                <w:szCs w:val="21"/>
                <w:highlight w:val="none"/>
                <w:lang w:val="en-US"/>
              </w:rPr>
            </w:pPr>
            <w:r>
              <w:rPr>
                <w:rFonts w:hint="eastAsia" w:ascii="宋体" w:hAnsi="宋体" w:cs="宋体"/>
                <w:color w:val="auto"/>
                <w:sz w:val="21"/>
                <w:szCs w:val="21"/>
                <w:highlight w:val="none"/>
                <w:lang w:val="en-US" w:eastAsia="zh-CN"/>
              </w:rPr>
              <w:t>霍山东大街特色街区、大别山两山学院消防维保服务项目</w:t>
            </w:r>
          </w:p>
        </w:tc>
      </w:tr>
      <w:tr w14:paraId="60148F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2"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92C47F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E767347">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项目性质</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A389EDB">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val="en-US" w:eastAsia="zh-CN"/>
              </w:rPr>
              <w:t>服务类</w:t>
            </w:r>
          </w:p>
        </w:tc>
      </w:tr>
      <w:tr w14:paraId="7ACD5D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4E0CE3A">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E7E7F27">
            <w:pPr>
              <w:adjustRightInd w:val="0"/>
              <w:snapToGrid w:val="0"/>
              <w:spacing w:line="310" w:lineRule="exact"/>
              <w:rPr>
                <w:rFonts w:hint="eastAsia" w:ascii="Times New Roman" w:hAnsi="Times New Roman" w:eastAsia="宋体" w:cs="Arial"/>
                <w:color w:val="auto"/>
                <w:szCs w:val="21"/>
                <w:highlight w:val="none"/>
                <w:lang w:eastAsia="zh-CN"/>
              </w:rPr>
            </w:pPr>
            <w:r>
              <w:rPr>
                <w:rFonts w:hint="eastAsia" w:ascii="Times New Roman" w:hAnsi="Times New Roman" w:eastAsia="宋体" w:cs="Arial"/>
                <w:color w:val="auto"/>
                <w:szCs w:val="21"/>
                <w:highlight w:val="none"/>
                <w:lang w:eastAsia="zh-CN"/>
              </w:rPr>
              <w:t>采购单位</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D750A16">
            <w:pPr>
              <w:adjustRightInd w:val="0"/>
              <w:snapToGrid w:val="0"/>
              <w:spacing w:line="310" w:lineRule="exact"/>
              <w:rPr>
                <w:rFonts w:hint="eastAsia" w:ascii="宋体" w:hAnsi="宋体" w:cs="宋体"/>
                <w:color w:val="auto"/>
                <w:highlight w:val="none"/>
                <w:lang w:eastAsia="zh-CN"/>
              </w:rPr>
            </w:pPr>
            <w:r>
              <w:rPr>
                <w:rFonts w:hint="eastAsia" w:ascii="宋体" w:hAnsi="宋体" w:cs="宋体"/>
                <w:color w:val="auto"/>
                <w:highlight w:val="none"/>
                <w:lang w:eastAsia="zh-CN"/>
              </w:rPr>
              <w:t>安徽中京物业服务有限公司</w:t>
            </w:r>
          </w:p>
          <w:p w14:paraId="206649A3">
            <w:pPr>
              <w:adjustRightInd w:val="0"/>
              <w:snapToGrid w:val="0"/>
              <w:spacing w:line="310" w:lineRule="exact"/>
              <w:rPr>
                <w:rFonts w:hint="default" w:ascii="宋体" w:hAnsi="宋体" w:cs="宋体"/>
                <w:color w:val="auto"/>
                <w:highlight w:val="none"/>
                <w:lang w:val="en-US" w:eastAsia="zh-CN"/>
              </w:rPr>
            </w:pPr>
            <w:r>
              <w:rPr>
                <w:rFonts w:hint="eastAsia" w:ascii="宋体" w:hAnsi="宋体" w:cs="宋体"/>
                <w:color w:val="auto"/>
                <w:highlight w:val="none"/>
                <w:lang w:eastAsia="zh-CN"/>
              </w:rPr>
              <w:t>地址：霍山县国投大厦15楼</w:t>
            </w:r>
          </w:p>
          <w:p w14:paraId="64617DE1">
            <w:pPr>
              <w:adjustRightInd w:val="0"/>
              <w:snapToGrid w:val="0"/>
              <w:spacing w:line="310" w:lineRule="exact"/>
              <w:rPr>
                <w:rFonts w:hint="default" w:ascii="宋体" w:hAnsi="宋体" w:cs="宋体"/>
                <w:color w:val="auto"/>
                <w:highlight w:val="none"/>
                <w:lang w:val="en-US" w:eastAsia="zh-CN"/>
              </w:rPr>
            </w:pPr>
            <w:r>
              <w:rPr>
                <w:rFonts w:hint="eastAsia" w:ascii="宋体" w:hAnsi="宋体" w:cs="宋体"/>
                <w:color w:val="auto"/>
                <w:highlight w:val="none"/>
                <w:lang w:eastAsia="zh-CN"/>
              </w:rPr>
              <w:t>联系人：</w:t>
            </w:r>
            <w:r>
              <w:rPr>
                <w:rFonts w:hint="eastAsia" w:ascii="宋体" w:hAnsi="宋体" w:cs="宋体"/>
                <w:color w:val="auto"/>
                <w:highlight w:val="none"/>
                <w:lang w:val="en-US" w:eastAsia="zh-CN"/>
              </w:rPr>
              <w:t>许先生</w:t>
            </w:r>
          </w:p>
          <w:p w14:paraId="4A3584F4">
            <w:pPr>
              <w:adjustRightInd w:val="0"/>
              <w:snapToGrid w:val="0"/>
              <w:spacing w:line="310" w:lineRule="exact"/>
              <w:rPr>
                <w:rFonts w:hint="default" w:ascii="Times New Roman" w:hAnsi="Times New Roman" w:eastAsia="宋体" w:cs="Arial"/>
                <w:color w:val="auto"/>
                <w:szCs w:val="21"/>
                <w:highlight w:val="none"/>
                <w:lang w:val="en-US" w:eastAsia="zh-CN"/>
              </w:rPr>
            </w:pPr>
            <w:r>
              <w:rPr>
                <w:rFonts w:hint="eastAsia" w:ascii="宋体" w:hAnsi="宋体" w:cs="宋体"/>
                <w:color w:val="auto"/>
                <w:highlight w:val="none"/>
                <w:lang w:eastAsia="zh-CN"/>
              </w:rPr>
              <w:t>联系方式：0564-5020029</w:t>
            </w:r>
          </w:p>
        </w:tc>
      </w:tr>
      <w:tr w14:paraId="40F3DF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6"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F042CB4">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F25DAD4">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代理机构</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C84BF37">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代理机构：安徽大别山工程咨询有限公司</w:t>
            </w:r>
          </w:p>
          <w:p w14:paraId="160A6C53">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地址：霍山县国投大厦2楼20</w:t>
            </w:r>
            <w:r>
              <w:rPr>
                <w:rFonts w:hint="eastAsia" w:ascii="宋体" w:hAnsi="宋体" w:cs="宋体"/>
                <w:color w:val="auto"/>
                <w:highlight w:val="none"/>
                <w:lang w:val="en-US" w:eastAsia="zh-CN"/>
              </w:rPr>
              <w:t>4</w:t>
            </w:r>
            <w:r>
              <w:rPr>
                <w:rFonts w:hint="default" w:ascii="宋体" w:hAnsi="宋体" w:eastAsia="宋体" w:cs="宋体"/>
                <w:color w:val="auto"/>
                <w:highlight w:val="none"/>
                <w:lang w:val="en-US" w:eastAsia="zh-CN"/>
              </w:rPr>
              <w:t>室</w:t>
            </w:r>
          </w:p>
          <w:p w14:paraId="5E02F090">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联系人：</w:t>
            </w:r>
            <w:r>
              <w:rPr>
                <w:rFonts w:hint="eastAsia" w:ascii="宋体" w:hAnsi="宋体" w:cs="宋体"/>
                <w:color w:val="auto"/>
                <w:highlight w:val="none"/>
                <w:lang w:val="en-US" w:eastAsia="zh-CN"/>
              </w:rPr>
              <w:t>徐先生</w:t>
            </w:r>
          </w:p>
          <w:p w14:paraId="6A65E970">
            <w:pPr>
              <w:adjustRightInd w:val="0"/>
              <w:snapToGrid w:val="0"/>
              <w:spacing w:line="310" w:lineRule="exact"/>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电话：0564-5020033，</w:t>
            </w:r>
            <w:r>
              <w:rPr>
                <w:rFonts w:hint="eastAsia" w:ascii="宋体" w:hAnsi="宋体" w:cs="宋体"/>
                <w:color w:val="auto"/>
                <w:highlight w:val="none"/>
                <w:lang w:val="en-US" w:eastAsia="zh-CN"/>
              </w:rPr>
              <w:t>17756405133</w:t>
            </w:r>
          </w:p>
        </w:tc>
      </w:tr>
      <w:tr w14:paraId="26E70F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2"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383AB29">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0E71F53">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采购方式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2232D22">
            <w:pPr>
              <w:adjustRightInd w:val="0"/>
              <w:snapToGrid w:val="0"/>
              <w:spacing w:line="310" w:lineRule="exact"/>
              <w:rPr>
                <w:rFonts w:hint="eastAsia" w:ascii="宋体" w:hAnsi="宋体" w:eastAsia="宋体" w:cs="宋体"/>
                <w:color w:val="auto"/>
                <w:highlight w:val="none"/>
                <w:lang w:eastAsia="zh-CN"/>
              </w:rPr>
            </w:pPr>
            <w:r>
              <w:rPr>
                <w:rFonts w:hint="eastAsia" w:ascii="宋体" w:hAnsi="宋体" w:cs="宋体"/>
                <w:color w:val="auto"/>
                <w:highlight w:val="none"/>
                <w:lang w:eastAsia="zh-CN"/>
              </w:rPr>
              <w:t>竞争谈判</w:t>
            </w:r>
          </w:p>
        </w:tc>
      </w:tr>
      <w:tr w14:paraId="224262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1"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1D5945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1D3452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资金来源</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71F3367">
            <w:pPr>
              <w:adjustRightInd w:val="0"/>
              <w:snapToGrid w:val="0"/>
              <w:spacing w:line="310" w:lineRule="exact"/>
              <w:rPr>
                <w:rFonts w:hint="eastAsia" w:ascii="宋体" w:hAnsi="宋体" w:cs="宋体"/>
                <w:color w:val="auto"/>
                <w:highlight w:val="none"/>
              </w:rPr>
            </w:pPr>
            <w:r>
              <w:rPr>
                <w:rFonts w:hint="eastAsia" w:ascii="宋体" w:hAnsi="宋体" w:cs="宋体"/>
                <w:color w:val="auto"/>
                <w:highlight w:val="none"/>
                <w:lang w:val="en-US" w:eastAsia="zh-CN"/>
              </w:rPr>
              <w:t>自筹资金</w:t>
            </w:r>
          </w:p>
        </w:tc>
      </w:tr>
      <w:tr w14:paraId="6FE2F1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378C290">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2EDB78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cs="宋体"/>
                <w:color w:val="auto"/>
                <w:szCs w:val="21"/>
                <w:highlight w:val="none"/>
              </w:rPr>
            </w:pPr>
            <w:r>
              <w:rPr>
                <w:rFonts w:hint="eastAsia" w:ascii="宋体" w:hAnsi="宋体" w:cs="宋体"/>
                <w:color w:val="auto"/>
                <w:szCs w:val="21"/>
                <w:highlight w:val="none"/>
              </w:rPr>
              <w:t>项目内容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1B21BBFE">
            <w:pPr>
              <w:keepNext w:val="0"/>
              <w:keepLines w:val="0"/>
              <w:pageBreakBefore w:val="0"/>
              <w:widowControl w:val="0"/>
              <w:kinsoku/>
              <w:wordWrap/>
              <w:overflowPunct/>
              <w:topLinePunct w:val="0"/>
              <w:autoSpaceDE/>
              <w:autoSpaceDN/>
              <w:bidi w:val="0"/>
              <w:spacing w:line="240" w:lineRule="auto"/>
              <w:jc w:val="both"/>
              <w:textAlignment w:val="auto"/>
              <w:rPr>
                <w:rFonts w:hint="default"/>
                <w:color w:val="auto"/>
                <w:highlight w:val="none"/>
                <w:lang w:val="en-US"/>
              </w:rPr>
            </w:pPr>
            <w:r>
              <w:rPr>
                <w:rFonts w:hint="eastAsia"/>
                <w:color w:val="auto"/>
                <w:highlight w:val="none"/>
                <w:lang w:eastAsia="zh-CN"/>
              </w:rPr>
              <w:t>详见谈判公告。</w:t>
            </w:r>
          </w:p>
        </w:tc>
      </w:tr>
      <w:tr w14:paraId="077BF4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B1CE56E">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8</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5BAB8594">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cs="宋体"/>
                <w:color w:val="auto"/>
                <w:szCs w:val="21"/>
                <w:highlight w:val="none"/>
              </w:rPr>
            </w:pPr>
            <w:r>
              <w:rPr>
                <w:rFonts w:hint="eastAsia" w:ascii="宋体" w:hAnsi="宋体" w:cs="宋体"/>
                <w:color w:val="auto"/>
                <w:szCs w:val="21"/>
                <w:highlight w:val="none"/>
              </w:rPr>
              <w:t>供应商资格要求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769F5CA">
            <w:pPr>
              <w:keepNext w:val="0"/>
              <w:keepLines w:val="0"/>
              <w:pageBreakBefore w:val="0"/>
              <w:widowControl w:val="0"/>
              <w:shd w:val="clear" w:color="auto" w:fill="FFFFFF"/>
              <w:kinsoku/>
              <w:wordWrap/>
              <w:overflowPunct/>
              <w:topLinePunct w:val="0"/>
              <w:autoSpaceDE/>
              <w:autoSpaceDN/>
              <w:bidi w:val="0"/>
              <w:adjustRightInd w:val="0"/>
              <w:snapToGrid w:val="0"/>
              <w:spacing w:line="240" w:lineRule="auto"/>
              <w:jc w:val="both"/>
              <w:textAlignment w:val="auto"/>
              <w:rPr>
                <w:rFonts w:hint="eastAsia" w:eastAsia="宋体"/>
                <w:color w:val="auto"/>
                <w:highlight w:val="none"/>
                <w:lang w:eastAsia="zh-CN"/>
              </w:rPr>
            </w:pPr>
            <w:r>
              <w:rPr>
                <w:rFonts w:hint="eastAsia"/>
                <w:color w:val="auto"/>
                <w:highlight w:val="none"/>
                <w:lang w:eastAsia="zh-CN"/>
              </w:rPr>
              <w:t>详见谈判公告。</w:t>
            </w:r>
          </w:p>
        </w:tc>
      </w:tr>
      <w:tr w14:paraId="72268D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2840842">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9</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5A283FFB">
            <w:pPr>
              <w:pStyle w:val="101"/>
              <w:pBdr>
                <w:bottom w:val="none" w:color="auto" w:sz="0" w:space="0"/>
              </w:pBdr>
              <w:tabs>
                <w:tab w:val="clear" w:pos="4153"/>
                <w:tab w:val="clear" w:pos="8306"/>
              </w:tabs>
              <w:adjustRightInd/>
              <w:spacing w:line="460" w:lineRule="exact"/>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询问、质疑</w:t>
            </w:r>
          </w:p>
          <w:p w14:paraId="0FD216B6">
            <w:pPr>
              <w:shd w:val="solid" w:color="FFFFFF" w:fill="auto"/>
              <w:adjustRightInd w:val="0"/>
              <w:snapToGrid w:val="0"/>
              <w:spacing w:line="310" w:lineRule="exact"/>
              <w:rPr>
                <w:rFonts w:hint="eastAsia" w:ascii="宋体" w:hAnsi="宋体" w:cs="宋体"/>
                <w:color w:val="auto"/>
                <w:szCs w:val="21"/>
                <w:highlight w:val="none"/>
              </w:rPr>
            </w:pP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CE5FFCB">
            <w:pPr>
              <w:widowControl/>
              <w:shd w:val="clear" w:color="auto" w:fill="FFFFFF"/>
              <w:adjustRightInd w:val="0"/>
              <w:snapToGrid w:val="0"/>
              <w:spacing w:line="36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供应商如果对</w:t>
            </w:r>
            <w:r>
              <w:rPr>
                <w:rFonts w:hint="eastAsia" w:ascii="宋体" w:hAnsi="宋体" w:eastAsia="宋体" w:cs="宋体"/>
                <w:color w:val="auto"/>
                <w:highlight w:val="none"/>
                <w:lang w:val="en-US" w:eastAsia="zh-CN"/>
              </w:rPr>
              <w:t>招标</w:t>
            </w:r>
            <w:r>
              <w:rPr>
                <w:rFonts w:hint="eastAsia" w:ascii="宋体" w:hAnsi="宋体" w:eastAsia="宋体" w:cs="宋体"/>
                <w:color w:val="auto"/>
                <w:highlight w:val="none"/>
              </w:rPr>
              <w:t>文件存在误解或理解不清，可以按以下方式提出询问：</w:t>
            </w:r>
            <w:r>
              <w:rPr>
                <w:rFonts w:hint="eastAsia" w:ascii="宋体" w:hAnsi="宋体" w:eastAsia="宋体" w:cs="宋体"/>
                <w:color w:val="auto"/>
                <w:highlight w:val="none"/>
                <w:lang w:eastAsia="zh-CN"/>
              </w:rPr>
              <w:t>谈判截止日期前</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lang w:eastAsia="zh-CN"/>
              </w:rPr>
              <w:t>天</w:t>
            </w:r>
            <w:r>
              <w:rPr>
                <w:rFonts w:hint="eastAsia" w:ascii="宋体" w:hAnsi="宋体" w:eastAsia="宋体" w:cs="宋体"/>
                <w:color w:val="auto"/>
                <w:highlight w:val="none"/>
              </w:rPr>
              <w:t>前提交电子版发至邮</w:t>
            </w:r>
            <w:r>
              <w:rPr>
                <w:rFonts w:hint="eastAsia" w:ascii="宋体" w:hAnsi="宋体" w:eastAsia="宋体" w:cs="宋体"/>
                <w:color w:val="auto"/>
                <w:highlight w:val="none"/>
                <w:lang w:val="en-US" w:eastAsia="zh-CN"/>
              </w:rPr>
              <w:t>2778078886</w:t>
            </w:r>
            <w:r>
              <w:rPr>
                <w:rFonts w:hint="eastAsia" w:ascii="宋体" w:hAnsi="宋体" w:eastAsia="宋体" w:cs="宋体"/>
                <w:color w:val="auto"/>
                <w:highlight w:val="none"/>
              </w:rPr>
              <w:t>@qq.com。逾期不予受理（不得署名）。</w:t>
            </w:r>
          </w:p>
          <w:p w14:paraId="65DC860B">
            <w:pPr>
              <w:widowControl/>
              <w:shd w:val="clear" w:color="auto" w:fill="FFFFFF"/>
              <w:adjustRightInd w:val="0"/>
              <w:snapToGrid w:val="0"/>
              <w:spacing w:line="36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答复：</w:t>
            </w:r>
            <w:r>
              <w:rPr>
                <w:rFonts w:hint="eastAsia" w:ascii="宋体" w:hAnsi="宋体" w:eastAsia="宋体" w:cs="宋体"/>
                <w:color w:val="auto"/>
                <w:highlight w:val="none"/>
                <w:lang w:eastAsia="zh-CN"/>
              </w:rPr>
              <w:t>谈判截止日期前</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天</w:t>
            </w:r>
            <w:r>
              <w:rPr>
                <w:rFonts w:hint="eastAsia" w:ascii="宋体" w:hAnsi="宋体" w:eastAsia="宋体" w:cs="宋体"/>
                <w:color w:val="auto"/>
                <w:highlight w:val="none"/>
              </w:rPr>
              <w:t>前于“</w:t>
            </w:r>
            <w:r>
              <w:rPr>
                <w:rFonts w:hint="eastAsia" w:ascii="宋体" w:hAnsi="宋体" w:eastAsia="宋体" w:cs="宋体"/>
                <w:color w:val="auto"/>
                <w:highlight w:val="none"/>
                <w:lang w:eastAsia="zh-CN"/>
              </w:rPr>
              <w:t>安徽霍山国有资产投资控股集团有限公司</w:t>
            </w:r>
            <w:r>
              <w:rPr>
                <w:rFonts w:hint="eastAsia" w:ascii="宋体" w:hAnsi="宋体" w:eastAsia="宋体" w:cs="宋体"/>
                <w:color w:val="auto"/>
                <w:highlight w:val="none"/>
              </w:rPr>
              <w:t>（http</w:t>
            </w:r>
            <w:r>
              <w:rPr>
                <w:rFonts w:hint="eastAsia" w:ascii="宋体" w:hAnsi="宋体" w:cs="宋体"/>
                <w:color w:val="auto"/>
                <w:highlight w:val="none"/>
                <w:lang w:eastAsia="zh-CN"/>
              </w:rPr>
              <w:t>：</w:t>
            </w:r>
            <w:r>
              <w:rPr>
                <w:rFonts w:hint="eastAsia" w:ascii="宋体" w:hAnsi="宋体" w:eastAsia="宋体" w:cs="宋体"/>
                <w:color w:val="auto"/>
                <w:highlight w:val="none"/>
              </w:rPr>
              <w:t>//ahdmig.cn/）”发布，</w:t>
            </w:r>
            <w:r>
              <w:rPr>
                <w:rFonts w:hint="eastAsia" w:ascii="宋体" w:hAnsi="宋体" w:eastAsia="宋体" w:cs="宋体"/>
                <w:color w:val="auto"/>
                <w:highlight w:val="none"/>
                <w:lang w:val="en-US" w:eastAsia="zh-CN"/>
              </w:rPr>
              <w:t>采购</w:t>
            </w:r>
            <w:r>
              <w:rPr>
                <w:rFonts w:hint="eastAsia" w:ascii="宋体" w:hAnsi="宋体" w:eastAsia="宋体" w:cs="宋体"/>
                <w:color w:val="auto"/>
                <w:highlight w:val="none"/>
              </w:rPr>
              <w:t>人不再另行通知，该答复内容为招标文件的组成部分，对供应商具有同样约束力效力。</w:t>
            </w:r>
          </w:p>
          <w:p w14:paraId="1BF1C754">
            <w:pPr>
              <w:widowControl/>
              <w:shd w:val="clear" w:color="auto" w:fill="FFFFFF"/>
              <w:adjustRightInd w:val="0"/>
              <w:snapToGrid w:val="0"/>
              <w:spacing w:line="360" w:lineRule="exact"/>
              <w:ind w:firstLine="420" w:firstLineChars="200"/>
              <w:jc w:val="left"/>
              <w:rPr>
                <w:rFonts w:hint="eastAsia" w:ascii="宋体" w:hAnsi="宋体" w:cs="宋体"/>
                <w:color w:val="auto"/>
                <w:highlight w:val="none"/>
              </w:rPr>
            </w:pPr>
            <w:r>
              <w:rPr>
                <w:rFonts w:hint="eastAsia" w:ascii="宋体" w:hAnsi="宋体" w:cs="宋体"/>
                <w:color w:val="auto"/>
                <w:highlight w:val="none"/>
              </w:rPr>
              <w:t>供应商如果认为自己的权益受到损害，请按招标文件质疑与投诉规定，提出质疑。供应商在递交质疑函纸质版的同时，必须将与纸质版质疑函一致的电子版（</w:t>
            </w:r>
            <w:r>
              <w:rPr>
                <w:rFonts w:hint="eastAsia" w:ascii="宋体" w:hAnsi="宋体" w:eastAsia="宋体" w:cs="宋体"/>
                <w:color w:val="auto"/>
                <w:highlight w:val="none"/>
              </w:rPr>
              <w:t xml:space="preserve">为 word 或 </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"mailto:wps,可编辑模式）发送至729311153@qq.com邮箱。质疑须在开标2020年"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wps,可编辑模式）发送</w:t>
            </w:r>
            <w:r>
              <w:rPr>
                <w:rFonts w:hint="eastAsia" w:ascii="宋体" w:hAnsi="宋体" w:eastAsia="宋体" w:cs="宋体"/>
                <w:color w:val="auto"/>
                <w:highlight w:val="none"/>
                <w:lang w:val="en-US" w:eastAsia="zh-CN"/>
              </w:rPr>
              <w:t>2778078886</w:t>
            </w:r>
            <w:r>
              <w:rPr>
                <w:rFonts w:hint="eastAsia" w:ascii="宋体" w:hAnsi="宋体" w:eastAsia="宋体" w:cs="宋体"/>
                <w:color w:val="auto"/>
                <w:highlight w:val="none"/>
              </w:rPr>
              <w:t>@qq.com邮箱。质疑须在</w:t>
            </w:r>
            <w:r>
              <w:rPr>
                <w:rFonts w:hint="eastAsia" w:ascii="宋体" w:hAnsi="宋体" w:eastAsia="宋体" w:cs="宋体"/>
                <w:color w:val="auto"/>
                <w:highlight w:val="none"/>
                <w:lang w:eastAsia="zh-CN"/>
              </w:rPr>
              <w:t>谈判</w:t>
            </w:r>
            <w:r>
              <w:rPr>
                <w:rFonts w:hint="eastAsia" w:ascii="宋体" w:hAnsi="宋体" w:eastAsia="宋体" w:cs="宋体"/>
                <w:color w:val="auto"/>
                <w:highlight w:val="none"/>
              </w:rPr>
              <w:t>截止日期</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天</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t>前提</w:t>
            </w:r>
            <w:r>
              <w:rPr>
                <w:rFonts w:hint="eastAsia" w:ascii="宋体" w:hAnsi="宋体" w:cs="宋体"/>
                <w:color w:val="auto"/>
                <w:highlight w:val="none"/>
              </w:rPr>
              <w:t>出，否则不予受理。</w:t>
            </w:r>
          </w:p>
          <w:p w14:paraId="177F1F7B">
            <w:pPr>
              <w:rPr>
                <w:rFonts w:hint="eastAsia" w:ascii="宋体" w:hAnsi="宋体" w:eastAsia="宋体" w:cs="宋体"/>
                <w:color w:val="auto"/>
                <w:highlight w:val="none"/>
                <w:lang w:eastAsia="zh-CN"/>
              </w:rPr>
            </w:pPr>
            <w:r>
              <w:rPr>
                <w:rFonts w:hint="eastAsia" w:ascii="宋体" w:hAnsi="宋体" w:cs="宋体"/>
                <w:color w:val="auto"/>
                <w:highlight w:val="none"/>
              </w:rPr>
              <w:t>质疑函应当包括下列主要内容：</w:t>
            </w:r>
          </w:p>
          <w:p w14:paraId="620B313B">
            <w:pPr>
              <w:rPr>
                <w:rFonts w:hint="eastAsia" w:ascii="宋体" w:hAnsi="宋体" w:eastAsia="宋体" w:cs="宋体"/>
                <w:color w:val="auto"/>
                <w:highlight w:val="none"/>
                <w:lang w:eastAsia="zh-CN"/>
              </w:rPr>
            </w:pPr>
            <w:r>
              <w:rPr>
                <w:rFonts w:hint="eastAsia" w:ascii="宋体" w:hAnsi="宋体" w:cs="宋体"/>
                <w:color w:val="auto"/>
                <w:highlight w:val="none"/>
              </w:rPr>
              <w:t>1.质疑人的名称、地址、联系电话</w:t>
            </w:r>
            <w:r>
              <w:rPr>
                <w:rFonts w:hint="eastAsia" w:ascii="宋体" w:hAnsi="宋体" w:cs="宋体"/>
                <w:color w:val="auto"/>
                <w:highlight w:val="none"/>
                <w:lang w:eastAsia="zh-CN"/>
              </w:rPr>
              <w:t>（</w:t>
            </w:r>
            <w:r>
              <w:rPr>
                <w:rFonts w:hint="eastAsia" w:ascii="宋体" w:hAnsi="宋体" w:cs="宋体"/>
                <w:color w:val="auto"/>
                <w:highlight w:val="none"/>
              </w:rPr>
              <w:t>固定电话及手机)；</w:t>
            </w:r>
          </w:p>
          <w:p w14:paraId="71DAD45E">
            <w:pPr>
              <w:rPr>
                <w:rFonts w:hint="eastAsia" w:ascii="宋体" w:hAnsi="宋体" w:eastAsia="宋体" w:cs="宋体"/>
                <w:color w:val="auto"/>
                <w:highlight w:val="none"/>
                <w:lang w:eastAsia="zh-CN"/>
              </w:rPr>
            </w:pPr>
            <w:r>
              <w:rPr>
                <w:rFonts w:hint="eastAsia" w:ascii="宋体" w:hAnsi="宋体" w:cs="宋体"/>
                <w:color w:val="auto"/>
                <w:highlight w:val="none"/>
              </w:rPr>
              <w:t>2.项目名称、项目编号及标段号或分包号；</w:t>
            </w:r>
          </w:p>
          <w:p w14:paraId="58374FE2">
            <w:pPr>
              <w:rPr>
                <w:rFonts w:hint="eastAsia" w:ascii="宋体" w:hAnsi="宋体" w:eastAsia="宋体" w:cs="宋体"/>
                <w:color w:val="auto"/>
                <w:highlight w:val="none"/>
                <w:lang w:eastAsia="zh-CN"/>
              </w:rPr>
            </w:pPr>
            <w:r>
              <w:rPr>
                <w:rFonts w:hint="eastAsia" w:ascii="宋体" w:hAnsi="宋体" w:cs="宋体"/>
                <w:color w:val="auto"/>
                <w:highlight w:val="none"/>
              </w:rPr>
              <w:t>3.具体的质疑事项、原因、基本事实及相关证明材料；</w:t>
            </w:r>
          </w:p>
          <w:p w14:paraId="491FE3BE">
            <w:pPr>
              <w:rPr>
                <w:rFonts w:hint="eastAsia" w:ascii="宋体" w:hAnsi="宋体" w:eastAsia="宋体" w:cs="宋体"/>
                <w:color w:val="auto"/>
                <w:highlight w:val="none"/>
                <w:lang w:eastAsia="zh-CN"/>
              </w:rPr>
            </w:pPr>
            <w:r>
              <w:rPr>
                <w:rFonts w:hint="eastAsia" w:ascii="宋体" w:hAnsi="宋体" w:cs="宋体"/>
                <w:color w:val="auto"/>
                <w:highlight w:val="none"/>
              </w:rPr>
              <w:t>4.本次质疑的法人授权书（后附法人、被授权人身份证扫描件）；</w:t>
            </w:r>
          </w:p>
          <w:p w14:paraId="17180132">
            <w:pPr>
              <w:rPr>
                <w:rFonts w:hint="eastAsia" w:eastAsia="宋体"/>
                <w:color w:val="auto"/>
                <w:highlight w:val="none"/>
                <w:lang w:eastAsia="zh-CN"/>
              </w:rPr>
            </w:pPr>
            <w:r>
              <w:rPr>
                <w:rFonts w:hint="eastAsia" w:ascii="宋体" w:hAnsi="宋体" w:cs="宋体"/>
                <w:color w:val="auto"/>
                <w:highlight w:val="none"/>
              </w:rPr>
              <w:t>5.提起质疑的日期。</w:t>
            </w:r>
          </w:p>
        </w:tc>
      </w:tr>
      <w:tr w14:paraId="28955D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9C4BB5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10</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D4E85B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资格审查方式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AEF7F13">
            <w:pPr>
              <w:rPr>
                <w:rFonts w:hint="eastAsia"/>
                <w:color w:val="auto"/>
                <w:highlight w:val="none"/>
              </w:rPr>
            </w:pPr>
            <w:r>
              <w:rPr>
                <w:rFonts w:hint="eastAsia"/>
                <w:color w:val="auto"/>
                <w:highlight w:val="none"/>
              </w:rPr>
              <w:t xml:space="preserve">□资格预审 </w:t>
            </w:r>
            <w:r>
              <w:rPr>
                <w:rFonts w:hint="eastAsia"/>
                <w:color w:val="auto"/>
                <w:highlight w:val="none"/>
                <w:lang w:eastAsia="zh-CN"/>
              </w:rPr>
              <w:t>☑</w:t>
            </w:r>
            <w:r>
              <w:rPr>
                <w:rFonts w:hint="eastAsia"/>
                <w:color w:val="auto"/>
                <w:highlight w:val="none"/>
              </w:rPr>
              <w:t>资格后审</w:t>
            </w:r>
          </w:p>
        </w:tc>
      </w:tr>
      <w:tr w14:paraId="1DE8FD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D48450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C2A3C49">
            <w:pPr>
              <w:adjustRightInd w:val="0"/>
              <w:snapToGrid w:val="0"/>
              <w:spacing w:line="310" w:lineRule="exact"/>
              <w:rPr>
                <w:rFonts w:hint="eastAsia" w:ascii="宋体" w:hAnsi="宋体" w:cs="宋体"/>
                <w:color w:val="auto"/>
                <w:szCs w:val="21"/>
                <w:highlight w:val="none"/>
              </w:rPr>
            </w:pPr>
            <w:r>
              <w:rPr>
                <w:rFonts w:hint="eastAsia"/>
                <w:color w:val="auto"/>
                <w:highlight w:val="none"/>
              </w:rPr>
              <w:t>是否接受联合体</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C5705B6">
            <w:pPr>
              <w:rPr>
                <w:rFonts w:hint="eastAsia"/>
                <w:color w:val="auto"/>
                <w:highlight w:val="none"/>
              </w:rPr>
            </w:pPr>
            <w:r>
              <w:rPr>
                <w:rFonts w:hint="eastAsia"/>
                <w:color w:val="auto"/>
                <w:highlight w:val="none"/>
              </w:rPr>
              <w:t xml:space="preserve">□接受 </w:t>
            </w:r>
            <w:r>
              <w:rPr>
                <w:rFonts w:hint="eastAsia"/>
                <w:color w:val="auto"/>
                <w:highlight w:val="none"/>
                <w:lang w:val="en-US" w:eastAsia="zh-CN"/>
              </w:rPr>
              <w:t xml:space="preserve"> </w:t>
            </w:r>
            <w:r>
              <w:rPr>
                <w:rFonts w:hint="eastAsia"/>
                <w:color w:val="auto"/>
                <w:highlight w:val="none"/>
              </w:rPr>
              <w:t xml:space="preserve">   </w:t>
            </w:r>
            <w:r>
              <w:rPr>
                <w:rFonts w:hint="eastAsia"/>
                <w:color w:val="auto"/>
                <w:highlight w:val="none"/>
                <w:lang w:eastAsia="zh-CN"/>
              </w:rPr>
              <w:t>☑</w:t>
            </w:r>
            <w:r>
              <w:rPr>
                <w:rFonts w:hint="eastAsia"/>
                <w:color w:val="auto"/>
                <w:highlight w:val="none"/>
              </w:rPr>
              <w:t>不接受</w:t>
            </w:r>
          </w:p>
        </w:tc>
      </w:tr>
      <w:tr w14:paraId="4B6D3C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8391AD7">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969AE41">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预备会</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50331AC">
            <w:pPr>
              <w:rPr>
                <w:rFonts w:hint="eastAsia"/>
                <w:color w:val="auto"/>
                <w:highlight w:val="none"/>
              </w:rPr>
            </w:pPr>
            <w:r>
              <w:rPr>
                <w:rFonts w:hint="eastAsia"/>
                <w:color w:val="auto"/>
                <w:highlight w:val="none"/>
                <w:lang w:eastAsia="zh-CN"/>
              </w:rPr>
              <w:t>☑</w:t>
            </w:r>
            <w:r>
              <w:rPr>
                <w:rFonts w:hint="eastAsia"/>
                <w:color w:val="auto"/>
                <w:highlight w:val="none"/>
              </w:rPr>
              <w:t>不召开  □召开</w:t>
            </w:r>
          </w:p>
        </w:tc>
      </w:tr>
      <w:tr w14:paraId="178BE8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513EB42">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13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30E5894">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偏离</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43A4E77">
            <w:pPr>
              <w:rPr>
                <w:rFonts w:hint="eastAsia"/>
                <w:color w:val="auto"/>
                <w:highlight w:val="none"/>
              </w:rPr>
            </w:pPr>
            <w:r>
              <w:rPr>
                <w:rFonts w:hint="eastAsia"/>
                <w:color w:val="auto"/>
                <w:highlight w:val="none"/>
                <w:lang w:eastAsia="zh-CN"/>
              </w:rPr>
              <w:t>☑</w:t>
            </w:r>
            <w:r>
              <w:rPr>
                <w:rFonts w:hint="eastAsia"/>
                <w:color w:val="auto"/>
                <w:highlight w:val="none"/>
              </w:rPr>
              <w:t>不允许负偏离    □允许</w:t>
            </w:r>
          </w:p>
        </w:tc>
      </w:tr>
      <w:tr w14:paraId="5276EF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B616E44">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60AE9D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分包</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0A0C84E">
            <w:pPr>
              <w:rPr>
                <w:rFonts w:hint="eastAsia"/>
                <w:color w:val="auto"/>
                <w:highlight w:val="none"/>
              </w:rPr>
            </w:pPr>
            <w:r>
              <w:rPr>
                <w:rFonts w:hint="eastAsia"/>
                <w:color w:val="auto"/>
                <w:highlight w:val="none"/>
                <w:lang w:eastAsia="zh-CN"/>
              </w:rPr>
              <w:t>☑</w:t>
            </w:r>
            <w:r>
              <w:rPr>
                <w:rFonts w:hint="eastAsia"/>
                <w:color w:val="auto"/>
                <w:highlight w:val="none"/>
              </w:rPr>
              <w:t>不允许        □允许</w:t>
            </w:r>
          </w:p>
        </w:tc>
      </w:tr>
      <w:tr w14:paraId="6234F4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4C6F157">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0AF7366">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有效期</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270ED14">
            <w:pPr>
              <w:rPr>
                <w:rFonts w:hint="eastAsia"/>
                <w:color w:val="auto"/>
                <w:highlight w:val="none"/>
              </w:rPr>
            </w:pPr>
            <w:r>
              <w:rPr>
                <w:rFonts w:hint="eastAsia"/>
                <w:color w:val="auto"/>
                <w:highlight w:val="none"/>
              </w:rPr>
              <w:t>60日历天（从提交响应文件截止之日算起）</w:t>
            </w:r>
          </w:p>
        </w:tc>
      </w:tr>
      <w:tr w14:paraId="28C7A0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3AF99A8">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3F685C8">
            <w:pPr>
              <w:adjustRightInd w:val="0"/>
              <w:snapToGrid w:val="0"/>
              <w:spacing w:line="310" w:lineRule="exact"/>
              <w:jc w:val="left"/>
              <w:rPr>
                <w:rFonts w:hint="eastAsia" w:ascii="宋体" w:hAnsi="宋体" w:cs="宋体"/>
                <w:color w:val="auto"/>
                <w:kern w:val="0"/>
                <w:szCs w:val="21"/>
                <w:highlight w:val="none"/>
                <w:lang w:val="zh-CN"/>
              </w:rPr>
            </w:pPr>
            <w:r>
              <w:rPr>
                <w:rFonts w:hint="eastAsia" w:ascii="宋体" w:hAnsi="宋体" w:cs="宋体"/>
                <w:color w:val="auto"/>
                <w:kern w:val="0"/>
                <w:szCs w:val="21"/>
                <w:highlight w:val="none"/>
                <w:lang w:val="zh-CN"/>
              </w:rPr>
              <w:t>合同备案</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E3B7DA0">
            <w:pPr>
              <w:rPr>
                <w:rFonts w:hint="default" w:ascii="宋体" w:hAnsi="宋体" w:eastAsia="宋体"/>
                <w:b/>
                <w:color w:val="auto"/>
                <w:highlight w:val="none"/>
                <w:lang w:val="en-US" w:eastAsia="zh-CN"/>
              </w:rPr>
            </w:pPr>
            <w:r>
              <w:rPr>
                <w:rFonts w:hint="eastAsia" w:ascii="宋体" w:hAnsi="宋体"/>
                <w:b/>
                <w:color w:val="auto"/>
                <w:highlight w:val="none"/>
                <w:lang w:val="en-US" w:eastAsia="zh-CN"/>
              </w:rPr>
              <w:t>/</w:t>
            </w:r>
          </w:p>
        </w:tc>
      </w:tr>
      <w:tr w14:paraId="28DA9E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5B78932">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706C97B">
            <w:pPr>
              <w:adjustRightInd w:val="0"/>
              <w:snapToGrid w:val="0"/>
              <w:spacing w:line="310" w:lineRule="exact"/>
              <w:rPr>
                <w:rFonts w:hint="eastAsia" w:ascii="宋体" w:hAnsi="宋体" w:cs="宋体"/>
                <w:color w:val="auto"/>
                <w:szCs w:val="21"/>
                <w:highlight w:val="none"/>
              </w:rPr>
            </w:pPr>
            <w:r>
              <w:rPr>
                <w:rFonts w:hint="eastAsia"/>
                <w:color w:val="auto"/>
                <w:highlight w:val="none"/>
              </w:rPr>
              <w:t>是否允许递交备选方案</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B66FA37">
            <w:pPr>
              <w:adjustRightInd w:val="0"/>
              <w:snapToGrid w:val="0"/>
              <w:spacing w:line="310" w:lineRule="exact"/>
              <w:rPr>
                <w:rFonts w:hint="eastAsia" w:ascii="宋体" w:hAnsi="宋体" w:cs="宋体"/>
                <w:color w:val="auto"/>
                <w:szCs w:val="21"/>
                <w:highlight w:val="none"/>
              </w:rPr>
            </w:pPr>
            <w:r>
              <w:rPr>
                <w:rFonts w:hint="eastAsia"/>
                <w:color w:val="auto"/>
                <w:highlight w:val="none"/>
                <w:lang w:eastAsia="zh-CN"/>
              </w:rPr>
              <w:t>☑</w:t>
            </w:r>
            <w:r>
              <w:rPr>
                <w:rFonts w:hint="eastAsia" w:ascii="宋体" w:hAnsi="宋体" w:cs="宋体"/>
                <w:color w:val="auto"/>
                <w:szCs w:val="21"/>
                <w:highlight w:val="none"/>
              </w:rPr>
              <w:t>不允许            □允许</w:t>
            </w:r>
          </w:p>
        </w:tc>
      </w:tr>
      <w:tr w14:paraId="27DF4B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5CBA5FE">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8</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BE7B3A5">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响应文件份数</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9D45B54">
            <w:pPr>
              <w:adjustRightInd w:val="0"/>
              <w:snapToGrid w:val="0"/>
              <w:spacing w:line="310" w:lineRule="exact"/>
              <w:rPr>
                <w:rFonts w:hint="default" w:ascii="宋体" w:hAnsi="宋体" w:eastAsia="宋体" w:cs="宋体"/>
                <w:b/>
                <w:color w:val="auto"/>
                <w:szCs w:val="21"/>
                <w:highlight w:val="none"/>
                <w:lang w:val="en-US" w:eastAsia="zh-CN"/>
              </w:rPr>
            </w:pPr>
            <w:r>
              <w:rPr>
                <w:rFonts w:hint="eastAsia" w:ascii="宋体" w:hAnsi="宋体" w:cs="宋体"/>
                <w:b/>
                <w:color w:val="auto"/>
                <w:szCs w:val="21"/>
                <w:highlight w:val="none"/>
                <w:u w:val="single"/>
              </w:rPr>
              <w:t xml:space="preserve"> 壹 </w:t>
            </w:r>
            <w:r>
              <w:rPr>
                <w:rFonts w:hint="eastAsia" w:ascii="宋体" w:hAnsi="宋体" w:cs="宋体"/>
                <w:b/>
                <w:color w:val="auto"/>
                <w:szCs w:val="21"/>
                <w:highlight w:val="none"/>
              </w:rPr>
              <w:t xml:space="preserve">份正本， </w:t>
            </w:r>
            <w:r>
              <w:rPr>
                <w:rFonts w:hint="eastAsia" w:ascii="宋体" w:hAnsi="宋体" w:cs="宋体"/>
                <w:b/>
                <w:color w:val="auto"/>
                <w:szCs w:val="21"/>
                <w:highlight w:val="none"/>
                <w:u w:val="single"/>
              </w:rPr>
              <w:t xml:space="preserve"> 贰 </w:t>
            </w:r>
            <w:r>
              <w:rPr>
                <w:rFonts w:hint="eastAsia" w:ascii="宋体" w:hAnsi="宋体" w:cs="宋体"/>
                <w:b/>
                <w:color w:val="auto"/>
                <w:szCs w:val="21"/>
                <w:highlight w:val="none"/>
              </w:rPr>
              <w:t>份副本</w:t>
            </w:r>
            <w:r>
              <w:rPr>
                <w:rFonts w:hint="eastAsia" w:ascii="宋体" w:hAnsi="宋体" w:cs="宋体"/>
                <w:b/>
                <w:color w:val="auto"/>
                <w:szCs w:val="21"/>
                <w:highlight w:val="none"/>
                <w:lang w:val="en-US" w:eastAsia="zh-CN"/>
              </w:rPr>
              <w:t>。</w:t>
            </w:r>
          </w:p>
        </w:tc>
      </w:tr>
      <w:tr w14:paraId="60BFC5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51"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7669663">
            <w:pPr>
              <w:adjustRightInd w:val="0"/>
              <w:snapToGrid w:val="0"/>
              <w:spacing w:line="31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19</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E81DC96">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签字或盖章要求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851161E">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谈判响应文件应按采购文件要求盖章或签字。由授权代表签字或盖章的在谈判响应文件中须同时提供谈判授权书。谈判响应文件签字或盖章不符合采购文件要求的，按无效投标处理。</w:t>
            </w:r>
          </w:p>
        </w:tc>
      </w:tr>
      <w:tr w14:paraId="66B024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9CE83ED">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0</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C51E6A2">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装订要求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DFD21B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谈判响应文件正、副本均应装订成册，保证装订牢固，不掉页、不粘面。谈判响应文件未按要求装订的，按无效投标处理。</w:t>
            </w:r>
          </w:p>
        </w:tc>
      </w:tr>
      <w:tr w14:paraId="1C51A5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630DFE0">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9F5E282">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密封要求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517E9C9">
            <w:pPr>
              <w:adjustRightInd w:val="0"/>
              <w:snapToGrid w:val="0"/>
              <w:spacing w:line="310" w:lineRule="exact"/>
              <w:rPr>
                <w:rFonts w:hint="eastAsia"/>
                <w:color w:val="auto"/>
                <w:highlight w:val="none"/>
                <w:lang w:eastAsia="zh-CN"/>
              </w:rPr>
            </w:pPr>
            <w:r>
              <w:rPr>
                <w:rFonts w:hint="eastAsia"/>
                <w:color w:val="auto"/>
                <w:highlight w:val="none"/>
                <w:lang w:eastAsia="zh-CN"/>
              </w:rPr>
              <w:t>谈判响应文件所有正、副本均应密封在一个文件袋中，并在封套上加盖供应商公章，封套上应写明：“</w:t>
            </w:r>
            <w:r>
              <w:rPr>
                <w:rFonts w:hint="eastAsia"/>
                <w:color w:val="auto"/>
                <w:highlight w:val="none"/>
                <w:u w:val="single"/>
                <w:lang w:eastAsia="zh-CN"/>
              </w:rPr>
              <w:t>（采购项目名称）</w:t>
            </w:r>
            <w:r>
              <w:rPr>
                <w:rFonts w:hint="eastAsia"/>
                <w:color w:val="auto"/>
                <w:highlight w:val="none"/>
                <w:lang w:eastAsia="zh-CN"/>
              </w:rPr>
              <w:t>谈判响应文件、</w:t>
            </w:r>
            <w:r>
              <w:rPr>
                <w:rFonts w:hint="eastAsia"/>
                <w:color w:val="auto"/>
                <w:highlight w:val="none"/>
                <w:u w:val="single"/>
                <w:lang w:eastAsia="zh-CN"/>
              </w:rPr>
              <w:t xml:space="preserve">  </w:t>
            </w:r>
            <w:r>
              <w:rPr>
                <w:rFonts w:hint="eastAsia"/>
                <w:color w:val="auto"/>
                <w:highlight w:val="none"/>
                <w:u w:val="single"/>
                <w:lang w:val="en-US" w:eastAsia="zh-CN"/>
              </w:rPr>
              <w:t xml:space="preserve"> </w:t>
            </w:r>
            <w:r>
              <w:rPr>
                <w:rFonts w:hint="eastAsia"/>
                <w:color w:val="auto"/>
                <w:highlight w:val="none"/>
                <w:u w:val="single"/>
                <w:lang w:eastAsia="zh-CN"/>
              </w:rPr>
              <w:t xml:space="preserve">  </w:t>
            </w:r>
            <w:r>
              <w:rPr>
                <w:rFonts w:hint="eastAsia"/>
                <w:color w:val="auto"/>
                <w:highlight w:val="none"/>
                <w:lang w:eastAsia="zh-CN"/>
              </w:rPr>
              <w:t>年</w:t>
            </w:r>
            <w:r>
              <w:rPr>
                <w:rFonts w:hint="eastAsia"/>
                <w:color w:val="auto"/>
                <w:highlight w:val="none"/>
                <w:u w:val="single"/>
                <w:lang w:eastAsia="zh-CN"/>
              </w:rPr>
              <w:t xml:space="preserve">   </w:t>
            </w:r>
            <w:r>
              <w:rPr>
                <w:rFonts w:hint="eastAsia"/>
                <w:color w:val="auto"/>
                <w:highlight w:val="none"/>
                <w:lang w:eastAsia="zh-CN"/>
              </w:rPr>
              <w:t>月</w:t>
            </w:r>
          </w:p>
          <w:p w14:paraId="45EE26FB">
            <w:pPr>
              <w:adjustRightInd w:val="0"/>
              <w:snapToGrid w:val="0"/>
              <w:spacing w:line="310" w:lineRule="exact"/>
              <w:rPr>
                <w:rFonts w:hint="eastAsia"/>
                <w:color w:val="auto"/>
                <w:highlight w:val="none"/>
                <w:lang w:eastAsia="zh-CN"/>
              </w:rPr>
            </w:pPr>
            <w:r>
              <w:rPr>
                <w:rFonts w:hint="eastAsia"/>
                <w:color w:val="auto"/>
                <w:highlight w:val="none"/>
                <w:u w:val="single"/>
                <w:lang w:eastAsia="zh-CN"/>
              </w:rPr>
              <w:t xml:space="preserve">   </w:t>
            </w:r>
            <w:r>
              <w:rPr>
                <w:rFonts w:hint="eastAsia"/>
                <w:color w:val="auto"/>
                <w:highlight w:val="none"/>
                <w:lang w:eastAsia="zh-CN"/>
              </w:rPr>
              <w:t>日</w:t>
            </w:r>
            <w:r>
              <w:rPr>
                <w:rFonts w:hint="eastAsia"/>
                <w:color w:val="auto"/>
                <w:highlight w:val="none"/>
                <w:u w:val="single"/>
                <w:lang w:eastAsia="zh-CN"/>
              </w:rPr>
              <w:t xml:space="preserve">   </w:t>
            </w:r>
            <w:r>
              <w:rPr>
                <w:rFonts w:hint="eastAsia"/>
                <w:color w:val="auto"/>
                <w:highlight w:val="none"/>
                <w:lang w:eastAsia="zh-CN"/>
              </w:rPr>
              <w:t>时</w:t>
            </w:r>
            <w:r>
              <w:rPr>
                <w:rFonts w:hint="eastAsia"/>
                <w:color w:val="auto"/>
                <w:highlight w:val="none"/>
                <w:u w:val="single"/>
                <w:lang w:eastAsia="zh-CN"/>
              </w:rPr>
              <w:t xml:space="preserve">   </w:t>
            </w:r>
            <w:r>
              <w:rPr>
                <w:rFonts w:hint="eastAsia"/>
                <w:color w:val="auto"/>
                <w:highlight w:val="none"/>
                <w:lang w:eastAsia="zh-CN"/>
              </w:rPr>
              <w:t>分前不得开启”字样。</w:t>
            </w:r>
          </w:p>
          <w:p w14:paraId="7B22F87E">
            <w:pPr>
              <w:adjustRightInd w:val="0"/>
              <w:snapToGrid w:val="0"/>
              <w:spacing w:line="310" w:lineRule="exact"/>
              <w:rPr>
                <w:rFonts w:hint="eastAsia"/>
                <w:color w:val="auto"/>
                <w:highlight w:val="none"/>
              </w:rPr>
            </w:pPr>
            <w:r>
              <w:rPr>
                <w:rFonts w:hint="eastAsia"/>
                <w:color w:val="auto"/>
                <w:highlight w:val="none"/>
                <w:lang w:eastAsia="zh-CN"/>
              </w:rPr>
              <w:t>供应商未按要求密封响应文件的，自行承担响应文件遗失、提前解封等责任。</w:t>
            </w:r>
          </w:p>
        </w:tc>
      </w:tr>
      <w:tr w14:paraId="72DE34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0B2529A">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8C9CC17">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响应文件递交</w:t>
            </w:r>
            <w:r>
              <w:rPr>
                <w:rFonts w:hint="eastAsia" w:ascii="宋体" w:hAnsi="宋体" w:cs="宋体"/>
                <w:color w:val="auto"/>
                <w:szCs w:val="21"/>
                <w:highlight w:val="none"/>
                <w:lang w:val="en-US" w:eastAsia="zh-CN"/>
              </w:rPr>
              <w:t>截</w:t>
            </w:r>
            <w:r>
              <w:rPr>
                <w:rFonts w:hint="eastAsia" w:ascii="宋体" w:hAnsi="宋体" w:cs="宋体"/>
                <w:color w:val="auto"/>
                <w:szCs w:val="21"/>
                <w:highlight w:val="none"/>
              </w:rPr>
              <w:t>止时间及地点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8BD9C20">
            <w:pPr>
              <w:adjustRightInd w:val="0"/>
              <w:snapToGrid w:val="0"/>
              <w:spacing w:line="310" w:lineRule="exact"/>
              <w:rPr>
                <w:rFonts w:hint="default"/>
                <w:color w:val="auto"/>
                <w:highlight w:val="none"/>
                <w:lang w:val="en-US"/>
              </w:rPr>
            </w:pPr>
            <w:r>
              <w:rPr>
                <w:rFonts w:hint="eastAsia"/>
                <w:color w:val="auto"/>
                <w:highlight w:val="none"/>
                <w:lang w:val="en-US" w:eastAsia="zh-CN"/>
              </w:rPr>
              <w:t>截止</w:t>
            </w:r>
            <w:r>
              <w:rPr>
                <w:rFonts w:hint="eastAsia"/>
                <w:color w:val="auto"/>
                <w:highlight w:val="none"/>
              </w:rPr>
              <w:t>时间：</w:t>
            </w:r>
            <w:r>
              <w:rPr>
                <w:rFonts w:hint="eastAsia"/>
                <w:color w:val="auto"/>
                <w:highlight w:val="none"/>
                <w:lang w:val="en-US" w:eastAsia="zh-CN"/>
              </w:rPr>
              <w:t>同开标时间</w:t>
            </w:r>
          </w:p>
          <w:p w14:paraId="51A8A558">
            <w:pPr>
              <w:adjustRightInd w:val="0"/>
              <w:snapToGrid w:val="0"/>
              <w:spacing w:line="310" w:lineRule="exact"/>
              <w:rPr>
                <w:rFonts w:hint="eastAsia" w:eastAsia="宋体"/>
                <w:color w:val="auto"/>
                <w:highlight w:val="none"/>
                <w:lang w:eastAsia="zh-CN"/>
              </w:rPr>
            </w:pPr>
            <w:r>
              <w:rPr>
                <w:rFonts w:hint="eastAsia"/>
                <w:color w:val="auto"/>
                <w:highlight w:val="none"/>
              </w:rPr>
              <w:t>地点：</w:t>
            </w:r>
            <w:r>
              <w:rPr>
                <w:rFonts w:hint="eastAsia"/>
                <w:color w:val="auto"/>
                <w:highlight w:val="none"/>
                <w:lang w:eastAsia="zh-CN"/>
              </w:rPr>
              <w:t>安徽大别山工程咨询有限公司开标厅</w:t>
            </w:r>
            <w:r>
              <w:rPr>
                <w:rFonts w:hint="eastAsia"/>
                <w:color w:val="auto"/>
                <w:highlight w:val="none"/>
                <w:lang w:val="en-US" w:eastAsia="zh-CN"/>
              </w:rPr>
              <w:t>201室</w:t>
            </w:r>
            <w:r>
              <w:rPr>
                <w:rFonts w:hint="eastAsia"/>
                <w:color w:val="auto"/>
                <w:highlight w:val="none"/>
              </w:rPr>
              <w:t>（</w:t>
            </w:r>
            <w:r>
              <w:rPr>
                <w:rFonts w:hint="eastAsia"/>
                <w:color w:val="auto"/>
                <w:highlight w:val="none"/>
                <w:lang w:eastAsia="zh-CN"/>
              </w:rPr>
              <w:t>霍山县国投大厦</w:t>
            </w:r>
            <w:r>
              <w:rPr>
                <w:rFonts w:hint="eastAsia"/>
                <w:color w:val="auto"/>
                <w:highlight w:val="none"/>
              </w:rPr>
              <w:t>）</w:t>
            </w:r>
          </w:p>
        </w:tc>
      </w:tr>
      <w:tr w14:paraId="22443B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7A15480">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8B1446B">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开标时间及地点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9362B17">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val="en-US" w:eastAsia="zh-CN"/>
              </w:rPr>
              <w:t>详见采购公告。（</w:t>
            </w:r>
            <w:r>
              <w:rPr>
                <w:rFonts w:hint="eastAsia" w:ascii="宋体" w:hAnsi="宋体"/>
                <w:color w:val="auto"/>
                <w:szCs w:val="21"/>
                <w:highlight w:val="none"/>
              </w:rPr>
              <w:t>若法定代表人本人参加开标会则只需查验身份证原件；若代理人参加开标会则需查验谈判授权书</w:t>
            </w:r>
            <w:r>
              <w:rPr>
                <w:rFonts w:hint="eastAsia" w:ascii="宋体" w:hAnsi="宋体"/>
                <w:color w:val="auto"/>
                <w:szCs w:val="21"/>
                <w:highlight w:val="none"/>
                <w:lang w:val="en-US" w:eastAsia="zh-CN"/>
              </w:rPr>
              <w:t>原件</w:t>
            </w:r>
            <w:r>
              <w:rPr>
                <w:rFonts w:hint="eastAsia" w:ascii="宋体" w:hAnsi="宋体"/>
                <w:color w:val="auto"/>
                <w:szCs w:val="21"/>
                <w:highlight w:val="none"/>
              </w:rPr>
              <w:t>和代理人身份证原件</w:t>
            </w:r>
            <w:r>
              <w:rPr>
                <w:rFonts w:hint="eastAsia" w:ascii="宋体" w:hAnsi="宋体"/>
                <w:color w:val="auto"/>
                <w:szCs w:val="21"/>
                <w:highlight w:val="none"/>
                <w:lang w:eastAsia="zh-CN"/>
              </w:rPr>
              <w:t>，</w:t>
            </w:r>
            <w:r>
              <w:rPr>
                <w:rFonts w:hint="eastAsia" w:ascii="宋体"/>
                <w:b/>
                <w:bCs/>
                <w:color w:val="auto"/>
                <w:szCs w:val="21"/>
                <w:highlight w:val="none"/>
              </w:rPr>
              <w:t>需在</w:t>
            </w:r>
            <w:r>
              <w:rPr>
                <w:rFonts w:hint="eastAsia" w:ascii="宋体"/>
                <w:b/>
                <w:bCs/>
                <w:color w:val="auto"/>
                <w:szCs w:val="21"/>
                <w:highlight w:val="none"/>
                <w:lang w:val="en-US" w:eastAsia="zh-CN"/>
              </w:rPr>
              <w:t>响应</w:t>
            </w:r>
            <w:r>
              <w:rPr>
                <w:rFonts w:hint="eastAsia" w:ascii="宋体"/>
                <w:b/>
                <w:bCs/>
                <w:color w:val="auto"/>
                <w:szCs w:val="21"/>
                <w:highlight w:val="none"/>
              </w:rPr>
              <w:t>文件中提供谈判授权书及</w:t>
            </w:r>
            <w:r>
              <w:rPr>
                <w:rFonts w:hint="eastAsia" w:ascii="宋体"/>
                <w:b/>
                <w:bCs/>
                <w:color w:val="auto"/>
                <w:szCs w:val="21"/>
                <w:highlight w:val="none"/>
                <w:lang w:val="en-US" w:eastAsia="zh-CN"/>
              </w:rPr>
              <w:t>代理人</w:t>
            </w:r>
            <w:r>
              <w:rPr>
                <w:rFonts w:hint="eastAsia" w:ascii="宋体"/>
                <w:b/>
                <w:bCs/>
                <w:color w:val="auto"/>
                <w:szCs w:val="21"/>
                <w:highlight w:val="none"/>
              </w:rPr>
              <w:t>身份证的复印件并加盖</w:t>
            </w:r>
            <w:r>
              <w:rPr>
                <w:rFonts w:hint="eastAsia" w:ascii="宋体"/>
                <w:b/>
                <w:bCs/>
                <w:color w:val="auto"/>
                <w:szCs w:val="21"/>
                <w:highlight w:val="none"/>
                <w:lang w:eastAsia="zh-CN"/>
              </w:rPr>
              <w:t>供应商</w:t>
            </w:r>
            <w:r>
              <w:rPr>
                <w:rFonts w:hint="eastAsia" w:ascii="宋体"/>
                <w:b/>
                <w:bCs/>
                <w:color w:val="auto"/>
                <w:szCs w:val="21"/>
                <w:highlight w:val="none"/>
              </w:rPr>
              <w:t>公章，评标现场查验原件。</w:t>
            </w:r>
            <w:r>
              <w:rPr>
                <w:rFonts w:hint="eastAsia" w:ascii="宋体" w:hAnsi="宋体" w:cs="宋体"/>
                <w:b/>
                <w:bCs/>
                <w:color w:val="auto"/>
                <w:szCs w:val="21"/>
                <w:highlight w:val="none"/>
                <w:u w:val="single"/>
              </w:rPr>
              <w:t>代理人参加投标的，</w:t>
            </w:r>
            <w:r>
              <w:rPr>
                <w:rFonts w:hint="eastAsia" w:ascii="宋体" w:hAnsi="宋体" w:cs="宋体"/>
                <w:bCs/>
                <w:color w:val="auto"/>
                <w:szCs w:val="21"/>
                <w:highlight w:val="none"/>
                <w:u w:val="single"/>
              </w:rPr>
              <w:t>如开标现场其未单独提交谈判授权书，且投标文件也未有谈判授权书，其投标文件按照无效投标处理</w:t>
            </w:r>
            <w:r>
              <w:rPr>
                <w:rFonts w:hint="eastAsia" w:ascii="宋体" w:hAnsi="宋体"/>
                <w:color w:val="auto"/>
                <w:szCs w:val="21"/>
                <w:highlight w:val="none"/>
              </w:rPr>
              <w:t>。</w:t>
            </w:r>
            <w:r>
              <w:rPr>
                <w:rFonts w:hint="eastAsia" w:ascii="宋体" w:hAnsi="宋体" w:cs="宋体"/>
                <w:color w:val="auto"/>
                <w:szCs w:val="21"/>
                <w:highlight w:val="none"/>
                <w:lang w:val="en-US" w:eastAsia="zh-CN"/>
              </w:rPr>
              <w:t>）</w:t>
            </w:r>
          </w:p>
        </w:tc>
      </w:tr>
      <w:tr w14:paraId="623351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AA87616">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F4264AB">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方法及标准</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09DD091">
            <w:pPr>
              <w:adjustRightInd w:val="0"/>
              <w:snapToGrid w:val="0"/>
              <w:spacing w:line="310" w:lineRule="exact"/>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详见本文件</w:t>
            </w:r>
            <w:r>
              <w:rPr>
                <w:rFonts w:hint="eastAsia" w:ascii="宋体" w:hAnsi="宋体" w:cs="宋体"/>
                <w:color w:val="auto"/>
                <w:szCs w:val="21"/>
                <w:highlight w:val="none"/>
                <w:lang w:val="en-US" w:eastAsia="zh-CN"/>
              </w:rPr>
              <w:t>第五章</w:t>
            </w:r>
          </w:p>
        </w:tc>
      </w:tr>
      <w:tr w14:paraId="63A6A2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B2AF8EB">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2FE0E8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小组的组建</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2D54CAE">
            <w:pPr>
              <w:adjustRightInd w:val="0"/>
              <w:snapToGrid w:val="0"/>
              <w:spacing w:line="310" w:lineRule="exact"/>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小组构成</w:t>
            </w:r>
            <w:r>
              <w:rPr>
                <w:rFonts w:hint="eastAsia" w:ascii="宋体" w:hAnsi="宋体" w:cs="宋体"/>
                <w:color w:val="auto"/>
                <w:szCs w:val="21"/>
                <w:highlight w:val="none"/>
                <w:lang w:eastAsia="zh-CN"/>
              </w:rPr>
              <w:t>：</w:t>
            </w:r>
            <w:r>
              <w:rPr>
                <w:rFonts w:hint="eastAsia" w:ascii="宋体" w:hAnsi="宋体" w:cs="宋体"/>
                <w:color w:val="auto"/>
                <w:szCs w:val="21"/>
                <w:highlight w:val="none"/>
              </w:rPr>
              <w:t>按相关法律法规执行</w:t>
            </w:r>
            <w:r>
              <w:rPr>
                <w:rFonts w:hint="eastAsia" w:ascii="宋体" w:hAnsi="宋体" w:cs="宋体"/>
                <w:color w:val="auto"/>
                <w:szCs w:val="21"/>
                <w:highlight w:val="none"/>
                <w:lang w:eastAsia="zh-CN"/>
              </w:rPr>
              <w:t>；</w:t>
            </w:r>
          </w:p>
          <w:p w14:paraId="148E6DE8">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小组确定方式</w:t>
            </w:r>
            <w:r>
              <w:rPr>
                <w:rFonts w:hint="eastAsia" w:ascii="宋体" w:hAnsi="宋体" w:cs="宋体"/>
                <w:color w:val="auto"/>
                <w:szCs w:val="21"/>
                <w:highlight w:val="none"/>
                <w:lang w:eastAsia="zh-CN"/>
              </w:rPr>
              <w:t>：</w:t>
            </w:r>
            <w:r>
              <w:rPr>
                <w:rFonts w:hint="eastAsia" w:ascii="宋体" w:hAnsi="宋体" w:cs="宋体"/>
                <w:color w:val="auto"/>
                <w:szCs w:val="21"/>
                <w:highlight w:val="none"/>
              </w:rPr>
              <w:t>随机抽取。</w:t>
            </w:r>
          </w:p>
        </w:tc>
      </w:tr>
      <w:tr w14:paraId="40483C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40A6E57">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4F2E09E">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是否授权</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小组确定成交单位</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97EF5DA">
            <w:pPr>
              <w:adjustRightInd w:val="0"/>
              <w:snapToGrid w:val="0"/>
              <w:spacing w:line="310" w:lineRule="exact"/>
              <w:rPr>
                <w:rFonts w:hint="eastAsia" w:ascii="宋体" w:hAnsi="宋体" w:cs="宋体"/>
                <w:color w:val="auto"/>
                <w:szCs w:val="21"/>
                <w:highlight w:val="none"/>
              </w:rPr>
            </w:pPr>
            <w:r>
              <w:rPr>
                <w:rFonts w:hint="eastAsia"/>
                <w:color w:val="auto"/>
                <w:highlight w:val="none"/>
                <w:lang w:eastAsia="zh-CN"/>
              </w:rPr>
              <w:t>☑</w:t>
            </w:r>
            <w:r>
              <w:rPr>
                <w:rFonts w:hint="eastAsia" w:ascii="宋体" w:hAnsi="宋体" w:cs="宋体"/>
                <w:color w:val="auto"/>
                <w:szCs w:val="21"/>
                <w:highlight w:val="none"/>
              </w:rPr>
              <w:t>是      □否</w:t>
            </w:r>
          </w:p>
        </w:tc>
      </w:tr>
      <w:tr w14:paraId="52E7D5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395480C5">
            <w:pPr>
              <w:adjustRightInd w:val="0"/>
              <w:snapToGrid w:val="0"/>
              <w:spacing w:line="31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DF93156">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0" w:firstLineChars="0"/>
              <w:jc w:val="both"/>
              <w:textAlignment w:val="auto"/>
              <w:outlineLvl w:val="9"/>
              <w:rPr>
                <w:rFonts w:hint="default" w:ascii="宋体" w:hAnsi="宋体" w:eastAsia="宋体" w:cs="宋体"/>
                <w:color w:val="auto"/>
                <w:szCs w:val="21"/>
                <w:highlight w:val="none"/>
                <w:lang w:val="en-US" w:eastAsia="zh-CN"/>
              </w:rPr>
            </w:pPr>
            <w:r>
              <w:rPr>
                <w:rFonts w:hint="eastAsia" w:ascii="宋体" w:hAnsi="宋体" w:cs="宋体"/>
                <w:color w:val="auto"/>
                <w:sz w:val="21"/>
                <w:szCs w:val="21"/>
                <w:highlight w:val="none"/>
                <w:lang w:val="en-US" w:eastAsia="zh-CN"/>
              </w:rPr>
              <w:t>谈判保证金</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054117D">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w:t>
            </w:r>
          </w:p>
        </w:tc>
      </w:tr>
      <w:tr w14:paraId="6231C3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559F29B">
            <w:pPr>
              <w:adjustRightInd w:val="0"/>
              <w:snapToGrid w:val="0"/>
              <w:spacing w:line="31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lang w:val="en-US" w:eastAsia="zh-CN"/>
              </w:rPr>
              <w:t>8</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6E1F63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履约保证金</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2D2F69E">
            <w:pPr>
              <w:widowControl/>
              <w:adjustRightInd w:val="0"/>
              <w:snapToGrid w:val="0"/>
              <w:spacing w:line="32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履约保证金金额：中标价3%</w:t>
            </w:r>
          </w:p>
          <w:p w14:paraId="62D82B73">
            <w:pPr>
              <w:widowControl/>
              <w:adjustRightInd w:val="0"/>
              <w:snapToGrid w:val="0"/>
              <w:spacing w:line="320" w:lineRule="exact"/>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履约保证金允许方式：现金或银行转账</w:t>
            </w:r>
          </w:p>
        </w:tc>
      </w:tr>
      <w:tr w14:paraId="7D153B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996FB47">
            <w:pPr>
              <w:adjustRightInd w:val="0"/>
              <w:snapToGrid w:val="0"/>
              <w:spacing w:line="31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29</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B492D1B">
            <w:pPr>
              <w:adjustRightInd w:val="0"/>
              <w:snapToGrid w:val="0"/>
              <w:spacing w:line="31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质保期</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122C486">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w:t>
            </w:r>
          </w:p>
        </w:tc>
      </w:tr>
      <w:tr w14:paraId="2D9894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ADBCDD8">
            <w:pPr>
              <w:adjustRightInd w:val="0"/>
              <w:snapToGrid w:val="0"/>
              <w:spacing w:line="31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30</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5F58071">
            <w:pPr>
              <w:adjustRightInd w:val="0"/>
              <w:snapToGrid w:val="0"/>
              <w:spacing w:line="320" w:lineRule="exact"/>
              <w:jc w:val="left"/>
              <w:rPr>
                <w:rFonts w:hint="default" w:ascii="宋体" w:hAnsi="宋体" w:eastAsia="宋体" w:cs="宋体"/>
                <w:color w:val="auto"/>
                <w:szCs w:val="21"/>
                <w:highlight w:val="none"/>
                <w:lang w:val="en-US" w:eastAsia="zh-CN"/>
              </w:rPr>
            </w:pPr>
            <w:r>
              <w:rPr>
                <w:rFonts w:hint="eastAsia" w:ascii="宋体" w:hAnsi="宋体" w:cs="宋体"/>
                <w:color w:val="auto"/>
                <w:highlight w:val="none"/>
                <w:lang w:eastAsia="zh-CN"/>
              </w:rPr>
              <w:t>采购代理服务费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DC49F83">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本项目采购代理服务费由中标人（成交人）支付。根据《国家发展改革委关于进一步放开建设项目专业服务价格的通知》（发改价格【2015】299号）文件精神，现将费用标准予以告知，本项目采购代理服务费按3000元收取。</w:t>
            </w:r>
          </w:p>
          <w:p w14:paraId="1C438A2E">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费用</w:t>
            </w:r>
            <w:r>
              <w:rPr>
                <w:rFonts w:hint="eastAsia" w:ascii="宋体" w:hAnsi="宋体" w:eastAsia="宋体" w:cs="宋体"/>
                <w:color w:val="auto"/>
                <w:szCs w:val="21"/>
                <w:highlight w:val="none"/>
                <w:lang w:val="en-US" w:eastAsia="zh-CN"/>
              </w:rPr>
              <w:t>缴纳账户：</w:t>
            </w:r>
          </w:p>
          <w:p w14:paraId="4EA207DB">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户名：安徽大别山工程咨询有限公司</w:t>
            </w:r>
          </w:p>
          <w:p w14:paraId="2EAFFEC2">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开户行：安徽霍山农村商业银行股份有限公司营业部</w:t>
            </w:r>
          </w:p>
          <w:p w14:paraId="133F60C9">
            <w:pPr>
              <w:keepNext w:val="0"/>
              <w:keepLines w:val="0"/>
              <w:pageBreakBefore w:val="0"/>
              <w:kinsoku/>
              <w:wordWrap/>
              <w:overflowPunct/>
              <w:topLinePunct w:val="0"/>
              <w:autoSpaceDE/>
              <w:autoSpaceDN/>
              <w:bidi w:val="0"/>
              <w:adjustRightInd w:val="0"/>
              <w:snapToGrid w:val="0"/>
              <w:spacing w:line="340" w:lineRule="exact"/>
              <w:ind w:right="0" w:rightChars="0"/>
              <w:textAlignment w:val="auto"/>
              <w:outlineLvl w:val="9"/>
              <w:rPr>
                <w:rFonts w:hint="eastAsia"/>
                <w:color w:val="auto"/>
                <w:highlight w:val="none"/>
                <w:lang w:eastAsia="zh-CN"/>
              </w:rPr>
            </w:pPr>
            <w:r>
              <w:rPr>
                <w:rFonts w:hint="eastAsia" w:ascii="宋体" w:hAnsi="宋体" w:eastAsia="宋体" w:cs="宋体"/>
                <w:color w:val="auto"/>
                <w:szCs w:val="21"/>
                <w:highlight w:val="none"/>
                <w:lang w:val="en-US" w:eastAsia="zh-CN"/>
              </w:rPr>
              <w:t>账号：20010048352066600000012</w:t>
            </w:r>
          </w:p>
        </w:tc>
      </w:tr>
      <w:tr w14:paraId="596BF1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19E0DDC">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15FBE85">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val="en-US" w:eastAsia="zh-CN"/>
              </w:rPr>
              <w:t>服务</w:t>
            </w:r>
            <w:r>
              <w:rPr>
                <w:rFonts w:hint="eastAsia" w:ascii="宋体" w:hAnsi="宋体" w:cs="宋体"/>
                <w:color w:val="auto"/>
                <w:szCs w:val="21"/>
                <w:highlight w:val="none"/>
              </w:rPr>
              <w:t>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2CFB54B">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Times New Roman"/>
                <w:b w:val="0"/>
                <w:bCs/>
                <w:color w:val="auto"/>
                <w:kern w:val="0"/>
                <w:sz w:val="21"/>
                <w:szCs w:val="21"/>
                <w:highlight w:val="none"/>
                <w:lang w:val="en-US" w:eastAsia="zh-CN" w:bidi="ar-SA"/>
              </w:rPr>
              <w:t>采购人指定地点。</w:t>
            </w:r>
          </w:p>
        </w:tc>
      </w:tr>
      <w:tr w14:paraId="2AB86B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83057D2">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85E325B">
            <w:pPr>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服务期</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C8FB434">
            <w:pPr>
              <w:tabs>
                <w:tab w:val="left" w:pos="1980"/>
              </w:tabs>
              <w:adjustRightInd w:val="0"/>
              <w:snapToGrid w:val="0"/>
              <w:spacing w:line="310" w:lineRule="exact"/>
              <w:rPr>
                <w:rFonts w:hint="default" w:ascii="宋体" w:hAnsi="宋体" w:eastAsia="宋体" w:cs="宋体"/>
                <w:color w:val="auto"/>
                <w:szCs w:val="21"/>
                <w:highlight w:val="none"/>
                <w:lang w:val="en-US" w:eastAsia="zh-CN"/>
              </w:rPr>
            </w:pPr>
            <w:r>
              <w:rPr>
                <w:rFonts w:hint="eastAsia" w:ascii="宋体" w:hAnsi="宋体" w:cs="宋体"/>
                <w:b w:val="0"/>
                <w:bCs w:val="0"/>
                <w:color w:val="auto"/>
                <w:sz w:val="21"/>
                <w:szCs w:val="21"/>
                <w:highlight w:val="none"/>
                <w:lang w:val="en-US" w:eastAsia="zh-CN"/>
              </w:rPr>
              <w:t>3年，合同一年一签，年度考核合格后续签下年度合同。</w:t>
            </w:r>
          </w:p>
        </w:tc>
      </w:tr>
      <w:tr w14:paraId="157B89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AE4144E">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bCs/>
                <w:color w:val="auto"/>
                <w:szCs w:val="21"/>
                <w:highlight w:val="none"/>
              </w:rPr>
              <w:t>3</w:t>
            </w:r>
            <w:r>
              <w:rPr>
                <w:rFonts w:hint="eastAsia" w:ascii="宋体" w:hAnsi="宋体" w:cs="宋体"/>
                <w:bCs/>
                <w:color w:val="auto"/>
                <w:szCs w:val="21"/>
                <w:highlight w:val="none"/>
                <w:lang w:val="en-US" w:eastAsia="zh-CN"/>
              </w:rPr>
              <w:t>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6D45904">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rPr>
              <w:t>签订合同地点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0F8A80B">
            <w:pPr>
              <w:adjustRightInd w:val="0"/>
              <w:snapToGrid w:val="0"/>
              <w:spacing w:line="310" w:lineRule="exact"/>
              <w:jc w:val="left"/>
              <w:rPr>
                <w:rFonts w:hint="eastAsia" w:ascii="宋体" w:hAnsi="宋体" w:eastAsia="宋体" w:cs="宋体"/>
                <w:i w:val="0"/>
                <w:caps w:val="0"/>
                <w:color w:val="auto"/>
                <w:spacing w:val="0"/>
                <w:sz w:val="21"/>
                <w:szCs w:val="21"/>
                <w:highlight w:val="none"/>
                <w:shd w:val="clear" w:color="auto" w:fill="FFFFFF"/>
                <w:lang w:val="en-US" w:eastAsia="zh-CN"/>
              </w:rPr>
            </w:pPr>
            <w:r>
              <w:rPr>
                <w:rFonts w:hint="eastAsia" w:ascii="宋体" w:hAnsi="宋体" w:eastAsia="宋体" w:cs="宋体"/>
                <w:i w:val="0"/>
                <w:caps w:val="0"/>
                <w:color w:val="auto"/>
                <w:spacing w:val="0"/>
                <w:sz w:val="21"/>
                <w:szCs w:val="21"/>
                <w:highlight w:val="none"/>
                <w:shd w:val="clear" w:color="auto" w:fill="FFFFFF"/>
                <w:lang w:val="en-US" w:eastAsia="zh-CN"/>
              </w:rPr>
              <w:t>采购人指定地点</w:t>
            </w:r>
          </w:p>
        </w:tc>
      </w:tr>
      <w:tr w14:paraId="33501C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CAB2BF0">
            <w:pPr>
              <w:adjustRightInd w:val="0"/>
              <w:snapToGrid w:val="0"/>
              <w:spacing w:line="310" w:lineRule="exact"/>
              <w:jc w:val="center"/>
              <w:rPr>
                <w:rFonts w:hint="eastAsia" w:ascii="宋体" w:hAnsi="宋体" w:eastAsia="宋体" w:cs="宋体"/>
                <w:bCs/>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88CF273">
            <w:pPr>
              <w:adjustRightInd w:val="0"/>
              <w:snapToGrid w:val="0"/>
              <w:spacing w:line="310" w:lineRule="exac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付款方式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E108A23">
            <w:pPr>
              <w:adjustRightInd w:val="0"/>
              <w:snapToGrid w:val="0"/>
              <w:spacing w:line="310" w:lineRule="exact"/>
              <w:jc w:val="left"/>
              <w:rPr>
                <w:rFonts w:hint="default" w:ascii="宋体" w:hAnsi="宋体" w:eastAsia="宋体" w:cs="宋体"/>
                <w:i w:val="0"/>
                <w:caps w:val="0"/>
                <w:color w:val="auto"/>
                <w:spacing w:val="0"/>
                <w:sz w:val="21"/>
                <w:szCs w:val="21"/>
                <w:highlight w:val="none"/>
                <w:shd w:val="clear" w:color="auto" w:fill="FFFFFF"/>
                <w:lang w:val="en-US" w:eastAsia="zh-CN"/>
              </w:rPr>
            </w:pPr>
            <w:r>
              <w:rPr>
                <w:rFonts w:hint="eastAsia" w:ascii="宋体" w:hAnsi="宋体" w:cs="宋体"/>
                <w:i w:val="0"/>
                <w:caps w:val="0"/>
                <w:color w:val="auto"/>
                <w:spacing w:val="0"/>
                <w:sz w:val="21"/>
                <w:szCs w:val="21"/>
                <w:highlight w:val="none"/>
                <w:shd w:val="clear" w:color="auto" w:fill="FFFFFF"/>
                <w:lang w:val="en-US" w:eastAsia="zh-CN"/>
              </w:rPr>
              <w:t>每半年支付一次消防维保费用，每月的考核结果作为结算支付的依据，具体支付条款以合同约定为准。付款前供应商须提供3%增值税专用发票。</w:t>
            </w:r>
          </w:p>
        </w:tc>
      </w:tr>
      <w:tr w14:paraId="630097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EA01CB1">
            <w:pPr>
              <w:adjustRightInd w:val="0"/>
              <w:snapToGrid w:val="0"/>
              <w:spacing w:line="31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4CFBE5F">
            <w:pPr>
              <w:adjustRightInd w:val="0"/>
              <w:snapToGrid w:val="0"/>
              <w:spacing w:line="310" w:lineRule="exact"/>
              <w:rPr>
                <w:rFonts w:hint="eastAsia" w:ascii="宋体" w:hAnsi="宋体" w:cs="宋体"/>
                <w:color w:val="auto"/>
                <w:szCs w:val="21"/>
                <w:highlight w:val="none"/>
              </w:rPr>
            </w:pPr>
            <w:r>
              <w:rPr>
                <w:rFonts w:hint="eastAsia" w:ascii="宋体" w:hAnsi="宋体" w:cs="宋体"/>
                <w:color w:val="auto"/>
                <w:szCs w:val="21"/>
                <w:highlight w:val="none"/>
                <w:lang w:eastAsia="zh-CN"/>
              </w:rPr>
              <w:t>竞争谈判</w:t>
            </w:r>
            <w:r>
              <w:rPr>
                <w:rFonts w:hint="eastAsia" w:ascii="宋体" w:hAnsi="宋体" w:cs="宋体"/>
                <w:color w:val="auto"/>
                <w:szCs w:val="21"/>
                <w:highlight w:val="none"/>
              </w:rPr>
              <w:t>文件发售方式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299EACE">
            <w:pPr>
              <w:adjustRightInd w:val="0"/>
              <w:snapToGrid w:val="0"/>
              <w:spacing w:line="310" w:lineRule="exact"/>
              <w:jc w:val="left"/>
              <w:rPr>
                <w:rFonts w:hint="eastAsia" w:ascii="宋体" w:hAnsi="宋体" w:cs="宋体"/>
                <w:color w:val="auto"/>
                <w:highlight w:val="none"/>
              </w:rPr>
            </w:pPr>
            <w:r>
              <w:rPr>
                <w:rFonts w:hint="eastAsia" w:ascii="宋体" w:hAnsi="宋体"/>
                <w:color w:val="auto"/>
                <w:highlight w:val="none"/>
              </w:rPr>
              <w:t>详见</w:t>
            </w:r>
            <w:r>
              <w:rPr>
                <w:rFonts w:hint="eastAsia" w:ascii="宋体" w:hAnsi="宋体"/>
                <w:color w:val="auto"/>
                <w:highlight w:val="none"/>
                <w:lang w:val="en-US" w:eastAsia="zh-CN"/>
              </w:rPr>
              <w:t>谈判</w:t>
            </w:r>
            <w:r>
              <w:rPr>
                <w:rFonts w:hint="eastAsia" w:ascii="宋体" w:hAnsi="宋体"/>
                <w:color w:val="auto"/>
                <w:highlight w:val="none"/>
              </w:rPr>
              <w:t>公告</w:t>
            </w:r>
          </w:p>
        </w:tc>
      </w:tr>
      <w:tr w14:paraId="46EF80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3AE6502">
            <w:pPr>
              <w:adjustRightInd w:val="0"/>
              <w:snapToGrid w:val="0"/>
              <w:spacing w:line="31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F84E263">
            <w:pPr>
              <w:adjustRightInd w:val="0"/>
              <w:snapToGrid w:val="0"/>
              <w:spacing w:line="310" w:lineRule="exact"/>
              <w:rPr>
                <w:rFonts w:hint="eastAsia" w:ascii="宋体" w:hAnsi="宋体" w:cs="宋体"/>
                <w:b/>
                <w:bCs/>
                <w:color w:val="auto"/>
                <w:szCs w:val="21"/>
                <w:highlight w:val="none"/>
              </w:rPr>
            </w:pPr>
            <w:r>
              <w:rPr>
                <w:rFonts w:hint="eastAsia" w:ascii="宋体" w:hAnsi="宋体" w:cs="宋体"/>
                <w:b/>
                <w:bCs/>
                <w:color w:val="auto"/>
                <w:szCs w:val="21"/>
                <w:highlight w:val="none"/>
              </w:rPr>
              <w:t>最高限价</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7D430B0">
            <w:pPr>
              <w:adjustRightInd w:val="0"/>
              <w:snapToGrid w:val="0"/>
              <w:spacing w:line="310" w:lineRule="exact"/>
              <w:jc w:val="left"/>
              <w:rPr>
                <w:rFonts w:hint="default" w:ascii="宋体" w:hAnsi="宋体" w:eastAsia="宋体" w:cs="宋体"/>
                <w:b/>
                <w:bCs/>
                <w:color w:val="auto"/>
                <w:szCs w:val="21"/>
                <w:highlight w:val="none"/>
                <w:lang w:val="en-US" w:eastAsia="zh-CN"/>
              </w:rPr>
            </w:pPr>
            <w:r>
              <w:rPr>
                <w:rFonts w:hint="eastAsia" w:ascii="宋体" w:hAnsi="宋体" w:cs="宋体"/>
                <w:i w:val="0"/>
                <w:caps w:val="0"/>
                <w:color w:val="auto"/>
                <w:spacing w:val="0"/>
                <w:sz w:val="21"/>
                <w:szCs w:val="21"/>
                <w:highlight w:val="none"/>
                <w:shd w:val="clear" w:color="auto" w:fill="FFFFFF"/>
                <w:lang w:val="en-US" w:eastAsia="zh-CN"/>
              </w:rPr>
              <w:t>详见谈判公告</w:t>
            </w:r>
          </w:p>
        </w:tc>
      </w:tr>
      <w:tr w14:paraId="6D7945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E879D1A">
            <w:pPr>
              <w:adjustRightInd w:val="0"/>
              <w:snapToGrid w:val="0"/>
              <w:spacing w:line="31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37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FD937CE">
            <w:pPr>
              <w:adjustRightInd w:val="0"/>
              <w:snapToGrid w:val="0"/>
              <w:spacing w:line="310" w:lineRule="exact"/>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注意事项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52D0F49">
            <w:pPr>
              <w:pStyle w:val="36"/>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cs="宋体"/>
                <w:i w:val="0"/>
                <w:caps w:val="0"/>
                <w:color w:val="auto"/>
                <w:spacing w:val="0"/>
                <w:sz w:val="21"/>
                <w:szCs w:val="21"/>
                <w:highlight w:val="none"/>
                <w:shd w:val="clear" w:color="auto" w:fill="FFFFFF"/>
                <w:lang w:val="en-US" w:eastAsia="zh-CN"/>
              </w:rPr>
            </w:pPr>
            <w:r>
              <w:rPr>
                <w:rFonts w:hint="eastAsia" w:ascii="Times New Roman" w:hAnsi="Times New Roman" w:eastAsia="宋体" w:cs="Times New Roman"/>
                <w:color w:val="auto"/>
                <w:kern w:val="2"/>
                <w:sz w:val="21"/>
                <w:highlight w:val="none"/>
                <w:lang w:val="en-US" w:eastAsia="zh-CN" w:bidi="ar-SA"/>
              </w:rPr>
              <w:t>投标人在响应文件递交截止时间内收到的响应文件不足2家的，或评审过程中造成流标现象的，其响应文件也不予退还给投标人。</w:t>
            </w:r>
          </w:p>
        </w:tc>
      </w:tr>
    </w:tbl>
    <w:p w14:paraId="3F3A62A2">
      <w:pPr>
        <w:rPr>
          <w:rFonts w:hint="eastAsia"/>
          <w:color w:val="auto"/>
          <w:highlight w:val="none"/>
        </w:rPr>
      </w:pPr>
      <w:bookmarkStart w:id="28" w:name="_Toc228155793"/>
      <w:bookmarkStart w:id="29" w:name="OLE_LINK4"/>
      <w:bookmarkStart w:id="30" w:name="OLE_LINK3"/>
      <w:bookmarkStart w:id="31" w:name="_Toc163036384"/>
    </w:p>
    <w:p w14:paraId="5737104F">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二、</w:t>
      </w:r>
      <w:bookmarkEnd w:id="28"/>
      <w:r>
        <w:rPr>
          <w:rFonts w:hint="eastAsia" w:ascii="宋体" w:hAnsi="宋体" w:eastAsia="宋体" w:cs="宋体"/>
          <w:b/>
          <w:bCs/>
          <w:color w:val="auto"/>
          <w:kern w:val="0"/>
          <w:sz w:val="30"/>
          <w:szCs w:val="30"/>
          <w:highlight w:val="none"/>
          <w:lang w:val="zh-CN" w:eastAsia="zh-CN" w:bidi="ar-SA"/>
        </w:rPr>
        <w:t>供应商须知</w:t>
      </w:r>
    </w:p>
    <w:p w14:paraId="09DB5F4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1、适用范围</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本</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文件仅适用于本</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文件所述的</w:t>
      </w:r>
      <w:r>
        <w:rPr>
          <w:rFonts w:hint="eastAsia" w:ascii="宋体" w:hAnsi="宋体" w:cs="宋体"/>
          <w:color w:val="auto"/>
          <w:sz w:val="24"/>
          <w:szCs w:val="24"/>
          <w:highlight w:val="none"/>
          <w:lang w:val="en-US" w:eastAsia="zh-CN"/>
        </w:rPr>
        <w:t>服务</w:t>
      </w:r>
      <w:r>
        <w:rPr>
          <w:rFonts w:hint="eastAsia" w:ascii="宋体" w:hAnsi="宋体" w:cs="宋体"/>
          <w:color w:val="auto"/>
          <w:sz w:val="24"/>
          <w:szCs w:val="24"/>
          <w:highlight w:val="none"/>
        </w:rPr>
        <w:t>项目招标。</w:t>
      </w:r>
    </w:p>
    <w:p w14:paraId="5C76E0D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2、合格的供应商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合格的供应商应符合本</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文件载明的</w:t>
      </w:r>
      <w:r>
        <w:rPr>
          <w:rFonts w:hint="eastAsia" w:ascii="宋体" w:hAnsi="宋体" w:cs="宋体"/>
          <w:color w:val="auto"/>
          <w:sz w:val="24"/>
          <w:szCs w:val="24"/>
          <w:highlight w:val="none"/>
          <w:lang w:eastAsia="zh-CN"/>
        </w:rPr>
        <w:t>谈判</w:t>
      </w:r>
      <w:r>
        <w:rPr>
          <w:rFonts w:hint="eastAsia"/>
          <w:color w:val="auto"/>
          <w:sz w:val="24"/>
          <w:szCs w:val="24"/>
          <w:highlight w:val="none"/>
        </w:rPr>
        <w:t>供应商资</w:t>
      </w:r>
      <w:r>
        <w:rPr>
          <w:rFonts w:hint="eastAsia" w:ascii="宋体" w:hAnsi="宋体" w:cs="宋体"/>
          <w:color w:val="auto"/>
          <w:sz w:val="24"/>
          <w:szCs w:val="24"/>
          <w:highlight w:val="none"/>
        </w:rPr>
        <w:t>格。</w:t>
      </w:r>
    </w:p>
    <w:p w14:paraId="6A4C6B1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val="zh-CN"/>
        </w:rPr>
        <w:t>谈判报价：谈判报价为供应商在竞争谈判文件中提出的各项支付金额的总和。包括本次谈判全部内容及人员工资、材料费、工具费、税费等所发生的</w:t>
      </w:r>
      <w:r>
        <w:rPr>
          <w:rFonts w:hint="eastAsia" w:ascii="宋体" w:hAnsi="宋体" w:eastAsia="宋体" w:cs="宋体"/>
          <w:color w:val="auto"/>
          <w:sz w:val="24"/>
          <w:szCs w:val="24"/>
          <w:highlight w:val="none"/>
          <w:lang w:val="zh-CN"/>
        </w:rPr>
        <w:t>所有费用等。</w:t>
      </w:r>
      <w:r>
        <w:rPr>
          <w:rFonts w:hint="eastAsia" w:ascii="宋体" w:hAnsi="宋体" w:eastAsia="宋体" w:cs="宋体"/>
          <w:color w:val="auto"/>
          <w:sz w:val="24"/>
          <w:szCs w:val="24"/>
          <w:highlight w:val="none"/>
          <w:lang w:val="zh-CN" w:eastAsia="zh-CN"/>
        </w:rPr>
        <w:t>谈判</w:t>
      </w:r>
      <w:r>
        <w:rPr>
          <w:rFonts w:hint="eastAsia" w:ascii="宋体" w:hAnsi="宋体" w:eastAsia="宋体" w:cs="宋体"/>
          <w:color w:val="auto"/>
          <w:sz w:val="24"/>
          <w:szCs w:val="24"/>
          <w:highlight w:val="none"/>
          <w:lang w:val="zh-CN"/>
        </w:rPr>
        <w:t>供应商不得递交两份或多份内容不同的</w:t>
      </w:r>
      <w:r>
        <w:rPr>
          <w:rFonts w:hint="eastAsia" w:ascii="宋体" w:hAnsi="宋体" w:eastAsia="宋体" w:cs="宋体"/>
          <w:color w:val="auto"/>
          <w:sz w:val="24"/>
          <w:szCs w:val="24"/>
          <w:highlight w:val="none"/>
          <w:lang w:val="zh-CN" w:eastAsia="zh-CN"/>
        </w:rPr>
        <w:t>谈判</w:t>
      </w:r>
      <w:r>
        <w:rPr>
          <w:rFonts w:hint="eastAsia" w:ascii="宋体" w:hAnsi="宋体" w:eastAsia="宋体" w:cs="宋体"/>
          <w:color w:val="auto"/>
          <w:sz w:val="24"/>
          <w:szCs w:val="24"/>
          <w:highlight w:val="none"/>
          <w:lang w:val="zh-CN"/>
        </w:rPr>
        <w:t>响应文件，或在一份</w:t>
      </w:r>
      <w:r>
        <w:rPr>
          <w:rFonts w:hint="eastAsia" w:ascii="宋体" w:hAnsi="宋体" w:eastAsia="宋体" w:cs="宋体"/>
          <w:color w:val="auto"/>
          <w:sz w:val="24"/>
          <w:szCs w:val="24"/>
          <w:highlight w:val="none"/>
          <w:lang w:val="zh-CN" w:eastAsia="zh-CN"/>
        </w:rPr>
        <w:t>谈判</w:t>
      </w:r>
      <w:r>
        <w:rPr>
          <w:rFonts w:hint="eastAsia" w:ascii="宋体" w:hAnsi="宋体" w:eastAsia="宋体" w:cs="宋体"/>
          <w:color w:val="auto"/>
          <w:sz w:val="24"/>
          <w:szCs w:val="24"/>
          <w:highlight w:val="none"/>
          <w:lang w:val="zh-CN"/>
        </w:rPr>
        <w:t>响应文件中对同一谈判项目报有两个或多个报价，且未声明哪一个有效（</w:t>
      </w:r>
      <w:r>
        <w:rPr>
          <w:rFonts w:hint="eastAsia" w:ascii="宋体" w:hAnsi="宋体" w:cs="宋体"/>
          <w:color w:val="auto"/>
          <w:sz w:val="24"/>
          <w:szCs w:val="24"/>
          <w:highlight w:val="none"/>
        </w:rPr>
        <w:t>按</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文件规定提交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替代方案的除外），否则将被判定为无效</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w:t>
      </w:r>
    </w:p>
    <w:p w14:paraId="7873982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4、</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费用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供应商应承担其编制</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响应文件以及递交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响应文件所涉及的一切费用，无论</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结果如何，采购单位对上述费用不负任何责任。</w:t>
      </w:r>
    </w:p>
    <w:p w14:paraId="574A224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5、</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有效期：</w:t>
      </w:r>
      <w:r>
        <w:rPr>
          <w:rFonts w:hint="eastAsia" w:ascii="宋体" w:hAnsi="宋体" w:cs="宋体"/>
          <w:color w:val="auto"/>
          <w:kern w:val="0"/>
          <w:sz w:val="24"/>
          <w:szCs w:val="24"/>
          <w:highlight w:val="none"/>
        </w:rPr>
        <w:t>见供应商须知前附表</w:t>
      </w:r>
      <w:r>
        <w:rPr>
          <w:rFonts w:hint="eastAsia" w:ascii="宋体" w:hAnsi="宋体" w:cs="宋体"/>
          <w:bCs/>
          <w:color w:val="auto"/>
          <w:sz w:val="24"/>
          <w:szCs w:val="24"/>
          <w:highlight w:val="none"/>
        </w:rPr>
        <w:t>。</w:t>
      </w:r>
    </w:p>
    <w:p w14:paraId="46663C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6、供应商应确保所提供的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资料的真实性、有效性及合法性，否则，由此引起的被废标等任何责任由其自行承担。</w:t>
      </w:r>
    </w:p>
    <w:p w14:paraId="77D1750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7、为保证</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活动顺利进行，供应商应派相关技术人员进行现场答疑，授权代表必须到达</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现场。</w:t>
      </w:r>
    </w:p>
    <w:p w14:paraId="468EB9D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8、如果</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小组认为有必要，可要求供应商在指定时间内提交</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响应文件的补充资料或证明材料。指定时间内未能提交或提交不全，做无效标处理。</w:t>
      </w:r>
    </w:p>
    <w:p w14:paraId="02EE6D0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9、</w:t>
      </w:r>
      <w:r>
        <w:rPr>
          <w:rFonts w:hint="eastAsia" w:ascii="宋体" w:hAnsi="宋体" w:cs="宋体"/>
          <w:bCs/>
          <w:color w:val="auto"/>
          <w:sz w:val="24"/>
          <w:szCs w:val="24"/>
          <w:highlight w:val="none"/>
          <w:lang w:eastAsia="zh-CN"/>
        </w:rPr>
        <w:t>竞争谈判</w:t>
      </w:r>
      <w:r>
        <w:rPr>
          <w:rFonts w:hint="eastAsia" w:ascii="宋体" w:hAnsi="宋体" w:cs="宋体"/>
          <w:bCs/>
          <w:color w:val="auto"/>
          <w:sz w:val="24"/>
          <w:szCs w:val="24"/>
          <w:highlight w:val="none"/>
        </w:rPr>
        <w:t>文件中如果提供参考商标或品牌，仅作为说明并没有限制性。供应商在</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中若选用替代商标或品牌，应优于或相当于参考商标或品牌，否则</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小组有权拒绝其</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w:t>
      </w:r>
    </w:p>
    <w:p w14:paraId="632CCC9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10、供应商必须保证，采购人在中华人民共和国境内使用</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货物、资料、技术、服务或其任何一部分时，享有不受限制的无偿使用权，不会产生因第三方提出侵犯其专利权、商标权或其它知识产权而引起的法律或经济纠纷。如供应商不拥有相应的知识产权，则在</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报价中必须包括合法获取该知识产权的一切相关费用。</w:t>
      </w:r>
    </w:p>
    <w:p w14:paraId="58C7EFE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bCs/>
          <w:color w:val="auto"/>
          <w:sz w:val="24"/>
          <w:szCs w:val="24"/>
          <w:highlight w:val="none"/>
        </w:rPr>
        <w:t>11、</w:t>
      </w:r>
      <w:r>
        <w:rPr>
          <w:rFonts w:hint="eastAsia" w:ascii="宋体" w:hAnsi="宋体" w:cs="宋体"/>
          <w:color w:val="auto"/>
          <w:sz w:val="24"/>
          <w:szCs w:val="24"/>
          <w:highlight w:val="none"/>
        </w:rPr>
        <w:t>本项目</w:t>
      </w:r>
      <w:r>
        <w:rPr>
          <w:rFonts w:hint="eastAsia" w:ascii="宋体" w:hAnsi="宋体" w:cs="宋体"/>
          <w:color w:val="auto"/>
          <w:sz w:val="24"/>
          <w:szCs w:val="24"/>
          <w:highlight w:val="none"/>
          <w:lang w:val="en-US" w:eastAsia="zh-CN"/>
        </w:rPr>
        <w:t>不</w:t>
      </w:r>
      <w:r>
        <w:rPr>
          <w:rFonts w:hint="eastAsia" w:ascii="宋体" w:hAnsi="宋体" w:cs="宋体"/>
          <w:color w:val="auto"/>
          <w:sz w:val="24"/>
          <w:szCs w:val="24"/>
          <w:highlight w:val="none"/>
        </w:rPr>
        <w:t>接受联合体</w:t>
      </w:r>
      <w:r>
        <w:rPr>
          <w:rFonts w:hint="eastAsia" w:ascii="宋体" w:hAnsi="宋体" w:cs="宋体"/>
          <w:color w:val="auto"/>
          <w:sz w:val="24"/>
          <w:szCs w:val="24"/>
          <w:highlight w:val="none"/>
          <w:lang w:val="en-US" w:eastAsia="zh-CN"/>
        </w:rPr>
        <w:t>投标</w:t>
      </w:r>
      <w:r>
        <w:rPr>
          <w:rFonts w:hint="eastAsia" w:ascii="宋体" w:hAnsi="宋体" w:cs="宋体"/>
          <w:color w:val="auto"/>
          <w:sz w:val="24"/>
          <w:szCs w:val="24"/>
          <w:highlight w:val="none"/>
        </w:rPr>
        <w:t>。</w:t>
      </w:r>
    </w:p>
    <w:p w14:paraId="78EC65B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12、</w:t>
      </w:r>
      <w:r>
        <w:rPr>
          <w:rFonts w:hint="eastAsia" w:ascii="宋体" w:hAnsi="宋体" w:cs="宋体"/>
          <w:color w:val="auto"/>
          <w:sz w:val="24"/>
          <w:szCs w:val="24"/>
          <w:highlight w:val="none"/>
        </w:rPr>
        <w:t>本项目</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报价采用的币种为</w:t>
      </w:r>
      <w:r>
        <w:rPr>
          <w:rFonts w:hint="eastAsia" w:ascii="宋体" w:hAnsi="宋体" w:cs="宋体"/>
          <w:color w:val="auto"/>
          <w:sz w:val="24"/>
          <w:szCs w:val="24"/>
          <w:highlight w:val="none"/>
          <w:u w:val="single"/>
        </w:rPr>
        <w:t xml:space="preserve"> 人民币 </w:t>
      </w:r>
      <w:r>
        <w:rPr>
          <w:rFonts w:hint="eastAsia" w:ascii="宋体" w:hAnsi="宋体" w:cs="宋体"/>
          <w:color w:val="auto"/>
          <w:sz w:val="24"/>
          <w:szCs w:val="24"/>
          <w:highlight w:val="none"/>
        </w:rPr>
        <w:t>。</w:t>
      </w:r>
    </w:p>
    <w:p w14:paraId="03787D0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13、</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响应文件和与</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有关的所有文件均应使用</w:t>
      </w:r>
      <w:r>
        <w:rPr>
          <w:rFonts w:hint="eastAsia" w:ascii="宋体" w:hAnsi="宋体" w:cs="宋体"/>
          <w:color w:val="auto"/>
          <w:sz w:val="24"/>
          <w:szCs w:val="24"/>
          <w:highlight w:val="none"/>
          <w:u w:val="single"/>
        </w:rPr>
        <w:t xml:space="preserve"> 汉语 </w:t>
      </w:r>
      <w:r>
        <w:rPr>
          <w:rFonts w:hint="eastAsia" w:ascii="宋体" w:hAnsi="宋体" w:cs="宋体"/>
          <w:color w:val="auto"/>
          <w:sz w:val="24"/>
          <w:szCs w:val="24"/>
          <w:highlight w:val="none"/>
        </w:rPr>
        <w:t>。</w:t>
      </w:r>
    </w:p>
    <w:p w14:paraId="7BCC596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14、除另有规定外，</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响应文件使用的</w:t>
      </w:r>
      <w:r>
        <w:rPr>
          <w:rFonts w:hint="eastAsia" w:ascii="宋体" w:hAnsi="宋体" w:cs="宋体"/>
          <w:color w:val="auto"/>
          <w:sz w:val="24"/>
          <w:szCs w:val="24"/>
          <w:highlight w:val="none"/>
          <w:lang w:val="en-US" w:eastAsia="zh-CN"/>
        </w:rPr>
        <w:t>度</w:t>
      </w:r>
      <w:r>
        <w:rPr>
          <w:rFonts w:hint="eastAsia" w:ascii="宋体" w:hAnsi="宋体" w:cs="宋体"/>
          <w:color w:val="auto"/>
          <w:sz w:val="24"/>
          <w:szCs w:val="24"/>
          <w:highlight w:val="none"/>
        </w:rPr>
        <w:t>量衡单位，均采用</w:t>
      </w:r>
      <w:r>
        <w:rPr>
          <w:rFonts w:hint="eastAsia" w:ascii="宋体" w:hAnsi="宋体" w:cs="宋体"/>
          <w:color w:val="auto"/>
          <w:sz w:val="24"/>
          <w:szCs w:val="24"/>
          <w:highlight w:val="none"/>
          <w:u w:val="single"/>
        </w:rPr>
        <w:t>中华人民共和国法定</w:t>
      </w:r>
      <w:r>
        <w:rPr>
          <w:rFonts w:hint="eastAsia" w:ascii="宋体" w:hAnsi="宋体" w:cs="宋体"/>
          <w:color w:val="auto"/>
          <w:sz w:val="24"/>
          <w:szCs w:val="24"/>
          <w:highlight w:val="none"/>
        </w:rPr>
        <w:t>计量单位。</w:t>
      </w:r>
    </w:p>
    <w:p w14:paraId="683B5FF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15、</w:t>
      </w:r>
      <w:r>
        <w:rPr>
          <w:rFonts w:hint="eastAsia" w:ascii="宋体" w:hAnsi="宋体" w:cs="宋体"/>
          <w:bCs/>
          <w:color w:val="auto"/>
          <w:sz w:val="24"/>
          <w:szCs w:val="24"/>
          <w:highlight w:val="none"/>
          <w:lang w:eastAsia="zh-CN"/>
        </w:rPr>
        <w:t>本公司</w:t>
      </w:r>
      <w:r>
        <w:rPr>
          <w:rFonts w:hint="eastAsia" w:ascii="宋体" w:hAnsi="宋体" w:cs="宋体"/>
          <w:bCs/>
          <w:color w:val="auto"/>
          <w:sz w:val="24"/>
          <w:szCs w:val="24"/>
          <w:highlight w:val="none"/>
        </w:rPr>
        <w:t>一律不予退还供应商的</w:t>
      </w:r>
      <w:r>
        <w:rPr>
          <w:rFonts w:hint="eastAsia" w:ascii="宋体" w:hAnsi="宋体" w:cs="宋体"/>
          <w:bCs/>
          <w:color w:val="auto"/>
          <w:sz w:val="24"/>
          <w:szCs w:val="24"/>
          <w:highlight w:val="none"/>
          <w:lang w:eastAsia="zh-CN"/>
        </w:rPr>
        <w:t>谈判</w:t>
      </w:r>
      <w:r>
        <w:rPr>
          <w:rFonts w:hint="eastAsia" w:ascii="宋体" w:hAnsi="宋体" w:cs="宋体"/>
          <w:bCs/>
          <w:color w:val="auto"/>
          <w:sz w:val="24"/>
          <w:szCs w:val="24"/>
          <w:highlight w:val="none"/>
        </w:rPr>
        <w:t>响应文件。</w:t>
      </w:r>
    </w:p>
    <w:p w14:paraId="088CE81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b/>
          <w:bCs w:val="0"/>
          <w:color w:val="auto"/>
          <w:sz w:val="24"/>
          <w:szCs w:val="24"/>
          <w:highlight w:val="none"/>
        </w:rPr>
      </w:pPr>
      <w:r>
        <w:rPr>
          <w:rFonts w:hint="eastAsia" w:ascii="宋体" w:hAnsi="宋体" w:cs="宋体"/>
          <w:b/>
          <w:bCs w:val="0"/>
          <w:color w:val="auto"/>
          <w:sz w:val="24"/>
          <w:szCs w:val="24"/>
          <w:highlight w:val="none"/>
        </w:rPr>
        <w:t>16、与本次招标活动相关的信息，将在</w:t>
      </w:r>
      <w:r>
        <w:rPr>
          <w:rFonts w:hint="eastAsia" w:ascii="宋体" w:hAnsi="宋体" w:cs="宋体"/>
          <w:b/>
          <w:bCs w:val="0"/>
          <w:color w:val="auto"/>
          <w:sz w:val="24"/>
          <w:szCs w:val="24"/>
          <w:highlight w:val="none"/>
          <w:lang w:eastAsia="zh-CN"/>
        </w:rPr>
        <w:t>安徽霍山国有资产投资控股集团有限公司</w:t>
      </w:r>
      <w:r>
        <w:rPr>
          <w:rFonts w:hint="eastAsia" w:ascii="宋体" w:hAnsi="宋体" w:cs="宋体"/>
          <w:b/>
          <w:bCs w:val="0"/>
          <w:color w:val="auto"/>
          <w:sz w:val="24"/>
          <w:szCs w:val="24"/>
          <w:highlight w:val="none"/>
        </w:rPr>
        <w:t>（http</w:t>
      </w:r>
      <w:r>
        <w:rPr>
          <w:rFonts w:hint="eastAsia" w:ascii="宋体" w:hAnsi="宋体" w:cs="宋体"/>
          <w:b/>
          <w:bCs w:val="0"/>
          <w:color w:val="auto"/>
          <w:sz w:val="24"/>
          <w:szCs w:val="24"/>
          <w:highlight w:val="none"/>
          <w:lang w:eastAsia="zh-CN"/>
        </w:rPr>
        <w:t>：</w:t>
      </w:r>
      <w:r>
        <w:rPr>
          <w:rFonts w:hint="eastAsia" w:ascii="宋体" w:hAnsi="宋体" w:cs="宋体"/>
          <w:b/>
          <w:bCs w:val="0"/>
          <w:color w:val="auto"/>
          <w:sz w:val="24"/>
          <w:szCs w:val="24"/>
          <w:highlight w:val="none"/>
        </w:rPr>
        <w:t>//ahdmig.cn/）上及时发布。供应商对本须知如有不清楚之处，请在递交</w:t>
      </w:r>
      <w:r>
        <w:rPr>
          <w:rFonts w:hint="eastAsia" w:ascii="宋体" w:hAnsi="宋体" w:cs="宋体"/>
          <w:b/>
          <w:bCs w:val="0"/>
          <w:color w:val="auto"/>
          <w:sz w:val="24"/>
          <w:szCs w:val="24"/>
          <w:highlight w:val="none"/>
          <w:lang w:val="en-US" w:eastAsia="zh-CN"/>
        </w:rPr>
        <w:t>响应</w:t>
      </w:r>
      <w:r>
        <w:rPr>
          <w:rFonts w:hint="eastAsia" w:ascii="宋体" w:hAnsi="宋体" w:cs="宋体"/>
          <w:b/>
          <w:bCs w:val="0"/>
          <w:color w:val="auto"/>
          <w:sz w:val="24"/>
          <w:szCs w:val="24"/>
          <w:highlight w:val="none"/>
        </w:rPr>
        <w:t>文件截止时间</w:t>
      </w:r>
      <w:r>
        <w:rPr>
          <w:rFonts w:hint="eastAsia" w:ascii="宋体" w:hAnsi="宋体" w:cs="宋体"/>
          <w:b/>
          <w:bCs w:val="0"/>
          <w:color w:val="auto"/>
          <w:sz w:val="24"/>
          <w:szCs w:val="24"/>
          <w:highlight w:val="none"/>
          <w:lang w:val="en-US" w:eastAsia="zh-CN"/>
        </w:rPr>
        <w:t>2</w:t>
      </w:r>
      <w:r>
        <w:rPr>
          <w:rFonts w:hint="eastAsia" w:ascii="宋体" w:hAnsi="宋体" w:cs="宋体"/>
          <w:b/>
          <w:bCs w:val="0"/>
          <w:color w:val="auto"/>
          <w:sz w:val="24"/>
          <w:szCs w:val="24"/>
          <w:highlight w:val="none"/>
        </w:rPr>
        <w:t>天前，以书面形式告知采购人</w:t>
      </w:r>
      <w:r>
        <w:rPr>
          <w:rFonts w:hint="eastAsia" w:ascii="宋体" w:hAnsi="宋体" w:cs="宋体"/>
          <w:b/>
          <w:bCs w:val="0"/>
          <w:color w:val="auto"/>
          <w:sz w:val="24"/>
          <w:szCs w:val="24"/>
          <w:highlight w:val="none"/>
          <w:lang w:val="en-US" w:eastAsia="zh-CN"/>
        </w:rPr>
        <w:t>或</w:t>
      </w:r>
      <w:r>
        <w:rPr>
          <w:rFonts w:hint="eastAsia" w:ascii="宋体" w:hAnsi="宋体" w:cs="宋体"/>
          <w:b/>
          <w:bCs w:val="0"/>
          <w:color w:val="auto"/>
          <w:sz w:val="24"/>
          <w:szCs w:val="24"/>
          <w:highlight w:val="none"/>
          <w:lang w:eastAsia="zh-CN"/>
        </w:rPr>
        <w:t>安徽大别山工程咨询有限公司</w:t>
      </w:r>
      <w:r>
        <w:rPr>
          <w:rFonts w:hint="eastAsia" w:ascii="宋体" w:hAnsi="宋体" w:cs="宋体"/>
          <w:b/>
          <w:bCs w:val="0"/>
          <w:color w:val="auto"/>
          <w:sz w:val="24"/>
          <w:szCs w:val="24"/>
          <w:highlight w:val="none"/>
        </w:rPr>
        <w:t>并说明原因，逾期不予受理。</w:t>
      </w:r>
    </w:p>
    <w:p w14:paraId="346EBEB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bCs/>
          <w:color w:val="auto"/>
          <w:sz w:val="24"/>
          <w:szCs w:val="24"/>
          <w:highlight w:val="none"/>
        </w:rPr>
      </w:pPr>
      <w:r>
        <w:rPr>
          <w:rFonts w:hint="eastAsia" w:ascii="宋体" w:hAnsi="宋体" w:cs="宋体"/>
          <w:bCs/>
          <w:color w:val="auto"/>
          <w:sz w:val="24"/>
          <w:szCs w:val="24"/>
          <w:highlight w:val="none"/>
        </w:rPr>
        <w:t>17、本</w:t>
      </w:r>
      <w:r>
        <w:rPr>
          <w:rFonts w:hint="eastAsia" w:ascii="宋体" w:hAnsi="宋体" w:cs="宋体"/>
          <w:bCs/>
          <w:color w:val="auto"/>
          <w:sz w:val="24"/>
          <w:szCs w:val="24"/>
          <w:highlight w:val="none"/>
          <w:lang w:eastAsia="zh-CN"/>
        </w:rPr>
        <w:t>竞争谈判</w:t>
      </w:r>
      <w:r>
        <w:rPr>
          <w:rFonts w:hint="eastAsia" w:ascii="宋体" w:hAnsi="宋体" w:cs="宋体"/>
          <w:bCs/>
          <w:color w:val="auto"/>
          <w:sz w:val="24"/>
          <w:szCs w:val="24"/>
          <w:highlight w:val="none"/>
        </w:rPr>
        <w:t>文件的解释权属于采购人</w:t>
      </w:r>
      <w:r>
        <w:rPr>
          <w:rFonts w:hint="eastAsia" w:ascii="宋体" w:hAnsi="宋体" w:cs="宋体"/>
          <w:bCs/>
          <w:color w:val="auto"/>
          <w:sz w:val="24"/>
          <w:szCs w:val="24"/>
          <w:highlight w:val="none"/>
          <w:lang w:val="en-US" w:eastAsia="zh-CN"/>
        </w:rPr>
        <w:t>和</w:t>
      </w:r>
      <w:r>
        <w:rPr>
          <w:rFonts w:hint="eastAsia" w:ascii="宋体" w:hAnsi="宋体" w:cs="宋体"/>
          <w:bCs/>
          <w:color w:val="auto"/>
          <w:sz w:val="24"/>
          <w:szCs w:val="24"/>
          <w:highlight w:val="none"/>
          <w:lang w:eastAsia="zh-CN"/>
        </w:rPr>
        <w:t>安徽大别山工程咨询有限公司</w:t>
      </w:r>
      <w:r>
        <w:rPr>
          <w:rFonts w:hint="eastAsia" w:ascii="宋体" w:hAnsi="宋体" w:cs="宋体"/>
          <w:bCs/>
          <w:color w:val="auto"/>
          <w:sz w:val="24"/>
          <w:szCs w:val="24"/>
          <w:highlight w:val="none"/>
        </w:rPr>
        <w:t>。</w:t>
      </w:r>
    </w:p>
    <w:bookmarkEnd w:id="29"/>
    <w:bookmarkEnd w:id="30"/>
    <w:bookmarkEnd w:id="31"/>
    <w:p w14:paraId="38C598FE">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en-US" w:eastAsia="zh-CN" w:bidi="ar-SA"/>
        </w:rPr>
        <w:t>三、</w:t>
      </w:r>
      <w:r>
        <w:rPr>
          <w:rFonts w:hint="eastAsia" w:ascii="宋体" w:hAnsi="宋体" w:eastAsia="宋体" w:cs="宋体"/>
          <w:b/>
          <w:bCs/>
          <w:color w:val="auto"/>
          <w:kern w:val="0"/>
          <w:sz w:val="30"/>
          <w:szCs w:val="30"/>
          <w:highlight w:val="none"/>
          <w:lang w:val="zh-CN" w:eastAsia="zh-CN" w:bidi="ar-SA"/>
        </w:rPr>
        <w:t>竞争谈判文件内容、澄清及修改</w:t>
      </w:r>
    </w:p>
    <w:p w14:paraId="42E4DE5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文件的组成</w:t>
      </w:r>
    </w:p>
    <w:p w14:paraId="5A30400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文件包括本章第3条发出的修改澄清通知。</w:t>
      </w:r>
    </w:p>
    <w:p w14:paraId="33373FF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（2）供应商应认真审阅</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文件所有的内容，如果供应商的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响应文件不能实质性地响应</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文件要求，将作废标处理。</w:t>
      </w:r>
    </w:p>
    <w:p w14:paraId="56FF07B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文件的澄清</w:t>
      </w:r>
    </w:p>
    <w:p w14:paraId="4FD672A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（1）要求澄清</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文件的供应商，最迟应在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截止日期前</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天以书面或传真的方式向采购人提出要求澄清的问题。采购人在不迟于</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截止日前</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天以书面形式予以解答，此书面答复（包括对询问的解释，但不说明询问来源）将以补充书面文件形式在</w:t>
      </w:r>
      <w:r>
        <w:rPr>
          <w:rFonts w:hint="eastAsia" w:ascii="宋体" w:hAnsi="宋体" w:cs="宋体"/>
          <w:color w:val="auto"/>
          <w:sz w:val="24"/>
          <w:szCs w:val="24"/>
          <w:highlight w:val="none"/>
          <w:lang w:eastAsia="zh-CN"/>
        </w:rPr>
        <w:t>安徽霍山国有资产投资控股集团有限公司</w:t>
      </w:r>
      <w:r>
        <w:rPr>
          <w:rFonts w:hint="eastAsia" w:ascii="宋体" w:hAnsi="宋体" w:cs="宋体"/>
          <w:color w:val="auto"/>
          <w:sz w:val="24"/>
          <w:szCs w:val="24"/>
          <w:highlight w:val="none"/>
        </w:rPr>
        <w:t>（http</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//ahdmig.cn/）上及时发布，由此而产生的对</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文件内容的修改，将均在网上发布。</w:t>
      </w:r>
    </w:p>
    <w:p w14:paraId="3964F16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（2）供应商对采购人提供的</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文件所做的推证、解释和结论，采购人概不负责，供应商由于对</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文件的任何推证和误解以及</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文件对有关问题的口头解释所造成的后果，均由供应商自负。供应商应认真检查</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文件是否齐全，如有遗漏，请于3日内向</w:t>
      </w:r>
      <w:r>
        <w:rPr>
          <w:rFonts w:hint="eastAsia" w:ascii="宋体" w:hAnsi="宋体" w:cs="宋体"/>
          <w:color w:val="auto"/>
          <w:sz w:val="24"/>
          <w:szCs w:val="24"/>
          <w:highlight w:val="none"/>
          <w:lang w:val="en-US" w:eastAsia="zh-CN"/>
        </w:rPr>
        <w:t>本公司</w:t>
      </w:r>
      <w:r>
        <w:rPr>
          <w:rFonts w:hint="eastAsia" w:ascii="宋体" w:hAnsi="宋体" w:cs="宋体"/>
          <w:color w:val="auto"/>
          <w:sz w:val="24"/>
          <w:szCs w:val="24"/>
          <w:highlight w:val="none"/>
        </w:rPr>
        <w:t>索取，否则责任自负。</w:t>
      </w:r>
    </w:p>
    <w:p w14:paraId="7AB84B0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文件的修改</w:t>
      </w:r>
    </w:p>
    <w:p w14:paraId="7A3646A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截止日期</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天前，采购人可以以网站发布更正通知的方式修改</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文件，修改通知作为</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文件的组成部分，对供应商有同等约束作用。</w:t>
      </w:r>
    </w:p>
    <w:p w14:paraId="2898462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（2）供应商在收到</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文件修改通知后24小时内，应以电话、电报、电传或传真等形式告知</w:t>
      </w:r>
      <w:r>
        <w:rPr>
          <w:rFonts w:hint="eastAsia" w:ascii="宋体" w:hAnsi="宋体" w:cs="宋体"/>
          <w:color w:val="auto"/>
          <w:sz w:val="24"/>
          <w:szCs w:val="24"/>
          <w:highlight w:val="none"/>
          <w:lang w:eastAsia="zh-CN"/>
        </w:rPr>
        <w:t>本公司</w:t>
      </w:r>
      <w:r>
        <w:rPr>
          <w:rFonts w:hint="eastAsia" w:ascii="宋体" w:hAnsi="宋体" w:cs="宋体"/>
          <w:color w:val="auto"/>
          <w:sz w:val="24"/>
          <w:szCs w:val="24"/>
          <w:highlight w:val="none"/>
        </w:rPr>
        <w:t>予以确认。</w:t>
      </w:r>
    </w:p>
    <w:p w14:paraId="373927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（3）为使供应商有合理的时间将修改通知内容考虑进去，采购人可以酌情延长递交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响应文件的截止日期，具体时间将在修改通知中写明。当</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文件、修改通知内容相互矛盾时，以最后发出的书面通知为准。</w:t>
      </w:r>
    </w:p>
    <w:p w14:paraId="17CF29D7">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四、谈判响应文件的编制</w:t>
      </w:r>
    </w:p>
    <w:p w14:paraId="3F642B8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响应文件是对</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文件实质性响应的承诺文件。</w:t>
      </w:r>
    </w:p>
    <w:p w14:paraId="6D22C86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响应文件的份数和签署</w:t>
      </w:r>
    </w:p>
    <w:p w14:paraId="335F745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color w:val="auto"/>
          <w:kern w:val="0"/>
          <w:sz w:val="24"/>
          <w:szCs w:val="24"/>
          <w:highlight w:val="none"/>
        </w:rPr>
      </w:pPr>
      <w:r>
        <w:rPr>
          <w:rFonts w:hint="eastAsia" w:ascii="宋体" w:hAnsi="宋体" w:cs="宋体"/>
          <w:color w:val="auto"/>
          <w:sz w:val="24"/>
          <w:szCs w:val="24"/>
          <w:highlight w:val="none"/>
        </w:rPr>
        <w:t>（1）</w:t>
      </w:r>
      <w:r>
        <w:rPr>
          <w:rFonts w:hint="eastAsia" w:ascii="宋体" w:hAnsi="宋体" w:cs="宋体"/>
          <w:b/>
          <w:color w:val="auto"/>
          <w:kern w:val="0"/>
          <w:sz w:val="24"/>
          <w:szCs w:val="24"/>
          <w:highlight w:val="none"/>
        </w:rPr>
        <w:t>供应商应按本</w:t>
      </w:r>
      <w:r>
        <w:rPr>
          <w:rFonts w:hint="eastAsia" w:ascii="宋体" w:hAnsi="宋体" w:cs="宋体"/>
          <w:b/>
          <w:color w:val="auto"/>
          <w:kern w:val="0"/>
          <w:sz w:val="24"/>
          <w:szCs w:val="24"/>
          <w:highlight w:val="none"/>
          <w:lang w:eastAsia="zh-CN"/>
        </w:rPr>
        <w:t>竞争谈判</w:t>
      </w:r>
      <w:r>
        <w:rPr>
          <w:rFonts w:hint="eastAsia" w:ascii="宋体" w:hAnsi="宋体" w:cs="宋体"/>
          <w:b/>
          <w:color w:val="auto"/>
          <w:kern w:val="0"/>
          <w:sz w:val="24"/>
          <w:szCs w:val="24"/>
          <w:highlight w:val="none"/>
        </w:rPr>
        <w:t>文件的规定，向采购单位提交</w:t>
      </w:r>
      <w:r>
        <w:rPr>
          <w:rFonts w:hint="eastAsia" w:ascii="宋体" w:hAnsi="宋体" w:cs="宋体"/>
          <w:b/>
          <w:color w:val="auto"/>
          <w:kern w:val="0"/>
          <w:sz w:val="24"/>
          <w:szCs w:val="24"/>
          <w:highlight w:val="none"/>
          <w:lang w:eastAsia="zh-CN"/>
        </w:rPr>
        <w:t>谈判</w:t>
      </w:r>
      <w:r>
        <w:rPr>
          <w:rFonts w:hint="eastAsia" w:ascii="宋体" w:hAnsi="宋体" w:cs="宋体"/>
          <w:b/>
          <w:color w:val="auto"/>
          <w:kern w:val="0"/>
          <w:sz w:val="24"/>
          <w:szCs w:val="24"/>
          <w:highlight w:val="none"/>
        </w:rPr>
        <w:t>响应文件，其中壹份正本，贰份副本。并在封</w:t>
      </w:r>
      <w:r>
        <w:rPr>
          <w:rFonts w:hint="eastAsia" w:ascii="宋体" w:hAnsi="宋体" w:cs="宋体"/>
          <w:b/>
          <w:color w:val="auto"/>
          <w:kern w:val="0"/>
          <w:sz w:val="24"/>
          <w:szCs w:val="24"/>
          <w:highlight w:val="none"/>
          <w:lang w:val="en-US" w:eastAsia="zh-CN"/>
        </w:rPr>
        <w:t>面</w:t>
      </w:r>
      <w:r>
        <w:rPr>
          <w:rFonts w:hint="eastAsia" w:ascii="宋体" w:hAnsi="宋体" w:cs="宋体"/>
          <w:b/>
          <w:color w:val="auto"/>
          <w:kern w:val="0"/>
          <w:sz w:val="24"/>
          <w:szCs w:val="24"/>
          <w:highlight w:val="none"/>
        </w:rPr>
        <w:t>上注明“正本”或“副本”字样，当正本与副本有不一致时，以正本为准。</w:t>
      </w:r>
    </w:p>
    <w:p w14:paraId="5A90193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响应文件正、副本均使用A4纸统一装订，且均应使用不能擦去的墨水书写或打印，按前附表要求盖章、签字。</w:t>
      </w:r>
    </w:p>
    <w:p w14:paraId="289BEDD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bCs/>
          <w:color w:val="auto"/>
          <w:sz w:val="24"/>
          <w:szCs w:val="24"/>
          <w:highlight w:val="none"/>
        </w:rPr>
      </w:pPr>
      <w:r>
        <w:rPr>
          <w:rFonts w:hint="eastAsia" w:ascii="宋体" w:hAnsi="宋体" w:cs="宋体"/>
          <w:color w:val="auto"/>
          <w:sz w:val="24"/>
          <w:szCs w:val="24"/>
          <w:highlight w:val="none"/>
        </w:rPr>
        <w:t>（3）全套</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响应文件应无修改和行间插字，除非这些修改是根据“</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文件修改通知”的要求进行的，或者是供应商明显笔误必须修改的。不论何种原因造成的涂改、插字和删除，都应由</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响应文件签署人加盖印鉴。</w:t>
      </w:r>
    </w:p>
    <w:p w14:paraId="1B8B2D49">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五、谈判响应文件的递交</w:t>
      </w:r>
    </w:p>
    <w:p w14:paraId="325DE9F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响应文件的密封与标志</w:t>
      </w:r>
    </w:p>
    <w:p w14:paraId="6BE888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谈判响应文件所有正、副本均应密封在一个文件袋中，并在封套上加盖供应商公章，封套上应写明：“</w:t>
      </w:r>
      <w:r>
        <w:rPr>
          <w:rFonts w:hint="eastAsia" w:ascii="宋体" w:hAnsi="宋体" w:cs="宋体"/>
          <w:color w:val="auto"/>
          <w:sz w:val="24"/>
          <w:szCs w:val="24"/>
          <w:highlight w:val="none"/>
          <w:u w:val="single"/>
        </w:rPr>
        <w:t>（采购项目名称）</w:t>
      </w:r>
      <w:r>
        <w:rPr>
          <w:rFonts w:hint="eastAsia" w:ascii="宋体" w:hAnsi="宋体" w:cs="宋体"/>
          <w:color w:val="auto"/>
          <w:sz w:val="24"/>
          <w:szCs w:val="24"/>
          <w:highlight w:val="none"/>
        </w:rPr>
        <w:t>谈判响应文件、</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时</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分前不得开启”字样。</w:t>
      </w:r>
    </w:p>
    <w:p w14:paraId="040F169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供应商未按要求密封响应文件的，自行承担响应文件遗失、提前解封等责任。</w:t>
      </w:r>
    </w:p>
    <w:p w14:paraId="5C59F63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截止期</w:t>
      </w:r>
    </w:p>
    <w:p w14:paraId="32D02DC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（1）供应商应在</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须知中规定的时间之前将</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响应文件递交到指定地点。采购单位在接到</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响应文件时将注明收到的日期和时间。</w:t>
      </w:r>
    </w:p>
    <w:p w14:paraId="771F471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（2）超过</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截止期送达的</w:t>
      </w:r>
      <w:r>
        <w:rPr>
          <w:rFonts w:hint="eastAsia" w:ascii="宋体" w:hAnsi="宋体" w:cs="宋体"/>
          <w:color w:val="auto"/>
          <w:kern w:val="0"/>
          <w:sz w:val="24"/>
          <w:szCs w:val="24"/>
          <w:highlight w:val="none"/>
          <w:lang w:eastAsia="zh-CN"/>
        </w:rPr>
        <w:t>谈判</w:t>
      </w:r>
      <w:r>
        <w:rPr>
          <w:rFonts w:hint="eastAsia" w:ascii="宋体" w:hAnsi="宋体" w:cs="宋体"/>
          <w:color w:val="auto"/>
          <w:kern w:val="0"/>
          <w:sz w:val="24"/>
          <w:szCs w:val="24"/>
          <w:highlight w:val="none"/>
        </w:rPr>
        <w:t>响应文件将被拒绝并原封退给供应商。</w:t>
      </w:r>
    </w:p>
    <w:p w14:paraId="75A09A8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响应文件的修改与撤回</w:t>
      </w:r>
    </w:p>
    <w:p w14:paraId="4C059B2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（1）供应商可以在递交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响应文件以后，在规定的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截止期之前，以书面形式向采购单位递交修改或撤回其</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响应文件的通知。在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截止期以后，不得更改</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w:t>
      </w:r>
    </w:p>
    <w:p w14:paraId="27023B2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（2）供应商的修改或撤回通知，应按本文件的要求编制、密封、标志和递交（密封袋上应标明“修改”或“撤回”字样）。</w:t>
      </w:r>
    </w:p>
    <w:p w14:paraId="4732EF0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有效期内，供应商不得撤销</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响应文件，否则其</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若有</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不予退还。</w:t>
      </w:r>
    </w:p>
    <w:p w14:paraId="7D4483A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4、</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若有</w:t>
      </w:r>
      <w:r>
        <w:rPr>
          <w:rFonts w:hint="eastAsia" w:ascii="宋体" w:hAnsi="宋体" w:cs="宋体"/>
          <w:color w:val="auto"/>
          <w:sz w:val="24"/>
          <w:szCs w:val="24"/>
          <w:highlight w:val="none"/>
          <w:lang w:eastAsia="zh-CN"/>
        </w:rPr>
        <w:t>）</w:t>
      </w:r>
    </w:p>
    <w:p w14:paraId="7E8F17F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前，供应商应向</w:t>
      </w:r>
      <w:r>
        <w:rPr>
          <w:rFonts w:hint="eastAsia" w:ascii="宋体" w:hAnsi="宋体" w:cs="宋体"/>
          <w:color w:val="auto"/>
          <w:sz w:val="24"/>
          <w:szCs w:val="24"/>
          <w:highlight w:val="none"/>
          <w:lang w:eastAsia="zh-CN"/>
        </w:rPr>
        <w:t>本公司</w:t>
      </w:r>
      <w:r>
        <w:rPr>
          <w:rFonts w:hint="eastAsia" w:ascii="宋体" w:hAnsi="宋体" w:cs="宋体"/>
          <w:color w:val="auto"/>
          <w:sz w:val="24"/>
          <w:szCs w:val="24"/>
          <w:highlight w:val="none"/>
        </w:rPr>
        <w:t>提交供应商须知前附表规定金额的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保证金，作为</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的一部分。</w:t>
      </w:r>
    </w:p>
    <w:p w14:paraId="471B178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（2）在评审时，对于未按要求提交</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保证金的</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，将被视为非响应性</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而导致</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无效。</w:t>
      </w:r>
    </w:p>
    <w:p w14:paraId="4B2895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w:t>
      </w:r>
      <w:r>
        <w:rPr>
          <w:rFonts w:hint="eastAsia" w:ascii="宋体" w:hAnsi="宋体" w:cs="宋体"/>
          <w:bCs/>
          <w:color w:val="auto"/>
          <w:kern w:val="0"/>
          <w:sz w:val="24"/>
          <w:szCs w:val="24"/>
          <w:highlight w:val="none"/>
          <w:lang w:val="zh-CN"/>
        </w:rPr>
        <w:t>成交单位的保证金在缴纳代理服务费后，退至其账户；未成交单位（含成交备选单位）的谈判保证金在确定成交单位后5个工作日内退其单位账户。</w:t>
      </w:r>
    </w:p>
    <w:p w14:paraId="6879829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cs="宋体"/>
          <w:color w:val="auto"/>
          <w:sz w:val="24"/>
          <w:szCs w:val="24"/>
          <w:highlight w:val="none"/>
        </w:rPr>
      </w:pPr>
      <w:r>
        <w:rPr>
          <w:rFonts w:hint="eastAsia" w:ascii="宋体" w:hAnsi="宋体" w:cs="宋体"/>
          <w:b/>
          <w:bCs/>
          <w:color w:val="auto"/>
          <w:sz w:val="24"/>
          <w:szCs w:val="24"/>
          <w:highlight w:val="none"/>
        </w:rPr>
        <w:t>5、</w:t>
      </w:r>
      <w:r>
        <w:rPr>
          <w:rFonts w:hint="eastAsia" w:ascii="宋体" w:hAnsi="宋体" w:cs="宋体"/>
          <w:b/>
          <w:color w:val="auto"/>
          <w:sz w:val="24"/>
          <w:szCs w:val="24"/>
          <w:highlight w:val="none"/>
        </w:rPr>
        <w:t>发生下列情况之一时，</w:t>
      </w:r>
      <w:r>
        <w:rPr>
          <w:rFonts w:hint="eastAsia" w:ascii="宋体" w:hAnsi="宋体" w:cs="宋体"/>
          <w:b/>
          <w:color w:val="auto"/>
          <w:sz w:val="24"/>
          <w:szCs w:val="24"/>
          <w:highlight w:val="none"/>
          <w:lang w:eastAsia="zh-CN"/>
        </w:rPr>
        <w:t>谈判</w:t>
      </w:r>
      <w:r>
        <w:rPr>
          <w:rFonts w:hint="eastAsia" w:ascii="宋体" w:hAnsi="宋体" w:cs="宋体"/>
          <w:b/>
          <w:color w:val="auto"/>
          <w:sz w:val="24"/>
          <w:szCs w:val="24"/>
          <w:highlight w:val="none"/>
        </w:rPr>
        <w:t>保证金</w:t>
      </w:r>
      <w:r>
        <w:rPr>
          <w:rFonts w:hint="eastAsia" w:ascii="宋体" w:hAnsi="宋体" w:cs="宋体"/>
          <w:b/>
          <w:color w:val="auto"/>
          <w:sz w:val="24"/>
          <w:szCs w:val="24"/>
          <w:highlight w:val="none"/>
          <w:lang w:eastAsia="zh-CN"/>
        </w:rPr>
        <w:t>（</w:t>
      </w:r>
      <w:r>
        <w:rPr>
          <w:rFonts w:hint="eastAsia" w:ascii="宋体" w:hAnsi="宋体" w:cs="宋体"/>
          <w:b/>
          <w:color w:val="auto"/>
          <w:sz w:val="24"/>
          <w:szCs w:val="24"/>
          <w:highlight w:val="none"/>
          <w:lang w:val="en-US" w:eastAsia="zh-CN"/>
        </w:rPr>
        <w:t>若有</w:t>
      </w:r>
      <w:r>
        <w:rPr>
          <w:rFonts w:hint="eastAsia" w:ascii="宋体" w:hAnsi="宋体" w:cs="宋体"/>
          <w:b/>
          <w:color w:val="auto"/>
          <w:sz w:val="24"/>
          <w:szCs w:val="24"/>
          <w:highlight w:val="none"/>
          <w:lang w:eastAsia="zh-CN"/>
        </w:rPr>
        <w:t>）</w:t>
      </w:r>
      <w:r>
        <w:rPr>
          <w:rFonts w:hint="eastAsia" w:ascii="宋体" w:hAnsi="宋体" w:cs="宋体"/>
          <w:b/>
          <w:color w:val="auto"/>
          <w:sz w:val="24"/>
          <w:szCs w:val="24"/>
          <w:highlight w:val="none"/>
        </w:rPr>
        <w:t>将不予退还：</w:t>
      </w:r>
    </w:p>
    <w:p w14:paraId="7D80B19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（1）供应商</w:t>
      </w:r>
      <w:r>
        <w:rPr>
          <w:rFonts w:hint="eastAsia" w:ascii="宋体" w:hAnsi="宋体" w:cs="宋体"/>
          <w:color w:val="auto"/>
          <w:kern w:val="10"/>
          <w:sz w:val="24"/>
          <w:szCs w:val="24"/>
          <w:highlight w:val="none"/>
        </w:rPr>
        <w:t>在提交</w:t>
      </w:r>
      <w:r>
        <w:rPr>
          <w:rFonts w:hint="eastAsia" w:ascii="宋体" w:hAnsi="宋体" w:cs="宋体"/>
          <w:color w:val="auto"/>
          <w:kern w:val="10"/>
          <w:sz w:val="24"/>
          <w:szCs w:val="24"/>
          <w:highlight w:val="none"/>
          <w:lang w:eastAsia="zh-CN"/>
        </w:rPr>
        <w:t>谈判</w:t>
      </w:r>
      <w:r>
        <w:rPr>
          <w:rFonts w:hint="eastAsia" w:ascii="宋体" w:hAnsi="宋体" w:cs="宋体"/>
          <w:color w:val="auto"/>
          <w:kern w:val="10"/>
          <w:sz w:val="24"/>
          <w:szCs w:val="24"/>
          <w:highlight w:val="none"/>
        </w:rPr>
        <w:t>担保后不参加</w:t>
      </w:r>
      <w:r>
        <w:rPr>
          <w:rFonts w:hint="eastAsia" w:ascii="宋体" w:hAnsi="宋体" w:cs="宋体"/>
          <w:color w:val="auto"/>
          <w:kern w:val="10"/>
          <w:sz w:val="24"/>
          <w:szCs w:val="24"/>
          <w:highlight w:val="none"/>
          <w:lang w:eastAsia="zh-CN"/>
        </w:rPr>
        <w:t>谈判</w:t>
      </w:r>
      <w:r>
        <w:rPr>
          <w:rFonts w:hint="eastAsia" w:ascii="宋体" w:hAnsi="宋体" w:cs="宋体"/>
          <w:color w:val="auto"/>
          <w:sz w:val="24"/>
          <w:szCs w:val="24"/>
          <w:highlight w:val="none"/>
        </w:rPr>
        <w:t>或在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有效期内撤销</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响应文件的；</w:t>
      </w:r>
    </w:p>
    <w:p w14:paraId="7F00AFC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（2）成交人未能在规定期限内按照</w:t>
      </w:r>
      <w:r>
        <w:rPr>
          <w:rFonts w:hint="eastAsia" w:ascii="宋体" w:hAnsi="宋体" w:cs="宋体"/>
          <w:color w:val="auto"/>
          <w:sz w:val="24"/>
          <w:szCs w:val="24"/>
          <w:highlight w:val="none"/>
          <w:lang w:eastAsia="zh-CN"/>
        </w:rPr>
        <w:t>竞争谈判</w:t>
      </w:r>
      <w:r>
        <w:rPr>
          <w:rFonts w:hint="eastAsia" w:ascii="宋体" w:hAnsi="宋体" w:cs="宋体"/>
          <w:color w:val="auto"/>
          <w:sz w:val="24"/>
          <w:szCs w:val="24"/>
          <w:highlight w:val="none"/>
        </w:rPr>
        <w:t>文件内容提交履约担保或签订合同协议的；</w:t>
      </w:r>
    </w:p>
    <w:p w14:paraId="3E70A18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（3）成交人因自身原</w:t>
      </w:r>
      <w:r>
        <w:rPr>
          <w:rFonts w:hint="eastAsia" w:ascii="宋体" w:hAnsi="宋体" w:cs="宋体"/>
          <w:color w:val="auto"/>
          <w:sz w:val="24"/>
          <w:szCs w:val="24"/>
          <w:highlight w:val="none"/>
          <w:lang w:val="en-US" w:eastAsia="zh-CN"/>
        </w:rPr>
        <w:t>因</w:t>
      </w:r>
      <w:r>
        <w:rPr>
          <w:rFonts w:hint="eastAsia" w:ascii="宋体" w:hAnsi="宋体" w:cs="宋体"/>
          <w:color w:val="auto"/>
          <w:sz w:val="24"/>
          <w:szCs w:val="24"/>
          <w:highlight w:val="none"/>
        </w:rPr>
        <w:t>放弃成交资格的；</w:t>
      </w:r>
    </w:p>
    <w:p w14:paraId="6F0D42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
          <w:bCs/>
          <w:color w:val="auto"/>
          <w:sz w:val="24"/>
          <w:szCs w:val="24"/>
          <w:highlight w:val="none"/>
        </w:rPr>
      </w:pPr>
      <w:r>
        <w:rPr>
          <w:rFonts w:hint="eastAsia" w:ascii="宋体" w:hAnsi="宋体" w:cs="宋体"/>
          <w:color w:val="auto"/>
          <w:sz w:val="24"/>
          <w:szCs w:val="24"/>
          <w:highlight w:val="none"/>
        </w:rPr>
        <w:t>（4）供应商在</w:t>
      </w:r>
      <w:r>
        <w:rPr>
          <w:rFonts w:hint="eastAsia" w:ascii="宋体" w:hAnsi="宋体" w:cs="宋体"/>
          <w:color w:val="auto"/>
          <w:sz w:val="24"/>
          <w:szCs w:val="24"/>
          <w:highlight w:val="none"/>
          <w:lang w:eastAsia="zh-CN"/>
        </w:rPr>
        <w:t>谈判</w:t>
      </w:r>
      <w:r>
        <w:rPr>
          <w:rFonts w:hint="eastAsia" w:ascii="宋体" w:hAnsi="宋体" w:cs="宋体"/>
          <w:color w:val="auto"/>
          <w:sz w:val="24"/>
          <w:szCs w:val="24"/>
          <w:highlight w:val="none"/>
        </w:rPr>
        <w:t>活动中存在违规和违法行为的。</w:t>
      </w:r>
    </w:p>
    <w:p w14:paraId="09FD2439">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zh-CN" w:eastAsia="zh-CN" w:bidi="ar-SA"/>
        </w:rPr>
        <w:t>六</w:t>
      </w:r>
      <w:bookmarkStart w:id="32" w:name="_Toc13583"/>
      <w:bookmarkStart w:id="33" w:name="_Toc15950"/>
      <w:r>
        <w:rPr>
          <w:rFonts w:hint="eastAsia" w:ascii="宋体" w:hAnsi="宋体" w:eastAsia="宋体" w:cs="宋体"/>
          <w:b/>
          <w:bCs/>
          <w:color w:val="auto"/>
          <w:kern w:val="0"/>
          <w:sz w:val="30"/>
          <w:szCs w:val="30"/>
          <w:highlight w:val="none"/>
          <w:lang w:val="zh-CN" w:eastAsia="zh-CN" w:bidi="ar-SA"/>
        </w:rPr>
        <w:t>、谈判程序</w:t>
      </w:r>
      <w:bookmarkEnd w:id="32"/>
      <w:bookmarkEnd w:id="33"/>
    </w:p>
    <w:p w14:paraId="6FA8BDBE">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人员是按规定组成的三人或三人以上的</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w:t>
      </w:r>
    </w:p>
    <w:p w14:paraId="48C276C7">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2、在掌握了供应商的基本情况后，</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小组将按</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现场签到顺序，与供应商分别进行</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w:t>
      </w:r>
    </w:p>
    <w:p w14:paraId="6D3CFB8A">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是分别单独进行的。供应商不得与其他参与</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的供应商相互串通；</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小组也不得将与某一供应商的</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情况向其他供应商及其关系人透露。</w:t>
      </w:r>
    </w:p>
    <w:p w14:paraId="6A6C64C4">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采用一轮</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、两轮报价的方式进行。但最终采取多少轮</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，由</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小组视情况而定。</w:t>
      </w:r>
    </w:p>
    <w:p w14:paraId="538D4F40">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结束后，</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小组将要求所有符合条件的供应商在规定的时间内进行最后的报价。</w:t>
      </w:r>
    </w:p>
    <w:p w14:paraId="5B3EC95C">
      <w:pPr>
        <w:keepNext w:val="0"/>
        <w:keepLines w:val="0"/>
        <w:pageBreakBefore w:val="0"/>
        <w:widowControl w:val="0"/>
        <w:tabs>
          <w:tab w:val="left" w:pos="90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6、供应商必须在规定的时间内将自己在</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中作出的澄清、变动以及最终的报价，经法定代表人或被授权代表签字后，以书面的方式提交给</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小组。</w:t>
      </w:r>
    </w:p>
    <w:p w14:paraId="1EDCC117">
      <w:pPr>
        <w:pStyle w:val="3"/>
        <w:keepNext/>
        <w:keepLines/>
        <w:pageBreakBefore w:val="0"/>
        <w:widowControl w:val="0"/>
        <w:kinsoku/>
        <w:wordWrap/>
        <w:overflowPunct/>
        <w:topLinePunct w:val="0"/>
        <w:autoSpaceDE/>
        <w:autoSpaceDN/>
        <w:bidi w:val="0"/>
        <w:adjustRightInd w:val="0"/>
        <w:snapToGrid w:val="0"/>
        <w:spacing w:before="0" w:beforeLines="0" w:after="0" w:afterLines="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bookmarkStart w:id="34" w:name="_Toc7501"/>
      <w:bookmarkStart w:id="35" w:name="_Toc636"/>
      <w:r>
        <w:rPr>
          <w:rFonts w:hint="eastAsia" w:ascii="宋体" w:hAnsi="宋体" w:eastAsia="宋体" w:cs="宋体"/>
          <w:b/>
          <w:bCs/>
          <w:color w:val="auto"/>
          <w:kern w:val="0"/>
          <w:sz w:val="30"/>
          <w:szCs w:val="30"/>
          <w:highlight w:val="none"/>
          <w:lang w:val="en-US" w:eastAsia="zh-CN" w:bidi="ar-SA"/>
        </w:rPr>
        <w:t>七</w:t>
      </w:r>
      <w:r>
        <w:rPr>
          <w:rFonts w:hint="eastAsia" w:ascii="宋体" w:hAnsi="宋体" w:eastAsia="宋体" w:cs="宋体"/>
          <w:b/>
          <w:bCs/>
          <w:color w:val="auto"/>
          <w:kern w:val="0"/>
          <w:sz w:val="30"/>
          <w:szCs w:val="30"/>
          <w:highlight w:val="none"/>
          <w:lang w:val="zh-CN" w:eastAsia="zh-CN" w:bidi="ar-SA"/>
        </w:rPr>
        <w:t>、评审及异常情况处理</w:t>
      </w:r>
      <w:bookmarkEnd w:id="34"/>
      <w:bookmarkEnd w:id="35"/>
    </w:p>
    <w:p w14:paraId="0D80FF3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36" w:name="_Toc5003"/>
      <w:bookmarkStart w:id="37" w:name="_Toc3702"/>
      <w:r>
        <w:rPr>
          <w:rFonts w:hint="eastAsia" w:ascii="宋体" w:hAnsi="宋体" w:eastAsia="宋体" w:cs="宋体"/>
          <w:color w:val="auto"/>
          <w:sz w:val="24"/>
          <w:szCs w:val="24"/>
          <w:highlight w:val="none"/>
        </w:rPr>
        <w:t>1、谈判小组将遵循公平、公正的原则，对供应商最终提交的确认价进行综合评审，根据符合采购需求、质量和服务相等且报价最低的原则推荐出成交供应商。如果最后一轮报价出现多家供应商报价相同时，谈判小组将采取抽签的方式确定成交候选人。</w:t>
      </w:r>
    </w:p>
    <w:p w14:paraId="066939F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2、谈判时出现以下情况之一的，将予以废标：</w:t>
      </w:r>
    </w:p>
    <w:p w14:paraId="52AC911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（1）符合专业条件的供应商或者对采购文件作实质性响应的供应商不足三家的；</w:t>
      </w:r>
    </w:p>
    <w:p w14:paraId="5A2B1EA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注：采用竞争谈判采购方式采购下在采购过程中符合要求的供应商只有2</w:t>
      </w:r>
      <w:r>
        <w:rPr>
          <w:rFonts w:hint="eastAsia" w:ascii="宋体" w:hAnsi="宋体" w:cs="宋体"/>
          <w:color w:val="auto"/>
          <w:sz w:val="24"/>
          <w:szCs w:val="24"/>
          <w:highlight w:val="none"/>
          <w:lang w:val="en-US" w:eastAsia="zh-CN"/>
        </w:rPr>
        <w:t>家</w:t>
      </w:r>
      <w:r>
        <w:rPr>
          <w:rFonts w:hint="eastAsia" w:ascii="宋体" w:hAnsi="宋体" w:eastAsia="宋体" w:cs="宋体"/>
          <w:color w:val="auto"/>
          <w:sz w:val="24"/>
          <w:szCs w:val="24"/>
          <w:highlight w:val="none"/>
        </w:rPr>
        <w:t>的，竞争谈判采购活动可以继续进行，符合要求的供应商只有1家的，经采购人</w:t>
      </w:r>
      <w:r>
        <w:rPr>
          <w:rFonts w:hint="eastAsia" w:ascii="宋体" w:hAnsi="宋体" w:cs="宋体"/>
          <w:color w:val="auto"/>
          <w:sz w:val="24"/>
          <w:szCs w:val="24"/>
          <w:highlight w:val="none"/>
          <w:lang w:val="en-US" w:eastAsia="zh-CN"/>
        </w:rPr>
        <w:t>主管单位批准</w:t>
      </w:r>
      <w:r>
        <w:rPr>
          <w:rFonts w:hint="eastAsia" w:ascii="宋体" w:hAnsi="宋体" w:eastAsia="宋体" w:cs="宋体"/>
          <w:color w:val="auto"/>
          <w:sz w:val="24"/>
          <w:szCs w:val="24"/>
          <w:highlight w:val="none"/>
        </w:rPr>
        <w:t>可转为</w:t>
      </w:r>
      <w:r>
        <w:rPr>
          <w:rFonts w:hint="eastAsia" w:ascii="宋体" w:hAnsi="宋体" w:eastAsia="宋体" w:cs="宋体"/>
          <w:color w:val="auto"/>
          <w:sz w:val="24"/>
          <w:szCs w:val="24"/>
          <w:highlight w:val="none"/>
          <w:lang w:val="en-US" w:eastAsia="zh-CN"/>
        </w:rPr>
        <w:t>单源直接采购</w:t>
      </w:r>
      <w:r>
        <w:rPr>
          <w:rFonts w:hint="eastAsia" w:ascii="宋体" w:hAnsi="宋体" w:eastAsia="宋体" w:cs="宋体"/>
          <w:color w:val="auto"/>
          <w:sz w:val="24"/>
          <w:szCs w:val="24"/>
          <w:highlight w:val="none"/>
        </w:rPr>
        <w:t>。</w:t>
      </w:r>
    </w:p>
    <w:p w14:paraId="79DC483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（2）供应商的报价均超过了采购预算，经过多轮谈判仍不能降到预算内、且采购人不能支付的；</w:t>
      </w:r>
    </w:p>
    <w:p w14:paraId="1952910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（3）经过谈判，供应商所提供的货物服务仍无法满足谈判文件实质性要求、影响工作的；</w:t>
      </w:r>
    </w:p>
    <w:p w14:paraId="053A914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（4）出现影响采购公正的违法、违规行为的；</w:t>
      </w:r>
    </w:p>
    <w:p w14:paraId="3F72386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（5）因重大变故，采购任务取消的。</w:t>
      </w:r>
    </w:p>
    <w:p w14:paraId="1C05B61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3、重新组织谈判，采购单位将通过安徽霍山国有资产投资控股集团有限公司（http</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//ahdmig.cn/）“招标采购”栏目进行公告。</w:t>
      </w:r>
    </w:p>
    <w:p w14:paraId="243903E5">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r>
        <w:rPr>
          <w:rFonts w:hint="eastAsia" w:ascii="宋体" w:hAnsi="宋体" w:eastAsia="宋体" w:cs="宋体"/>
          <w:b/>
          <w:bCs/>
          <w:color w:val="auto"/>
          <w:kern w:val="0"/>
          <w:sz w:val="30"/>
          <w:szCs w:val="30"/>
          <w:highlight w:val="none"/>
          <w:lang w:val="en-US" w:eastAsia="zh-CN" w:bidi="ar-SA"/>
        </w:rPr>
        <w:t>八</w:t>
      </w:r>
      <w:r>
        <w:rPr>
          <w:rFonts w:hint="eastAsia" w:ascii="宋体" w:hAnsi="宋体" w:eastAsia="宋体" w:cs="宋体"/>
          <w:b/>
          <w:bCs/>
          <w:color w:val="auto"/>
          <w:kern w:val="0"/>
          <w:sz w:val="30"/>
          <w:szCs w:val="30"/>
          <w:highlight w:val="none"/>
          <w:lang w:val="zh-CN" w:eastAsia="zh-CN" w:bidi="ar-SA"/>
        </w:rPr>
        <w:t>、报价响应及答疑</w:t>
      </w:r>
      <w:bookmarkEnd w:id="36"/>
      <w:bookmarkEnd w:id="37"/>
    </w:p>
    <w:p w14:paraId="031D2C5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1、响应报价应含有所投</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lang w:eastAsia="zh-CN"/>
        </w:rPr>
        <w:t>各</w:t>
      </w:r>
      <w:r>
        <w:rPr>
          <w:rFonts w:hint="eastAsia" w:ascii="宋体" w:hAnsi="宋体" w:eastAsia="宋体" w:cs="宋体"/>
          <w:color w:val="auto"/>
          <w:sz w:val="24"/>
          <w:szCs w:val="24"/>
          <w:highlight w:val="none"/>
        </w:rPr>
        <w:t>环节所发生的一切费用。响应报价为供应商在响应文件中提出的各项支付金额的总和。</w:t>
      </w:r>
    </w:p>
    <w:p w14:paraId="2D20909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如有需要，</w:t>
      </w:r>
      <w:r>
        <w:rPr>
          <w:rFonts w:hint="eastAsia" w:ascii="宋体" w:hAnsi="宋体" w:eastAsia="宋体" w:cs="宋体"/>
          <w:color w:val="auto"/>
          <w:sz w:val="24"/>
          <w:szCs w:val="24"/>
          <w:highlight w:val="none"/>
        </w:rPr>
        <w:t>供应商应自行对</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现场和周围环境进行勘察，以获取编制响应文件和签署合同所需的资料。勘察现场所发生的费用由供应商</w:t>
      </w:r>
      <w:r>
        <w:rPr>
          <w:rFonts w:hint="eastAsia" w:ascii="宋体" w:hAnsi="宋体" w:eastAsia="宋体" w:cs="宋体"/>
          <w:color w:val="auto"/>
          <w:sz w:val="24"/>
          <w:szCs w:val="24"/>
          <w:highlight w:val="none"/>
          <w:lang w:eastAsia="zh-CN"/>
        </w:rPr>
        <w:t>自行</w:t>
      </w:r>
      <w:r>
        <w:rPr>
          <w:rFonts w:hint="eastAsia" w:ascii="宋体" w:hAnsi="宋体" w:eastAsia="宋体" w:cs="宋体"/>
          <w:color w:val="auto"/>
          <w:sz w:val="24"/>
          <w:szCs w:val="24"/>
          <w:highlight w:val="none"/>
        </w:rPr>
        <w:t>承担。采购人向供应商提供的有关</w:t>
      </w:r>
      <w:r>
        <w:rPr>
          <w:rFonts w:hint="eastAsia" w:ascii="宋体" w:hAnsi="宋体" w:eastAsia="宋体" w:cs="宋体"/>
          <w:color w:val="auto"/>
          <w:sz w:val="24"/>
          <w:szCs w:val="24"/>
          <w:highlight w:val="none"/>
          <w:lang w:val="en-US" w:eastAsia="zh-CN"/>
        </w:rPr>
        <w:t>供货</w:t>
      </w:r>
      <w:r>
        <w:rPr>
          <w:rFonts w:hint="eastAsia" w:ascii="宋体" w:hAnsi="宋体" w:eastAsia="宋体" w:cs="宋体"/>
          <w:color w:val="auto"/>
          <w:sz w:val="24"/>
          <w:szCs w:val="24"/>
          <w:highlight w:val="none"/>
        </w:rPr>
        <w:t>现场的资料和数据，是采购人现有的能使供应商利用的资料。采购人对供应商由此而做出的推论、理解和结论概不负责。供应商因自身原因未到现场实地踏勘的，成交后签订合同时和履约过程中，不得以不完全了解现场情况为由，提出任何形式的增加合同外</w:t>
      </w:r>
      <w:r>
        <w:rPr>
          <w:rFonts w:hint="eastAsia" w:ascii="宋体" w:hAnsi="宋体" w:eastAsia="宋体" w:cs="宋体"/>
          <w:color w:val="auto"/>
          <w:sz w:val="24"/>
          <w:szCs w:val="24"/>
          <w:highlight w:val="none"/>
          <w:lang w:eastAsia="zh-CN"/>
        </w:rPr>
        <w:t>费用</w:t>
      </w:r>
      <w:r>
        <w:rPr>
          <w:rFonts w:hint="eastAsia" w:ascii="宋体" w:hAnsi="宋体" w:eastAsia="宋体" w:cs="宋体"/>
          <w:color w:val="auto"/>
          <w:sz w:val="24"/>
          <w:szCs w:val="24"/>
          <w:highlight w:val="none"/>
        </w:rPr>
        <w:t>或索赔的要求。</w:t>
      </w:r>
    </w:p>
    <w:p w14:paraId="5361BE1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、供应商如果对</w:t>
      </w:r>
      <w:r>
        <w:rPr>
          <w:rFonts w:hint="eastAsia" w:ascii="宋体" w:hAnsi="宋体" w:eastAsia="宋体" w:cs="宋体"/>
          <w:color w:val="auto"/>
          <w:sz w:val="24"/>
          <w:szCs w:val="24"/>
          <w:highlight w:val="none"/>
          <w:lang w:eastAsia="zh-CN"/>
        </w:rPr>
        <w:t>谈判</w:t>
      </w:r>
      <w:r>
        <w:rPr>
          <w:rFonts w:hint="eastAsia" w:ascii="宋体" w:hAnsi="宋体" w:eastAsia="宋体" w:cs="宋体"/>
          <w:color w:val="auto"/>
          <w:sz w:val="24"/>
          <w:szCs w:val="24"/>
          <w:highlight w:val="none"/>
        </w:rPr>
        <w:t>文件的其他任何内容有相关疑问，可以网上形式</w:t>
      </w:r>
      <w:r>
        <w:rPr>
          <w:rFonts w:hint="eastAsia" w:ascii="宋体" w:hAnsi="宋体" w:cs="宋体"/>
          <w:color w:val="auto"/>
          <w:sz w:val="24"/>
          <w:szCs w:val="24"/>
          <w:highlight w:val="none"/>
        </w:rPr>
        <w:t>编辑word或</w:t>
      </w:r>
      <w:r>
        <w:rPr>
          <w:rFonts w:hint="eastAsia" w:ascii="宋体" w:hAnsi="宋体" w:cs="宋体"/>
          <w:color w:val="auto"/>
          <w:sz w:val="24"/>
          <w:szCs w:val="24"/>
          <w:highlight w:val="none"/>
          <w:lang w:val="en-US" w:eastAsia="zh-CN"/>
        </w:rPr>
        <w:t>PDF</w:t>
      </w:r>
      <w:r>
        <w:rPr>
          <w:rFonts w:hint="eastAsia" w:ascii="宋体" w:hAnsi="宋体" w:cs="宋体"/>
          <w:color w:val="auto"/>
          <w:sz w:val="24"/>
          <w:szCs w:val="24"/>
          <w:highlight w:val="none"/>
        </w:rPr>
        <w:t>模式发送至</w:t>
      </w:r>
      <w:r>
        <w:rPr>
          <w:rFonts w:hint="eastAsia" w:ascii="宋体" w:hAnsi="宋体" w:cs="宋体"/>
          <w:color w:val="auto"/>
          <w:sz w:val="24"/>
          <w:szCs w:val="24"/>
          <w:highlight w:val="none"/>
          <w:lang w:val="en-US" w:eastAsia="zh-CN"/>
        </w:rPr>
        <w:t>2778078886</w:t>
      </w:r>
      <w:r>
        <w:rPr>
          <w:rFonts w:hint="eastAsia" w:ascii="宋体" w:hAnsi="宋体" w:cs="宋体"/>
          <w:color w:val="auto"/>
          <w:sz w:val="24"/>
          <w:szCs w:val="24"/>
          <w:highlight w:val="none"/>
        </w:rPr>
        <w:t>@qq.com邮箱</w:t>
      </w:r>
      <w:r>
        <w:rPr>
          <w:rFonts w:hint="eastAsia" w:ascii="宋体" w:hAnsi="宋体" w:eastAsia="宋体" w:cs="宋体"/>
          <w:color w:val="auto"/>
          <w:sz w:val="24"/>
          <w:szCs w:val="24"/>
          <w:highlight w:val="none"/>
        </w:rPr>
        <w:t>提出。</w:t>
      </w:r>
    </w:p>
    <w:p w14:paraId="290BFE6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请供应商及时通过</w:t>
      </w:r>
      <w:r>
        <w:rPr>
          <w:rFonts w:hint="eastAsia" w:ascii="宋体" w:hAnsi="宋体" w:eastAsia="宋体" w:cs="宋体"/>
          <w:color w:val="auto"/>
          <w:sz w:val="24"/>
          <w:szCs w:val="24"/>
          <w:highlight w:val="none"/>
          <w:lang w:eastAsia="zh-CN"/>
        </w:rPr>
        <w:t>安徽霍山国有资产投资控股集团有限公司</w:t>
      </w:r>
      <w:r>
        <w:rPr>
          <w:rFonts w:hint="eastAsia" w:ascii="宋体" w:hAnsi="宋体" w:eastAsia="宋体" w:cs="宋体"/>
          <w:color w:val="auto"/>
          <w:sz w:val="24"/>
          <w:szCs w:val="24"/>
          <w:highlight w:val="none"/>
        </w:rPr>
        <w:t>网站</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补充</w:t>
      </w:r>
      <w:r>
        <w:rPr>
          <w:rFonts w:hint="eastAsia" w:ascii="宋体" w:hAnsi="宋体" w:eastAsia="宋体" w:cs="宋体"/>
          <w:color w:val="auto"/>
          <w:sz w:val="24"/>
          <w:szCs w:val="24"/>
          <w:highlight w:val="none"/>
        </w:rPr>
        <w:t>公告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栏目</w:t>
      </w:r>
      <w:r>
        <w:rPr>
          <w:rFonts w:hint="eastAsia" w:ascii="宋体" w:hAnsi="宋体" w:eastAsia="宋体" w:cs="宋体"/>
          <w:color w:val="auto"/>
          <w:sz w:val="24"/>
          <w:szCs w:val="24"/>
          <w:highlight w:val="none"/>
          <w:lang w:val="en-US" w:eastAsia="zh-CN"/>
        </w:rPr>
        <w:t>及时</w:t>
      </w:r>
      <w:r>
        <w:rPr>
          <w:rFonts w:hint="eastAsia" w:ascii="宋体" w:hAnsi="宋体" w:eastAsia="宋体" w:cs="宋体"/>
          <w:color w:val="auto"/>
          <w:sz w:val="24"/>
          <w:szCs w:val="24"/>
          <w:highlight w:val="none"/>
        </w:rPr>
        <w:t>查看答疑文件。</w:t>
      </w:r>
    </w:p>
    <w:p w14:paraId="53874A0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、供应商应确保其所提供的响应资料的真实性、有效性及合法性，否则，由此引起的任何责任由其自行承担。</w:t>
      </w:r>
    </w:p>
    <w:p w14:paraId="5AF902C5">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bookmarkStart w:id="38" w:name="_Toc6858"/>
      <w:bookmarkStart w:id="39" w:name="_Toc15038"/>
      <w:r>
        <w:rPr>
          <w:rFonts w:hint="eastAsia" w:ascii="宋体" w:hAnsi="宋体" w:eastAsia="宋体" w:cs="宋体"/>
          <w:b/>
          <w:bCs/>
          <w:color w:val="auto"/>
          <w:kern w:val="0"/>
          <w:sz w:val="30"/>
          <w:szCs w:val="30"/>
          <w:highlight w:val="none"/>
          <w:lang w:val="en-US" w:eastAsia="zh-CN" w:bidi="ar-SA"/>
        </w:rPr>
        <w:t>九</w:t>
      </w:r>
      <w:r>
        <w:rPr>
          <w:rFonts w:hint="eastAsia" w:ascii="宋体" w:hAnsi="宋体" w:eastAsia="宋体" w:cs="宋体"/>
          <w:b/>
          <w:bCs/>
          <w:color w:val="auto"/>
          <w:kern w:val="0"/>
          <w:sz w:val="30"/>
          <w:szCs w:val="30"/>
          <w:highlight w:val="none"/>
          <w:lang w:val="zh-CN" w:eastAsia="zh-CN" w:bidi="ar-SA"/>
        </w:rPr>
        <w:t>、合同的签订</w:t>
      </w:r>
      <w:bookmarkEnd w:id="38"/>
      <w:bookmarkEnd w:id="39"/>
    </w:p>
    <w:p w14:paraId="24DB5E9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1、质疑期内如未接到供应商的质疑和投诉，将向成交供应商发出成交通知书。</w:t>
      </w:r>
    </w:p>
    <w:p w14:paraId="71E3CF7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2、成交供应商在</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通知书发出后30日内与采购单位签订合同。采购文件、</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供应商的</w:t>
      </w:r>
      <w:r>
        <w:rPr>
          <w:rFonts w:hint="eastAsia" w:ascii="宋体"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文件及澄清文件等，均作为合同的附件。</w:t>
      </w:r>
    </w:p>
    <w:p w14:paraId="799D5DD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3、采购单位在签订合同时，可以在不改变合同其他条款的前提下变更采购数量，但变更的金额不得超过成交总价的10%。</w:t>
      </w:r>
    </w:p>
    <w:p w14:paraId="2C23326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4、成交供应商因不可抗力或者自身原因不能在规定的时间内与采购人签订采购合同，采购人可以与排在成交供应商后第一位的候选供应商签订采购合同，以此类推或重新组织采购。</w:t>
      </w:r>
    </w:p>
    <w:p w14:paraId="1D8D7BEA">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zh-CN" w:eastAsia="zh-CN" w:bidi="ar-SA"/>
        </w:rPr>
      </w:pPr>
      <w:bookmarkStart w:id="40" w:name="_Toc30736"/>
      <w:bookmarkStart w:id="41" w:name="_Toc8827"/>
      <w:r>
        <w:rPr>
          <w:rFonts w:hint="eastAsia" w:ascii="宋体" w:hAnsi="宋体" w:eastAsia="宋体" w:cs="宋体"/>
          <w:b/>
          <w:bCs/>
          <w:color w:val="auto"/>
          <w:kern w:val="0"/>
          <w:sz w:val="30"/>
          <w:szCs w:val="30"/>
          <w:highlight w:val="none"/>
          <w:lang w:val="en-US" w:eastAsia="zh-CN" w:bidi="ar-SA"/>
        </w:rPr>
        <w:t>十</w:t>
      </w:r>
      <w:r>
        <w:rPr>
          <w:rFonts w:hint="eastAsia" w:ascii="宋体" w:hAnsi="宋体" w:eastAsia="宋体" w:cs="宋体"/>
          <w:b/>
          <w:bCs/>
          <w:color w:val="auto"/>
          <w:kern w:val="0"/>
          <w:sz w:val="30"/>
          <w:szCs w:val="30"/>
          <w:highlight w:val="none"/>
          <w:lang w:val="zh-CN" w:eastAsia="zh-CN" w:bidi="ar-SA"/>
        </w:rPr>
        <w:t>、澄清及变更</w:t>
      </w:r>
      <w:bookmarkEnd w:id="40"/>
      <w:bookmarkEnd w:id="41"/>
    </w:p>
    <w:p w14:paraId="5E76A44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谈判文件如有澄清及变更，将以网上公告形式发布，发布网址为安徽霍山国有资产投资控股集团有限公司（http</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lang w:eastAsia="zh-CN"/>
        </w:rPr>
        <w:t>//ahdmig.cn/），请供应商及时关注。</w:t>
      </w:r>
    </w:p>
    <w:p w14:paraId="5032AC04">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default" w:ascii="宋体" w:hAnsi="宋体" w:eastAsia="宋体" w:cs="宋体"/>
          <w:b/>
          <w:bCs/>
          <w:color w:val="auto"/>
          <w:kern w:val="0"/>
          <w:sz w:val="30"/>
          <w:szCs w:val="30"/>
          <w:highlight w:val="none"/>
          <w:lang w:val="en-US" w:eastAsia="zh-CN" w:bidi="ar-SA"/>
        </w:rPr>
      </w:pPr>
      <w:bookmarkStart w:id="42" w:name="_Toc3341"/>
      <w:bookmarkStart w:id="43" w:name="_Toc30024"/>
      <w:r>
        <w:rPr>
          <w:rFonts w:hint="eastAsia" w:ascii="宋体" w:hAnsi="宋体" w:eastAsia="宋体" w:cs="宋体"/>
          <w:b/>
          <w:bCs/>
          <w:color w:val="auto"/>
          <w:kern w:val="0"/>
          <w:sz w:val="30"/>
          <w:szCs w:val="30"/>
          <w:highlight w:val="none"/>
          <w:lang w:val="en-US" w:eastAsia="zh-CN" w:bidi="ar-SA"/>
        </w:rPr>
        <w:t>十一</w:t>
      </w:r>
      <w:r>
        <w:rPr>
          <w:rFonts w:hint="eastAsia" w:ascii="宋体" w:hAnsi="宋体" w:eastAsia="宋体" w:cs="宋体"/>
          <w:b/>
          <w:bCs/>
          <w:color w:val="auto"/>
          <w:kern w:val="0"/>
          <w:sz w:val="30"/>
          <w:szCs w:val="30"/>
          <w:highlight w:val="none"/>
          <w:lang w:val="zh-CN" w:eastAsia="zh-CN" w:bidi="ar-SA"/>
        </w:rPr>
        <w:t>、</w:t>
      </w:r>
      <w:r>
        <w:rPr>
          <w:rFonts w:hint="eastAsia" w:ascii="宋体" w:hAnsi="宋体" w:eastAsia="宋体" w:cs="宋体"/>
          <w:b/>
          <w:bCs/>
          <w:color w:val="auto"/>
          <w:kern w:val="0"/>
          <w:sz w:val="30"/>
          <w:szCs w:val="30"/>
          <w:highlight w:val="none"/>
          <w:lang w:val="en-US" w:eastAsia="zh-CN" w:bidi="ar-SA"/>
        </w:rPr>
        <w:t>验收</w:t>
      </w:r>
      <w:bookmarkEnd w:id="42"/>
      <w:bookmarkEnd w:id="43"/>
      <w:r>
        <w:rPr>
          <w:rFonts w:hint="eastAsia" w:ascii="宋体" w:hAnsi="宋体" w:eastAsia="宋体" w:cs="宋体"/>
          <w:b/>
          <w:bCs/>
          <w:color w:val="auto"/>
          <w:kern w:val="0"/>
          <w:sz w:val="30"/>
          <w:szCs w:val="30"/>
          <w:highlight w:val="none"/>
          <w:lang w:val="en-US" w:eastAsia="zh-CN" w:bidi="ar-SA"/>
        </w:rPr>
        <w:t>与支付</w:t>
      </w:r>
    </w:p>
    <w:p w14:paraId="48FBACA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采购人验收时，应成立（由合同双方、资产管理人、技术人员、纪检等相关人员组成）验收小组，明确责任，严格依照采购文件、成交通知书、采购合同及相关验收规范进行核对、验收，形成验收结论，并出具书面验收报告。</w:t>
      </w:r>
    </w:p>
    <w:p w14:paraId="4EC65EC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2、涉及安全、消防、环保等其他需要由质检或行业主管部门进行验收的项目，必须邀请相关部门或相关专家参与验收。</w:t>
      </w:r>
    </w:p>
    <w:p w14:paraId="4D5932E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3、支付按照采购人与供应商签订合同执行。</w:t>
      </w:r>
    </w:p>
    <w:p w14:paraId="59122072">
      <w:pPr>
        <w:pStyle w:val="3"/>
        <w:keepNext/>
        <w:keepLines/>
        <w:pageBreakBefore w:val="0"/>
        <w:widowControl w:val="0"/>
        <w:kinsoku/>
        <w:wordWrap/>
        <w:overflowPunct/>
        <w:topLinePunct w:val="0"/>
        <w:autoSpaceDE/>
        <w:autoSpaceDN/>
        <w:bidi w:val="0"/>
        <w:adjustRightInd w:val="0"/>
        <w:snapToGrid w:val="0"/>
        <w:spacing w:before="0" w:after="0" w:line="480" w:lineRule="auto"/>
        <w:jc w:val="center"/>
        <w:textAlignment w:val="baseline"/>
        <w:outlineLvl w:val="1"/>
        <w:rPr>
          <w:rFonts w:hint="eastAsia" w:ascii="宋体" w:hAnsi="宋体" w:eastAsia="宋体" w:cs="宋体"/>
          <w:b/>
          <w:bCs/>
          <w:color w:val="auto"/>
          <w:kern w:val="0"/>
          <w:sz w:val="30"/>
          <w:szCs w:val="30"/>
          <w:highlight w:val="none"/>
          <w:lang w:val="en-US" w:eastAsia="zh-CN" w:bidi="ar-SA"/>
        </w:rPr>
      </w:pPr>
      <w:bookmarkStart w:id="44" w:name="_Toc31380"/>
      <w:bookmarkStart w:id="45" w:name="_Toc11013"/>
      <w:r>
        <w:rPr>
          <w:rFonts w:hint="eastAsia" w:ascii="宋体" w:hAnsi="宋体" w:eastAsia="宋体" w:cs="宋体"/>
          <w:b/>
          <w:bCs/>
          <w:color w:val="auto"/>
          <w:kern w:val="0"/>
          <w:sz w:val="30"/>
          <w:szCs w:val="30"/>
          <w:highlight w:val="none"/>
          <w:lang w:val="en-US" w:eastAsia="zh-CN" w:bidi="ar-SA"/>
        </w:rPr>
        <w:t>十二</w:t>
      </w:r>
      <w:r>
        <w:rPr>
          <w:rFonts w:hint="eastAsia" w:ascii="宋体" w:hAnsi="宋体" w:eastAsia="宋体" w:cs="宋体"/>
          <w:b/>
          <w:bCs/>
          <w:color w:val="auto"/>
          <w:kern w:val="0"/>
          <w:sz w:val="30"/>
          <w:szCs w:val="30"/>
          <w:highlight w:val="none"/>
          <w:lang w:val="zh-CN" w:eastAsia="zh-CN" w:bidi="ar-SA"/>
        </w:rPr>
        <w:t>、</w:t>
      </w:r>
      <w:r>
        <w:rPr>
          <w:rFonts w:hint="eastAsia" w:ascii="宋体" w:hAnsi="宋体" w:eastAsia="宋体" w:cs="宋体"/>
          <w:b/>
          <w:bCs/>
          <w:color w:val="auto"/>
          <w:kern w:val="0"/>
          <w:sz w:val="30"/>
          <w:szCs w:val="30"/>
          <w:highlight w:val="none"/>
          <w:lang w:val="en-US" w:eastAsia="zh-CN" w:bidi="ar-SA"/>
        </w:rPr>
        <w:t>质疑</w:t>
      </w:r>
      <w:bookmarkEnd w:id="44"/>
      <w:bookmarkEnd w:id="45"/>
      <w:r>
        <w:rPr>
          <w:rFonts w:hint="eastAsia" w:ascii="宋体" w:hAnsi="宋体" w:eastAsia="宋体" w:cs="宋体"/>
          <w:b/>
          <w:bCs/>
          <w:color w:val="auto"/>
          <w:kern w:val="0"/>
          <w:sz w:val="30"/>
          <w:szCs w:val="30"/>
          <w:highlight w:val="none"/>
          <w:lang w:val="en-US" w:eastAsia="zh-CN" w:bidi="ar-SA"/>
        </w:rPr>
        <w:t>和投诉</w:t>
      </w:r>
    </w:p>
    <w:p w14:paraId="24965D6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bookmarkStart w:id="46" w:name="_Toc489602770"/>
      <w:bookmarkStart w:id="47" w:name="_Toc489602801"/>
      <w:bookmarkStart w:id="48" w:name="_Toc489602835"/>
      <w:r>
        <w:rPr>
          <w:rFonts w:hint="eastAsia" w:ascii="宋体" w:hAnsi="宋体" w:eastAsia="宋体" w:cs="宋体"/>
          <w:color w:val="auto"/>
          <w:sz w:val="24"/>
          <w:szCs w:val="24"/>
          <w:highlight w:val="none"/>
          <w:lang w:eastAsia="zh-CN"/>
        </w:rPr>
        <w:t>1、质疑人认为成交结果使自己的权益受到损害的，可以向采购人及采购代理机构提出质疑。质疑实行实名制，应当有具体的事项及根据，不得进行虚假、恶意质疑，扰乱公共资源交易活动的正常工作秩序。</w:t>
      </w:r>
    </w:p>
    <w:p w14:paraId="7B5A94C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2、质疑应在规定时限内提出：</w:t>
      </w:r>
    </w:p>
    <w:p w14:paraId="1D71682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对采购成交结果的质疑，应在成交结果公布之日起七个工作日内提出。</w:t>
      </w:r>
    </w:p>
    <w:p w14:paraId="6EFB7F8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3、质疑应以书面形式实名提出，书面质疑材料应当包括以下内容：</w:t>
      </w:r>
    </w:p>
    <w:p w14:paraId="48A398B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3.1质疑人的名称、地址、有效联系方式；</w:t>
      </w:r>
    </w:p>
    <w:p w14:paraId="1A81A33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3.2项目名称、项目编号、包别号（如有）；</w:t>
      </w:r>
    </w:p>
    <w:p w14:paraId="1F35287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3.3被质疑人名称；</w:t>
      </w:r>
    </w:p>
    <w:p w14:paraId="636CD17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3.4具体的质疑事项、基本事实及必要的证明材料；</w:t>
      </w:r>
    </w:p>
    <w:p w14:paraId="40DAE06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3.5明确的请求及主张；</w:t>
      </w:r>
    </w:p>
    <w:p w14:paraId="49A3A1E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3.6提起质疑的日期。</w:t>
      </w:r>
    </w:p>
    <w:p w14:paraId="1E1C9AF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质疑人为法人或者其他组织的，应当由法定代表人或其委托代理人（需有委托授权书）签字并加盖公章。</w:t>
      </w:r>
    </w:p>
    <w:p w14:paraId="40EAED1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质疑人需要修改、补充质疑材料的，应当在质疑期内提交修改或补充材料。</w:t>
      </w:r>
    </w:p>
    <w:p w14:paraId="22DEE34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4、有下列情形之一的，不予受理：</w:t>
      </w:r>
    </w:p>
    <w:p w14:paraId="564DE0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4.1提起质疑的主体不是参与该采购项目活动的供应商；</w:t>
      </w:r>
    </w:p>
    <w:p w14:paraId="0916B57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4.2提起质疑的时间超过规定时限的；</w:t>
      </w:r>
    </w:p>
    <w:p w14:paraId="0F1D5EA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4.3质疑材料不完整的；</w:t>
      </w:r>
    </w:p>
    <w:p w14:paraId="086364D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4.4质疑事项含有主观猜测等内容且未提供有效线索、难以查证的；</w:t>
      </w:r>
    </w:p>
    <w:p w14:paraId="4EA975F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4.5对其他谈判供应商的响应文件详细内容质疑，无法提供合法来源渠道的；</w:t>
      </w:r>
    </w:p>
    <w:p w14:paraId="1EE40FE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4.6质疑事项已进入投诉处理、行政复议或行政诉讼程序的。</w:t>
      </w:r>
    </w:p>
    <w:p w14:paraId="0D1B94D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5、经审查符合质疑条件的，自收到质疑之日起即为受理。采购人及采购代理机构将在质疑受理后7个工作日内作出答复或相关处理决定，并以书面形式通知质疑人，答复的内容不得涉及商业秘密。</w:t>
      </w:r>
    </w:p>
    <w:p w14:paraId="55EC8B3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6、质疑人在答复期满前撤回质疑的，应由法定代表人或授权代表人签字确认，即终止质疑处理程序。质疑人不得以同一理由再次提出质疑。</w:t>
      </w:r>
    </w:p>
    <w:p w14:paraId="234E5E3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质疑人对质疑答复不满意或采购人及采购代理机构未在规定时间内做出答复的，可以在规定期限内向</w:t>
      </w:r>
      <w:r>
        <w:rPr>
          <w:rFonts w:hint="eastAsia" w:ascii="宋体" w:hAnsi="宋体" w:eastAsia="宋体" w:cs="宋体"/>
          <w:color w:val="auto"/>
          <w:sz w:val="24"/>
          <w:szCs w:val="24"/>
          <w:highlight w:val="none"/>
          <w:lang w:val="en-US" w:eastAsia="zh-CN"/>
        </w:rPr>
        <w:t>监督部门</w:t>
      </w:r>
      <w:r>
        <w:rPr>
          <w:rFonts w:hint="eastAsia" w:ascii="宋体" w:hAnsi="宋体" w:eastAsia="宋体" w:cs="宋体"/>
          <w:color w:val="auto"/>
          <w:sz w:val="24"/>
          <w:szCs w:val="24"/>
          <w:highlight w:val="none"/>
          <w:lang w:eastAsia="zh-CN"/>
        </w:rPr>
        <w:t>提起投诉。</w:t>
      </w:r>
    </w:p>
    <w:p w14:paraId="624A8A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质疑人应在答复期满后十五个工作日内提起投诉。</w:t>
      </w:r>
    </w:p>
    <w:p w14:paraId="31C8A06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7、质疑人有下列情形之一的，属于虚假、恶意质疑，将报主管部门予以处理。</w:t>
      </w:r>
    </w:p>
    <w:p w14:paraId="505E997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7.1一年内三次以上质疑均查无实据的；</w:t>
      </w:r>
    </w:p>
    <w:p w14:paraId="6658928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caps/>
          <w:color w:val="auto"/>
          <w:kern w:val="2"/>
          <w:sz w:val="30"/>
          <w:szCs w:val="30"/>
          <w:highlight w:val="none"/>
          <w:lang w:val="zh-CN" w:eastAsia="zh-CN" w:bidi="ar-SA"/>
        </w:rPr>
      </w:pPr>
      <w:r>
        <w:rPr>
          <w:rFonts w:hint="eastAsia" w:ascii="宋体" w:hAnsi="宋体" w:eastAsia="宋体" w:cs="宋体"/>
          <w:color w:val="auto"/>
          <w:sz w:val="24"/>
          <w:szCs w:val="24"/>
          <w:highlight w:val="none"/>
          <w:lang w:eastAsia="zh-CN"/>
        </w:rPr>
        <w:t>7.2捏造事实恶意诬陷他人、有意提供虚假质疑材料的或者通过非法手段获取材料的。</w:t>
      </w:r>
      <w:bookmarkEnd w:id="46"/>
      <w:bookmarkEnd w:id="47"/>
      <w:bookmarkEnd w:id="48"/>
      <w:bookmarkStart w:id="49" w:name="_Toc27648"/>
      <w:bookmarkStart w:id="50" w:name="_Toc29273"/>
      <w:bookmarkStart w:id="51" w:name="_Toc23250"/>
      <w:bookmarkStart w:id="52" w:name="_Toc21436"/>
      <w:r>
        <w:rPr>
          <w:rFonts w:hint="eastAsia" w:ascii="宋体" w:hAnsi="宋体" w:eastAsia="宋体" w:cs="宋体"/>
          <w:b/>
          <w:bCs/>
          <w:caps/>
          <w:color w:val="auto"/>
          <w:kern w:val="2"/>
          <w:sz w:val="30"/>
          <w:szCs w:val="30"/>
          <w:highlight w:val="none"/>
          <w:lang w:val="zh-CN" w:eastAsia="zh-CN" w:bidi="ar-SA"/>
        </w:rPr>
        <w:br w:type="page"/>
      </w:r>
    </w:p>
    <w:p w14:paraId="63D50CE8">
      <w:pPr>
        <w:pStyle w:val="2"/>
        <w:keepNext/>
        <w:keepLines/>
        <w:pageBreakBefore w:val="0"/>
        <w:widowControl w:val="0"/>
        <w:kinsoku/>
        <w:wordWrap/>
        <w:overflowPunct/>
        <w:topLinePunct w:val="0"/>
        <w:autoSpaceDE/>
        <w:autoSpaceDN/>
        <w:bidi w:val="0"/>
        <w:adjustRightInd w:val="0"/>
        <w:snapToGrid/>
        <w:spacing w:line="480" w:lineRule="auto"/>
        <w:ind w:left="0" w:leftChars="0" w:firstLine="0" w:firstLineChars="0"/>
        <w:jc w:val="center"/>
        <w:textAlignment w:val="baseline"/>
        <w:outlineLvl w:val="0"/>
        <w:rPr>
          <w:rFonts w:hint="eastAsia" w:ascii="宋体" w:hAnsi="宋体" w:eastAsia="宋体" w:cs="宋体"/>
          <w:b/>
          <w:bCs/>
          <w:color w:val="auto"/>
          <w:sz w:val="30"/>
          <w:szCs w:val="30"/>
          <w:highlight w:val="none"/>
        </w:rPr>
      </w:pPr>
      <w:bookmarkStart w:id="53" w:name="_Toc11965"/>
      <w:bookmarkStart w:id="54" w:name="_Toc18907"/>
      <w:r>
        <w:rPr>
          <w:rFonts w:hint="eastAsia" w:ascii="宋体" w:hAnsi="宋体" w:eastAsia="宋体" w:cs="宋体"/>
          <w:b/>
          <w:bCs/>
          <w:caps/>
          <w:color w:val="auto"/>
          <w:kern w:val="2"/>
          <w:sz w:val="30"/>
          <w:szCs w:val="30"/>
          <w:highlight w:val="none"/>
          <w:lang w:val="zh-CN" w:eastAsia="zh-CN" w:bidi="ar-SA"/>
        </w:rPr>
        <w:t>第</w:t>
      </w:r>
      <w:r>
        <w:rPr>
          <w:rFonts w:hint="eastAsia" w:ascii="宋体" w:hAnsi="宋体" w:eastAsia="宋体" w:cs="宋体"/>
          <w:b/>
          <w:bCs/>
          <w:caps/>
          <w:color w:val="auto"/>
          <w:kern w:val="2"/>
          <w:sz w:val="30"/>
          <w:szCs w:val="30"/>
          <w:highlight w:val="none"/>
          <w:lang w:val="en-US" w:eastAsia="zh-CN" w:bidi="ar-SA"/>
        </w:rPr>
        <w:t>三</w:t>
      </w:r>
      <w:r>
        <w:rPr>
          <w:rFonts w:hint="eastAsia" w:ascii="宋体" w:hAnsi="宋体" w:eastAsia="宋体" w:cs="宋体"/>
          <w:b/>
          <w:bCs/>
          <w:caps/>
          <w:color w:val="auto"/>
          <w:kern w:val="2"/>
          <w:sz w:val="30"/>
          <w:szCs w:val="30"/>
          <w:highlight w:val="none"/>
          <w:lang w:val="zh-CN" w:eastAsia="zh-CN" w:bidi="ar-SA"/>
        </w:rPr>
        <w:t>章</w:t>
      </w:r>
      <w:r>
        <w:rPr>
          <w:rFonts w:hint="eastAsia" w:ascii="宋体" w:hAnsi="宋体" w:eastAsia="宋体" w:cs="宋体"/>
          <w:b/>
          <w:bCs/>
          <w:caps/>
          <w:color w:val="auto"/>
          <w:kern w:val="2"/>
          <w:sz w:val="30"/>
          <w:szCs w:val="30"/>
          <w:highlight w:val="none"/>
          <w:lang w:val="en-US" w:eastAsia="zh-CN" w:bidi="ar-SA"/>
        </w:rPr>
        <w:t xml:space="preserve">  </w:t>
      </w:r>
      <w:r>
        <w:rPr>
          <w:rFonts w:hint="eastAsia" w:ascii="宋体" w:hAnsi="宋体" w:eastAsia="宋体" w:cs="宋体"/>
          <w:b/>
          <w:bCs/>
          <w:color w:val="auto"/>
          <w:sz w:val="30"/>
          <w:szCs w:val="30"/>
          <w:highlight w:val="none"/>
        </w:rPr>
        <w:t>采购合同</w:t>
      </w:r>
      <w:bookmarkEnd w:id="49"/>
      <w:bookmarkEnd w:id="50"/>
      <w:bookmarkEnd w:id="51"/>
      <w:bookmarkEnd w:id="53"/>
      <w:bookmarkEnd w:id="54"/>
    </w:p>
    <w:p w14:paraId="2ED6BB8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cs="宋体"/>
          <w:caps/>
          <w:color w:val="auto"/>
          <w:kern w:val="2"/>
          <w:sz w:val="24"/>
          <w:szCs w:val="24"/>
          <w:highlight w:val="none"/>
          <w:lang w:val="zh-CN"/>
        </w:rPr>
      </w:pPr>
      <w:r>
        <w:rPr>
          <w:rFonts w:hint="eastAsia" w:ascii="宋体" w:hAnsi="宋体" w:cs="宋体"/>
          <w:color w:val="auto"/>
          <w:sz w:val="24"/>
          <w:szCs w:val="24"/>
          <w:highlight w:val="none"/>
        </w:rPr>
        <w:t>（采购人与成交供应商自行协商拟定</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但不得违背采购文件实质性条款</w:t>
      </w:r>
      <w:r>
        <w:rPr>
          <w:rFonts w:hint="eastAsia" w:ascii="宋体" w:hAnsi="宋体" w:cs="宋体"/>
          <w:color w:val="auto"/>
          <w:sz w:val="24"/>
          <w:szCs w:val="24"/>
          <w:highlight w:val="none"/>
        </w:rPr>
        <w:t>）</w:t>
      </w:r>
      <w:bookmarkEnd w:id="52"/>
    </w:p>
    <w:p w14:paraId="33C85059">
      <w:pPr>
        <w:numPr>
          <w:ilvl w:val="0"/>
          <w:numId w:val="0"/>
        </w:numPr>
        <w:adjustRightInd w:val="0"/>
        <w:snapToGrid w:val="0"/>
        <w:spacing w:before="156" w:beforeLines="50" w:after="156" w:afterLines="50" w:line="440" w:lineRule="exact"/>
        <w:jc w:val="both"/>
        <w:outlineLvl w:val="9"/>
        <w:rPr>
          <w:rFonts w:hint="eastAsia" w:ascii="宋体" w:hAnsi="宋体" w:cs="宋体"/>
          <w:caps/>
          <w:color w:val="auto"/>
          <w:kern w:val="2"/>
          <w:sz w:val="30"/>
          <w:szCs w:val="30"/>
          <w:highlight w:val="none"/>
          <w:lang w:val="en-US" w:eastAsia="zh-CN"/>
        </w:rPr>
      </w:pPr>
    </w:p>
    <w:p w14:paraId="66406922">
      <w:pPr>
        <w:rPr>
          <w:rFonts w:hint="eastAsia" w:ascii="宋体" w:hAnsi="宋体" w:cs="宋体"/>
          <w:caps/>
          <w:color w:val="auto"/>
          <w:kern w:val="2"/>
          <w:sz w:val="30"/>
          <w:szCs w:val="30"/>
          <w:highlight w:val="none"/>
          <w:lang w:val="en-US" w:eastAsia="zh-CN"/>
        </w:rPr>
      </w:pPr>
    </w:p>
    <w:p w14:paraId="3E9AEC3B">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auto"/>
        <w:jc w:val="center"/>
        <w:textAlignment w:val="auto"/>
        <w:outlineLvl w:val="0"/>
        <w:rPr>
          <w:rFonts w:hint="eastAsia" w:ascii="宋体" w:hAnsi="宋体" w:eastAsia="宋体" w:cs="宋体"/>
          <w:b/>
          <w:bCs/>
          <w:caps/>
          <w:color w:val="auto"/>
          <w:kern w:val="2"/>
          <w:sz w:val="32"/>
          <w:szCs w:val="32"/>
          <w:highlight w:val="none"/>
          <w:lang w:val="zh-CN" w:eastAsia="zh-CN" w:bidi="ar-SA"/>
        </w:rPr>
        <w:sectPr>
          <w:headerReference r:id="rId5" w:type="default"/>
          <w:footerReference r:id="rId7" w:type="default"/>
          <w:headerReference r:id="rId6" w:type="even"/>
          <w:footerReference r:id="rId8" w:type="even"/>
          <w:pgSz w:w="11906" w:h="16838"/>
          <w:pgMar w:top="1440" w:right="1531" w:bottom="1440" w:left="1531" w:header="851" w:footer="992" w:gutter="0"/>
          <w:pgNumType w:fmt="decimal" w:start="1"/>
          <w:cols w:space="425" w:num="1"/>
          <w:docGrid w:type="lines" w:linePitch="312" w:charSpace="0"/>
        </w:sectPr>
      </w:pPr>
      <w:bookmarkStart w:id="55" w:name="_Toc7975"/>
      <w:bookmarkStart w:id="56" w:name="_Toc11986"/>
    </w:p>
    <w:p w14:paraId="758AD293">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auto"/>
        <w:jc w:val="center"/>
        <w:textAlignment w:val="auto"/>
        <w:outlineLvl w:val="0"/>
        <w:rPr>
          <w:rFonts w:hint="eastAsia" w:eastAsia="宋体"/>
          <w:color w:val="auto"/>
          <w:sz w:val="32"/>
          <w:szCs w:val="32"/>
          <w:highlight w:val="none"/>
          <w:lang w:val="en-US" w:eastAsia="zh-CN"/>
        </w:rPr>
      </w:pPr>
      <w:bookmarkStart w:id="57" w:name="_Toc30971"/>
      <w:r>
        <w:rPr>
          <w:rFonts w:hint="eastAsia" w:ascii="宋体" w:hAnsi="宋体" w:eastAsia="宋体" w:cs="宋体"/>
          <w:b/>
          <w:bCs/>
          <w:caps/>
          <w:color w:val="auto"/>
          <w:kern w:val="2"/>
          <w:sz w:val="32"/>
          <w:szCs w:val="32"/>
          <w:highlight w:val="none"/>
          <w:lang w:val="zh-CN" w:eastAsia="zh-CN" w:bidi="ar-SA"/>
        </w:rPr>
        <w:t>第</w:t>
      </w:r>
      <w:r>
        <w:rPr>
          <w:rFonts w:hint="eastAsia" w:ascii="宋体" w:hAnsi="宋体" w:cs="宋体"/>
          <w:b/>
          <w:bCs/>
          <w:caps/>
          <w:color w:val="auto"/>
          <w:kern w:val="2"/>
          <w:sz w:val="32"/>
          <w:szCs w:val="32"/>
          <w:highlight w:val="none"/>
          <w:lang w:val="en-US" w:eastAsia="zh-CN" w:bidi="ar-SA"/>
        </w:rPr>
        <w:t>四</w:t>
      </w:r>
      <w:r>
        <w:rPr>
          <w:rFonts w:hint="eastAsia" w:ascii="宋体" w:hAnsi="宋体" w:eastAsia="宋体" w:cs="宋体"/>
          <w:b/>
          <w:bCs/>
          <w:caps/>
          <w:color w:val="auto"/>
          <w:kern w:val="2"/>
          <w:sz w:val="32"/>
          <w:szCs w:val="32"/>
          <w:highlight w:val="none"/>
          <w:lang w:val="zh-CN" w:eastAsia="zh-CN" w:bidi="ar-SA"/>
        </w:rPr>
        <w:t>章</w:t>
      </w:r>
      <w:r>
        <w:rPr>
          <w:rFonts w:hint="eastAsia" w:ascii="宋体" w:hAnsi="宋体" w:eastAsia="宋体" w:cs="宋体"/>
          <w:b/>
          <w:bCs/>
          <w:caps/>
          <w:color w:val="auto"/>
          <w:kern w:val="2"/>
          <w:sz w:val="32"/>
          <w:szCs w:val="32"/>
          <w:highlight w:val="none"/>
          <w:lang w:val="en-US" w:eastAsia="zh-CN" w:bidi="ar-SA"/>
        </w:rPr>
        <w:t xml:space="preserve">  </w:t>
      </w:r>
      <w:r>
        <w:rPr>
          <w:rFonts w:hint="eastAsia" w:ascii="宋体" w:hAnsi="宋体" w:eastAsia="宋体" w:cs="宋体"/>
          <w:b/>
          <w:bCs/>
          <w:color w:val="auto"/>
          <w:sz w:val="32"/>
          <w:szCs w:val="32"/>
          <w:highlight w:val="none"/>
        </w:rPr>
        <w:t>采购</w:t>
      </w:r>
      <w:r>
        <w:rPr>
          <w:rFonts w:hint="eastAsia" w:ascii="宋体" w:hAnsi="宋体" w:cs="宋体"/>
          <w:b/>
          <w:bCs/>
          <w:color w:val="auto"/>
          <w:sz w:val="32"/>
          <w:szCs w:val="32"/>
          <w:highlight w:val="none"/>
          <w:lang w:val="en-US" w:eastAsia="zh-CN"/>
        </w:rPr>
        <w:t>需求</w:t>
      </w:r>
      <w:bookmarkEnd w:id="55"/>
      <w:bookmarkEnd w:id="56"/>
      <w:bookmarkEnd w:id="57"/>
    </w:p>
    <w:p w14:paraId="263F725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bookmarkStart w:id="58" w:name="_Toc12542"/>
      <w:bookmarkStart w:id="59" w:name="_Toc25987"/>
      <w:r>
        <w:rPr>
          <w:rFonts w:hint="eastAsia" w:ascii="宋体" w:hAnsi="宋体" w:eastAsia="宋体" w:cs="宋体"/>
          <w:b/>
          <w:bCs/>
          <w:sz w:val="24"/>
          <w:szCs w:val="24"/>
          <w:highlight w:val="none"/>
          <w:lang w:val="en-US" w:eastAsia="zh-CN"/>
        </w:rPr>
        <w:t>一、项目概况</w:t>
      </w:r>
    </w:p>
    <w:p w14:paraId="3783D3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本项目服务范围具体包括霍山东大街特色街区项目、霍山县大别山两山学院两处消防维保。具体情况如下：</w:t>
      </w:r>
    </w:p>
    <w:p w14:paraId="334200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霍山东大街特色街区：霍山东大街特色街区项目位于霍山县衡山镇淠河东路以南，文峰北路以东，南环城河以北，总建筑面积为87164.23 m²，其中洋房总建筑面积22392.79m²、合院总建筑面积约9087.02m²、商业总建筑面积33461.93m²（其中回迁安置商业面积为3378.7㎡，其他商业为30083.23㎡）、地下总建筑面积约21844.8m²。主要消防维保设施有消防泵房、消防监控室内设备（如湿式报警阀、消火栓泵、喷淋泵、监控主机等）、消防水池、水箱、喷淋系统、消火栓系统、应急疏散照明、防排烟系统以及消防报警系统等（具体数量以现场实际为主，维保单位需自行现场踏勘，确认报价）。</w:t>
      </w:r>
    </w:p>
    <w:p w14:paraId="14DB07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霍山县大别山两山学院：霍山县大别山两山学院位于霍山县衡山镇高桥湾路188号，本次消防维保范围1#-3#楼及公共区域，4#-8#除外，总建筑面积52130㎡（扣除4-8#面积，实际消防维保面积20393㎡）。主要消防维保设施有消防泵房、消防监控室内设备（如湿式报警阀、消火栓泵、喷淋泵、消防报警主机等）、消防水池、水箱、喷淋系统、消火栓系统、应急疏散照明、防排烟系统、正向送风系统、气体灭火系统、广播以及消防报警系统等（具体数量以现场实际为主，维保单位需自行现场踏勘，确认报价）。</w:t>
      </w:r>
    </w:p>
    <w:p w14:paraId="12DCDE5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二、服务需求</w:t>
      </w:r>
    </w:p>
    <w:p w14:paraId="1A82C3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1、日常巡查：无故障发生情况下，每半月对消防设备进行一次全面巡查，检查前需向物业管理人员登记，并保存现场检查影响资料。</w:t>
      </w:r>
      <w:r>
        <w:rPr>
          <w:rFonts w:hint="eastAsia" w:ascii="宋体" w:hAnsi="宋体" w:cs="宋体"/>
          <w:sz w:val="24"/>
          <w:szCs w:val="24"/>
          <w:highlight w:val="none"/>
          <w:lang w:val="en-US" w:eastAsia="zh-CN"/>
        </w:rPr>
        <w:t>巡查中维保人员须统一服装。</w:t>
      </w:r>
    </w:p>
    <w:p w14:paraId="7BEC1D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故障维修：维保单位在接到报修电话后，一般维修24小时内赶赴现场维修，紧急故障需在1小时内赶赴现场进行维修，排除故障。需要零配件采购更换的，三天内完成更换，维保单位应自行建立消防设备常用备件库，以确保消防设备的及时维修</w:t>
      </w:r>
      <w:r>
        <w:rPr>
          <w:rFonts w:hint="eastAsia" w:ascii="宋体" w:hAnsi="宋体" w:cs="宋体"/>
          <w:sz w:val="24"/>
          <w:szCs w:val="24"/>
          <w:highlight w:val="none"/>
          <w:lang w:val="en-US" w:eastAsia="zh-CN"/>
        </w:rPr>
        <w:t>。</w:t>
      </w:r>
    </w:p>
    <w:p w14:paraId="77E55D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3、维保报告：每月5日前向甲方提交上月维保报告，内容需包含设备运行数据、巡查记录、故障处理详情、隐患整改建议及下月维保计划，报告需附影像佐证材料并经双方签字确认。</w:t>
      </w:r>
    </w:p>
    <w:p w14:paraId="0E6188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信息安全责任：维保人员须严格保密项目消防系统图纸、设备参数、监控数据等敏感信息及甲方隐私，严禁以任何形式泄露、传播；维保单位需与工作人员签订保密协议，若发生信息泄露，甲方有权终止合作并追究法律责任及经济损失。</w:t>
      </w:r>
    </w:p>
    <w:p w14:paraId="547747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设备保洁标准：定期开展消防设备保洁养护，确保消防水源水质达标（无杂质、无异味）；按季度对防排烟系统、送风系统进行清洁，涵盖风口、管道内壁、风机叶轮等关键部位，清除积尘、油污及杂物，保障设备运行效率。</w:t>
      </w:r>
    </w:p>
    <w:p w14:paraId="35F7AC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6、设备更换：</w:t>
      </w:r>
    </w:p>
    <w:p w14:paraId="09F8B5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①维保方采购更换配件包括：零星配件（如应急指示灯、应急电源及相应配套设备、各型号闸阀及管件、打印纸、喷淋头、烟感、密封圈、消防通讯器材、水流指示、继电器、接触器、双电源切换、排烟窗电机、消火栓、消防水带、手动报警等），其中灭火器在正常使用周期内的损坏、故障维修及更换由维保单位承担；上述零配件采购费用由维保单位承担。</w:t>
      </w:r>
    </w:p>
    <w:p w14:paraId="7B84E5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②甲方统一采购，维保单位提供免费更换及调试的消防设备包括：湿式报警阀、喷淋泵、消防泵、稳压泵、消防控制柜、消防电源、消防主机和分机、防排烟风机、送风风机、气体灭火设备、防火门等大型消防设备，其中灭火器在过保后的更新由甲方统一采购，维保单位负责安装调试。</w:t>
      </w:r>
    </w:p>
    <w:p w14:paraId="3D9D7B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维保期间，因维保单位维护不当造成上述设备损坏的，由维保单位自行承单维修更换责任。</w:t>
      </w:r>
    </w:p>
    <w:p w14:paraId="694441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7、应急演练配合：每年配合甲方开展消防应急演练，提供技术支持（如设备操作指导、故障模拟设置），协助甲方优化应急预案。</w:t>
      </w:r>
    </w:p>
    <w:p w14:paraId="0C1FCF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8、设备检测校准：每半年对消防报警系统、灭火系统、应急照明等关键设备进行检测校准，确保各项参数符合国家消防规范，检测结果纳入维保报告。</w:t>
      </w:r>
    </w:p>
    <w:p w14:paraId="4701E7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9、配合消防大队、应急管理等部门消防安全检查。</w:t>
      </w:r>
    </w:p>
    <w:p w14:paraId="527DD5A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三、人员要求</w:t>
      </w:r>
    </w:p>
    <w:p w14:paraId="53E34E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FF0000"/>
          <w:sz w:val="24"/>
          <w:szCs w:val="24"/>
          <w:highlight w:val="none"/>
          <w:lang w:val="en-US" w:eastAsia="zh-CN"/>
        </w:rPr>
      </w:pPr>
      <w:r>
        <w:rPr>
          <w:rFonts w:hint="eastAsia" w:ascii="宋体" w:hAnsi="宋体" w:eastAsia="宋体" w:cs="宋体"/>
          <w:color w:val="FF0000"/>
          <w:sz w:val="24"/>
          <w:szCs w:val="24"/>
          <w:highlight w:val="none"/>
          <w:lang w:val="en-US" w:eastAsia="zh-CN"/>
        </w:rPr>
        <w:t>供应商</w:t>
      </w:r>
      <w:r>
        <w:rPr>
          <w:rFonts w:hint="eastAsia" w:ascii="宋体" w:hAnsi="宋体" w:cs="宋体"/>
          <w:color w:val="FF0000"/>
          <w:sz w:val="24"/>
          <w:szCs w:val="24"/>
          <w:highlight w:val="none"/>
          <w:lang w:val="en-US" w:eastAsia="zh-CN"/>
        </w:rPr>
        <w:t>须</w:t>
      </w:r>
      <w:r>
        <w:rPr>
          <w:rFonts w:hint="eastAsia" w:ascii="宋体" w:hAnsi="宋体" w:eastAsia="宋体" w:cs="宋体"/>
          <w:color w:val="FF0000"/>
          <w:sz w:val="24"/>
          <w:szCs w:val="24"/>
          <w:highlight w:val="none"/>
          <w:lang w:val="en-US" w:eastAsia="zh-CN"/>
        </w:rPr>
        <w:t>为本项目安排</w:t>
      </w:r>
      <w:r>
        <w:rPr>
          <w:rFonts w:hint="eastAsia" w:ascii="宋体" w:hAnsi="宋体" w:cs="宋体"/>
          <w:color w:val="FF0000"/>
          <w:sz w:val="24"/>
          <w:szCs w:val="24"/>
          <w:highlight w:val="none"/>
          <w:lang w:val="en-US" w:eastAsia="zh-CN"/>
        </w:rPr>
        <w:t>至少3名服务人员，其中项目负责人1名，须具备一级注册消防工程师资格；2名现场</w:t>
      </w:r>
      <w:r>
        <w:rPr>
          <w:rFonts w:hint="eastAsia" w:ascii="宋体" w:hAnsi="宋体" w:eastAsia="宋体" w:cs="宋体"/>
          <w:color w:val="FF0000"/>
          <w:sz w:val="24"/>
          <w:szCs w:val="24"/>
          <w:highlight w:val="none"/>
          <w:lang w:val="en-US" w:eastAsia="zh-CN"/>
        </w:rPr>
        <w:t>维保人员</w:t>
      </w:r>
      <w:r>
        <w:rPr>
          <w:rFonts w:hint="eastAsia" w:ascii="宋体" w:hAnsi="宋体" w:cs="宋体"/>
          <w:color w:val="FF0000"/>
          <w:sz w:val="24"/>
          <w:szCs w:val="24"/>
          <w:highlight w:val="none"/>
          <w:lang w:val="en-US" w:eastAsia="zh-CN"/>
        </w:rPr>
        <w:t>，</w:t>
      </w:r>
      <w:r>
        <w:rPr>
          <w:rFonts w:hint="eastAsia" w:ascii="宋体" w:hAnsi="宋体" w:eastAsia="宋体" w:cs="宋体"/>
          <w:color w:val="FF0000"/>
          <w:sz w:val="24"/>
          <w:szCs w:val="24"/>
          <w:highlight w:val="none"/>
          <w:lang w:val="en-US" w:eastAsia="zh-CN"/>
        </w:rPr>
        <w:t>须持有效消防设施操作员证书</w:t>
      </w:r>
      <w:r>
        <w:rPr>
          <w:rFonts w:hint="eastAsia" w:ascii="宋体" w:hAnsi="宋体" w:cs="宋体"/>
          <w:color w:val="FF0000"/>
          <w:sz w:val="24"/>
          <w:szCs w:val="24"/>
          <w:highlight w:val="none"/>
          <w:lang w:val="en-US" w:eastAsia="zh-CN"/>
        </w:rPr>
        <w:t>（维保方向）。</w:t>
      </w:r>
      <w:r>
        <w:rPr>
          <w:rFonts w:hint="eastAsia" w:ascii="宋体" w:hAnsi="宋体" w:eastAsia="宋体" w:cs="宋体"/>
          <w:color w:val="FF0000"/>
          <w:sz w:val="24"/>
          <w:szCs w:val="24"/>
          <w:highlight w:val="none"/>
          <w:lang w:val="en-US" w:eastAsia="zh-CN"/>
        </w:rPr>
        <w:t>维保单位定期组织人员专业培训，确保服务专业性。</w:t>
      </w:r>
    </w:p>
    <w:p w14:paraId="52A726D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kern w:val="2"/>
          <w:sz w:val="24"/>
          <w:szCs w:val="24"/>
          <w:highlight w:val="none"/>
          <w:lang w:val="en-US" w:eastAsia="zh-CN" w:bidi="ar-SA"/>
        </w:rPr>
        <w:t>四、</w:t>
      </w:r>
      <w:r>
        <w:rPr>
          <w:rFonts w:hint="eastAsia" w:ascii="宋体" w:hAnsi="宋体" w:eastAsia="宋体" w:cs="宋体"/>
          <w:b/>
          <w:bCs/>
          <w:sz w:val="24"/>
          <w:szCs w:val="24"/>
          <w:highlight w:val="none"/>
          <w:lang w:val="en-US" w:eastAsia="zh-CN"/>
        </w:rPr>
        <w:t>报价要求</w:t>
      </w:r>
    </w:p>
    <w:p w14:paraId="10D1E47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cs="宋体"/>
          <w:b w:val="0"/>
          <w:bCs w:val="0"/>
          <w:caps/>
          <w:color w:val="auto"/>
          <w:kern w:val="2"/>
          <w:sz w:val="24"/>
          <w:szCs w:val="24"/>
          <w:highlight w:val="none"/>
          <w:lang w:val="en-US" w:eastAsia="zh-CN"/>
        </w:rPr>
      </w:pPr>
      <w:r>
        <w:rPr>
          <w:rFonts w:hint="default" w:ascii="宋体" w:hAnsi="宋体" w:eastAsia="宋体" w:cs="宋体"/>
          <w:sz w:val="24"/>
          <w:szCs w:val="24"/>
          <w:highlight w:val="none"/>
          <w:lang w:val="en-US" w:eastAsia="zh-CN"/>
        </w:rPr>
        <w:t>本项目须报投标总价和分项报价。投标总价包含完成本项目的所有费用。</w:t>
      </w:r>
      <w:r>
        <w:rPr>
          <w:rFonts w:hint="eastAsia" w:ascii="宋体" w:hAnsi="宋体" w:eastAsia="宋体" w:cs="宋体"/>
          <w:sz w:val="24"/>
          <w:szCs w:val="24"/>
          <w:highlight w:val="none"/>
          <w:lang w:val="en-US" w:eastAsia="zh-CN"/>
        </w:rPr>
        <w:t>分项报价须分别</w:t>
      </w:r>
      <w:r>
        <w:rPr>
          <w:rFonts w:hint="default" w:ascii="宋体" w:hAnsi="宋体" w:eastAsia="宋体" w:cs="宋体"/>
          <w:sz w:val="24"/>
          <w:szCs w:val="24"/>
          <w:highlight w:val="none"/>
          <w:lang w:val="en-US" w:eastAsia="zh-CN"/>
        </w:rPr>
        <w:t>霍山东大街特色街区商业消防维保</w:t>
      </w:r>
      <w:r>
        <w:rPr>
          <w:rFonts w:hint="eastAsia" w:ascii="宋体" w:hAnsi="宋体" w:eastAsia="宋体" w:cs="宋体"/>
          <w:sz w:val="24"/>
          <w:szCs w:val="24"/>
          <w:highlight w:val="none"/>
          <w:lang w:val="en-US" w:eastAsia="zh-CN"/>
        </w:rPr>
        <w:t>、</w:t>
      </w:r>
      <w:r>
        <w:rPr>
          <w:rFonts w:hint="default" w:ascii="宋体" w:hAnsi="宋体" w:eastAsia="宋体" w:cs="宋体"/>
          <w:sz w:val="24"/>
          <w:szCs w:val="24"/>
          <w:highlight w:val="none"/>
          <w:lang w:val="en-US" w:eastAsia="zh-CN"/>
        </w:rPr>
        <w:t>霍山东大街特色街区住宅消防维保</w:t>
      </w:r>
      <w:r>
        <w:rPr>
          <w:rFonts w:hint="eastAsia" w:ascii="宋体" w:hAnsi="宋体" w:eastAsia="宋体" w:cs="宋体"/>
          <w:sz w:val="24"/>
          <w:szCs w:val="24"/>
          <w:highlight w:val="none"/>
          <w:lang w:val="en-US" w:eastAsia="zh-CN"/>
        </w:rPr>
        <w:t>、</w:t>
      </w:r>
      <w:r>
        <w:rPr>
          <w:rFonts w:hint="default" w:ascii="宋体" w:hAnsi="宋体" w:eastAsia="宋体" w:cs="宋体"/>
          <w:sz w:val="24"/>
          <w:szCs w:val="24"/>
          <w:highlight w:val="none"/>
          <w:lang w:val="en-US" w:eastAsia="zh-CN"/>
        </w:rPr>
        <w:t>霍山县大别山两山学院消防维保</w:t>
      </w:r>
      <w:r>
        <w:rPr>
          <w:rFonts w:hint="eastAsia" w:ascii="宋体" w:hAnsi="宋体" w:eastAsia="宋体" w:cs="宋体"/>
          <w:sz w:val="24"/>
          <w:szCs w:val="24"/>
          <w:highlight w:val="none"/>
          <w:lang w:val="en-US" w:eastAsia="zh-CN"/>
        </w:rPr>
        <w:t>进行报价</w:t>
      </w:r>
      <w:r>
        <w:rPr>
          <w:rFonts w:hint="default" w:ascii="宋体" w:hAnsi="宋体" w:eastAsia="宋体" w:cs="宋体"/>
          <w:sz w:val="24"/>
          <w:szCs w:val="24"/>
          <w:highlight w:val="none"/>
          <w:lang w:val="en-US" w:eastAsia="zh-CN"/>
        </w:rPr>
        <w:t>。</w:t>
      </w:r>
      <w:r>
        <w:rPr>
          <w:rFonts w:hint="eastAsia" w:ascii="宋体" w:hAnsi="宋体" w:eastAsia="宋体" w:cs="宋体"/>
          <w:sz w:val="24"/>
          <w:szCs w:val="24"/>
          <w:highlight w:val="none"/>
          <w:lang w:val="en-US" w:eastAsia="zh-CN"/>
        </w:rPr>
        <w:t>投标总报价或分项报价超过最高限价的按无效投标处理。</w:t>
      </w:r>
    </w:p>
    <w:p w14:paraId="22FD07A0">
      <w:pPr>
        <w:pStyle w:val="26"/>
        <w:rPr>
          <w:rFonts w:hint="eastAsia"/>
          <w:highlight w:val="none"/>
          <w:lang w:val="zh-CN"/>
        </w:rPr>
      </w:pPr>
    </w:p>
    <w:p w14:paraId="359F67BF">
      <w:pPr>
        <w:pStyle w:val="35"/>
        <w:rPr>
          <w:rFonts w:hint="eastAsia" w:ascii="宋体" w:hAnsi="宋体" w:cs="宋体"/>
          <w:b/>
          <w:bCs/>
          <w:caps/>
          <w:color w:val="auto"/>
          <w:kern w:val="2"/>
          <w:sz w:val="32"/>
          <w:szCs w:val="32"/>
          <w:highlight w:val="none"/>
          <w:lang w:val="zh-CN"/>
        </w:rPr>
        <w:sectPr>
          <w:pgSz w:w="11906" w:h="16838"/>
          <w:pgMar w:top="1440" w:right="1531" w:bottom="1440" w:left="1531" w:header="851" w:footer="992" w:gutter="0"/>
          <w:pgNumType w:fmt="decimal"/>
          <w:cols w:space="425" w:num="1"/>
          <w:docGrid w:type="lines" w:linePitch="312" w:charSpace="0"/>
        </w:sectPr>
      </w:pPr>
    </w:p>
    <w:p w14:paraId="697B563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outlineLvl w:val="0"/>
        <w:rPr>
          <w:rFonts w:hint="eastAsia" w:ascii="宋体" w:hAnsi="宋体"/>
          <w:b/>
          <w:bCs/>
          <w:color w:val="auto"/>
          <w:kern w:val="10"/>
          <w:sz w:val="32"/>
          <w:szCs w:val="32"/>
          <w:highlight w:val="none"/>
        </w:rPr>
      </w:pPr>
      <w:bookmarkStart w:id="60" w:name="_Toc19648"/>
      <w:r>
        <w:rPr>
          <w:rFonts w:hint="eastAsia" w:ascii="宋体" w:hAnsi="宋体" w:cs="宋体"/>
          <w:b/>
          <w:bCs/>
          <w:caps/>
          <w:color w:val="auto"/>
          <w:kern w:val="2"/>
          <w:sz w:val="32"/>
          <w:szCs w:val="32"/>
          <w:highlight w:val="none"/>
          <w:lang w:val="zh-CN"/>
        </w:rPr>
        <w:t>第</w:t>
      </w:r>
      <w:r>
        <w:rPr>
          <w:rFonts w:hint="eastAsia" w:ascii="宋体" w:hAnsi="宋体" w:cs="宋体"/>
          <w:b/>
          <w:bCs/>
          <w:caps/>
          <w:color w:val="auto"/>
          <w:kern w:val="2"/>
          <w:sz w:val="32"/>
          <w:szCs w:val="32"/>
          <w:highlight w:val="none"/>
          <w:lang w:val="en-US" w:eastAsia="zh-CN"/>
        </w:rPr>
        <w:t>五</w:t>
      </w:r>
      <w:r>
        <w:rPr>
          <w:rFonts w:hint="eastAsia" w:ascii="宋体" w:hAnsi="宋体" w:cs="宋体"/>
          <w:b/>
          <w:bCs/>
          <w:caps/>
          <w:color w:val="auto"/>
          <w:kern w:val="2"/>
          <w:sz w:val="32"/>
          <w:szCs w:val="32"/>
          <w:highlight w:val="none"/>
          <w:lang w:val="zh-CN"/>
        </w:rPr>
        <w:t xml:space="preserve">章  </w:t>
      </w:r>
      <w:bookmarkEnd w:id="58"/>
      <w:r>
        <w:rPr>
          <w:rFonts w:hint="eastAsia" w:ascii="宋体" w:hAnsi="宋体" w:cs="宋体"/>
          <w:b/>
          <w:bCs/>
          <w:caps/>
          <w:color w:val="auto"/>
          <w:kern w:val="2"/>
          <w:sz w:val="32"/>
          <w:szCs w:val="32"/>
          <w:highlight w:val="none"/>
          <w:lang w:val="zh-CN"/>
        </w:rPr>
        <w:t>评审方法和标准</w:t>
      </w:r>
      <w:bookmarkEnd w:id="59"/>
      <w:bookmarkEnd w:id="60"/>
    </w:p>
    <w:p w14:paraId="53777C6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b/>
          <w:color w:val="auto"/>
          <w:kern w:val="10"/>
          <w:sz w:val="30"/>
          <w:szCs w:val="30"/>
          <w:highlight w:val="none"/>
        </w:rPr>
      </w:pPr>
      <w:r>
        <w:rPr>
          <w:rFonts w:hint="eastAsia" w:ascii="宋体" w:hAnsi="宋体" w:eastAsia="宋体" w:cs="宋体"/>
          <w:b/>
          <w:color w:val="auto"/>
          <w:kern w:val="10"/>
          <w:sz w:val="30"/>
          <w:szCs w:val="30"/>
          <w:highlight w:val="none"/>
        </w:rPr>
        <w:t>评审方法和标准前附表一（</w:t>
      </w:r>
      <w:r>
        <w:rPr>
          <w:rFonts w:hint="eastAsia" w:ascii="宋体" w:hAnsi="宋体" w:eastAsia="宋体" w:cs="宋体"/>
          <w:b/>
          <w:bCs w:val="0"/>
          <w:color w:val="auto"/>
          <w:kern w:val="10"/>
          <w:sz w:val="30"/>
          <w:szCs w:val="30"/>
          <w:highlight w:val="none"/>
        </w:rPr>
        <w:t>资格审查指标表</w:t>
      </w:r>
      <w:r>
        <w:rPr>
          <w:rFonts w:hint="eastAsia" w:ascii="宋体" w:hAnsi="宋体" w:eastAsia="宋体" w:cs="宋体"/>
          <w:b/>
          <w:color w:val="auto"/>
          <w:kern w:val="10"/>
          <w:sz w:val="30"/>
          <w:szCs w:val="30"/>
          <w:highlight w:val="none"/>
        </w:rPr>
        <w:t>）</w:t>
      </w:r>
    </w:p>
    <w:tbl>
      <w:tblPr>
        <w:tblStyle w:val="37"/>
        <w:tblW w:w="9779" w:type="dxa"/>
        <w:jc w:val="center"/>
        <w:tblLayout w:type="fixed"/>
        <w:tblCellMar>
          <w:top w:w="0" w:type="dxa"/>
          <w:left w:w="108" w:type="dxa"/>
          <w:bottom w:w="0" w:type="dxa"/>
          <w:right w:w="108" w:type="dxa"/>
        </w:tblCellMar>
      </w:tblPr>
      <w:tblGrid>
        <w:gridCol w:w="818"/>
        <w:gridCol w:w="2246"/>
        <w:gridCol w:w="6715"/>
      </w:tblGrid>
      <w:tr w14:paraId="1C69A368">
        <w:tblPrEx>
          <w:tblCellMar>
            <w:top w:w="0" w:type="dxa"/>
            <w:left w:w="108" w:type="dxa"/>
            <w:bottom w:w="0" w:type="dxa"/>
            <w:right w:w="108" w:type="dxa"/>
          </w:tblCellMar>
        </w:tblPrEx>
        <w:trPr>
          <w:trHeight w:val="567"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13A94AE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7D2F0B85">
            <w:pPr>
              <w:keepNext w:val="0"/>
              <w:keepLines w:val="0"/>
              <w:pageBreakBefore w:val="0"/>
              <w:widowControl w:val="0"/>
              <w:kinsoku/>
              <w:wordWrap/>
              <w:overflowPunct/>
              <w:topLinePunct w:val="0"/>
              <w:autoSpaceDE/>
              <w:autoSpaceDN/>
              <w:bidi w:val="0"/>
              <w:adjustRightInd w:val="0"/>
              <w:snapToGrid w:val="0"/>
              <w:spacing w:line="240" w:lineRule="auto"/>
              <w:ind w:firstLine="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评审因素</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4A9BF6C3">
            <w:pPr>
              <w:keepNext w:val="0"/>
              <w:keepLines w:val="0"/>
              <w:pageBreakBefore w:val="0"/>
              <w:widowControl w:val="0"/>
              <w:kinsoku/>
              <w:wordWrap/>
              <w:overflowPunct/>
              <w:topLinePunct w:val="0"/>
              <w:autoSpaceDE/>
              <w:autoSpaceDN/>
              <w:bidi w:val="0"/>
              <w:adjustRightInd w:val="0"/>
              <w:snapToGrid w:val="0"/>
              <w:spacing w:line="240" w:lineRule="auto"/>
              <w:ind w:firstLine="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投标资格评审标准</w:t>
            </w:r>
          </w:p>
        </w:tc>
      </w:tr>
      <w:tr w14:paraId="342EFDEC">
        <w:tblPrEx>
          <w:tblCellMar>
            <w:top w:w="0" w:type="dxa"/>
            <w:left w:w="108" w:type="dxa"/>
            <w:bottom w:w="0" w:type="dxa"/>
            <w:right w:w="108" w:type="dxa"/>
          </w:tblCellMar>
        </w:tblPrEx>
        <w:trPr>
          <w:trHeight w:val="1011"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1A22473C">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3CAC5A4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谈判授权书</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1891143B">
            <w:pPr>
              <w:keepNext w:val="0"/>
              <w:keepLines w:val="0"/>
              <w:pageBreakBefore w:val="0"/>
              <w:widowControl w:val="0"/>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若法人代表本人参加开标会则只需查验身份证；若代理人参加开标</w:t>
            </w:r>
            <w:r>
              <w:rPr>
                <w:rFonts w:hint="eastAsia" w:ascii="宋体" w:hAnsi="宋体" w:eastAsia="宋体" w:cs="宋体"/>
                <w:color w:val="auto"/>
                <w:spacing w:val="-2"/>
                <w:sz w:val="24"/>
                <w:szCs w:val="24"/>
                <w:highlight w:val="none"/>
              </w:rPr>
              <w:t>会则需查谈判授权书、代理人居民身份证</w:t>
            </w:r>
            <w:r>
              <w:rPr>
                <w:rFonts w:hint="eastAsia" w:ascii="宋体" w:hAnsi="宋体" w:eastAsia="宋体" w:cs="宋体"/>
                <w:b/>
                <w:bCs/>
                <w:color w:val="auto"/>
                <w:spacing w:val="-2"/>
                <w:sz w:val="24"/>
                <w:szCs w:val="24"/>
                <w:highlight w:val="none"/>
              </w:rPr>
              <w:t>（</w:t>
            </w:r>
            <w:r>
              <w:rPr>
                <w:rFonts w:hint="eastAsia" w:ascii="宋体" w:hAnsi="宋体" w:eastAsia="宋体" w:cs="宋体"/>
                <w:b/>
                <w:bCs/>
                <w:color w:val="auto"/>
                <w:spacing w:val="-2"/>
                <w:sz w:val="24"/>
                <w:szCs w:val="24"/>
                <w:highlight w:val="none"/>
                <w:lang w:eastAsia="zh-CN"/>
              </w:rPr>
              <w:t>谈判</w:t>
            </w:r>
            <w:r>
              <w:rPr>
                <w:rFonts w:hint="eastAsia" w:ascii="宋体" w:hAnsi="宋体" w:eastAsia="宋体" w:cs="宋体"/>
                <w:b/>
                <w:bCs/>
                <w:color w:val="auto"/>
                <w:spacing w:val="-2"/>
                <w:sz w:val="24"/>
                <w:szCs w:val="24"/>
                <w:highlight w:val="none"/>
              </w:rPr>
              <w:t>响应文件中需提供加盖投标人公章的复印件</w:t>
            </w:r>
            <w:r>
              <w:rPr>
                <w:rFonts w:hint="eastAsia" w:ascii="宋体" w:hAnsi="宋体" w:eastAsia="宋体" w:cs="宋体"/>
                <w:b/>
                <w:bCs/>
                <w:color w:val="auto"/>
                <w:spacing w:val="-4"/>
                <w:sz w:val="24"/>
                <w:szCs w:val="24"/>
                <w:highlight w:val="none"/>
              </w:rPr>
              <w:t>，评标现场查验原件）</w:t>
            </w:r>
            <w:r>
              <w:rPr>
                <w:rFonts w:hint="eastAsia" w:ascii="宋体" w:hAnsi="宋体" w:eastAsia="宋体" w:cs="宋体"/>
                <w:color w:val="auto"/>
                <w:spacing w:val="-4"/>
                <w:sz w:val="24"/>
                <w:szCs w:val="24"/>
                <w:highlight w:val="none"/>
              </w:rPr>
              <w:t>。</w:t>
            </w:r>
          </w:p>
        </w:tc>
      </w:tr>
      <w:tr w14:paraId="0BEC7FAC">
        <w:tblPrEx>
          <w:tblCellMar>
            <w:top w:w="0" w:type="dxa"/>
            <w:left w:w="108" w:type="dxa"/>
            <w:bottom w:w="0" w:type="dxa"/>
            <w:right w:w="108" w:type="dxa"/>
          </w:tblCellMar>
        </w:tblPrEx>
        <w:trPr>
          <w:trHeight w:val="726"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79E443B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22AF2E7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供应商须具备独立法人资格，具有有效的营业执照</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2ED4A0E2">
            <w:pPr>
              <w:keepNext w:val="0"/>
              <w:keepLines w:val="0"/>
              <w:pageBreakBefore w:val="0"/>
              <w:widowControl w:val="0"/>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spacing w:val="-4"/>
                <w:sz w:val="24"/>
                <w:szCs w:val="24"/>
                <w:highlight w:val="none"/>
              </w:rPr>
            </w:pPr>
            <w:r>
              <w:rPr>
                <w:rFonts w:hint="eastAsia" w:ascii="宋体" w:hAnsi="宋体" w:eastAsia="宋体" w:cs="宋体"/>
                <w:b w:val="0"/>
                <w:bCs/>
                <w:color w:val="auto"/>
                <w:sz w:val="24"/>
                <w:szCs w:val="24"/>
                <w:highlight w:val="none"/>
              </w:rPr>
              <w:t>营业执照正本或副本</w:t>
            </w:r>
            <w:r>
              <w:rPr>
                <w:rFonts w:hint="eastAsia" w:ascii="宋体" w:hAnsi="宋体" w:eastAsia="宋体" w:cs="宋体"/>
                <w:b/>
                <w:color w:val="auto"/>
                <w:sz w:val="24"/>
                <w:szCs w:val="24"/>
                <w:highlight w:val="none"/>
              </w:rPr>
              <w:t>（谈判响应文件中需提供加盖投标人公章的复印件）</w:t>
            </w:r>
            <w:r>
              <w:rPr>
                <w:rFonts w:hint="eastAsia" w:ascii="宋体" w:hAnsi="宋体" w:eastAsia="宋体" w:cs="宋体"/>
                <w:b w:val="0"/>
                <w:bCs/>
                <w:color w:val="auto"/>
                <w:sz w:val="24"/>
                <w:szCs w:val="24"/>
                <w:highlight w:val="none"/>
              </w:rPr>
              <w:t>。</w:t>
            </w:r>
          </w:p>
        </w:tc>
      </w:tr>
      <w:tr w14:paraId="2D20E380">
        <w:tblPrEx>
          <w:tblCellMar>
            <w:top w:w="0" w:type="dxa"/>
            <w:left w:w="108" w:type="dxa"/>
            <w:bottom w:w="0" w:type="dxa"/>
            <w:right w:w="108" w:type="dxa"/>
          </w:tblCellMar>
        </w:tblPrEx>
        <w:trPr>
          <w:trHeight w:val="726"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497C293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color w:val="FF0000"/>
                <w:sz w:val="24"/>
                <w:szCs w:val="24"/>
                <w:highlight w:val="none"/>
                <w:lang w:val="en-US" w:eastAsia="zh-CN"/>
              </w:rPr>
            </w:pPr>
            <w:r>
              <w:rPr>
                <w:rFonts w:hint="eastAsia" w:ascii="宋体" w:hAnsi="宋体" w:cs="宋体"/>
                <w:color w:val="FF0000"/>
                <w:sz w:val="24"/>
                <w:szCs w:val="24"/>
                <w:highlight w:val="none"/>
                <w:lang w:val="en-US" w:eastAsia="zh-CN"/>
              </w:rPr>
              <w:t>3</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567F842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color w:val="FF0000"/>
                <w:sz w:val="24"/>
                <w:szCs w:val="24"/>
                <w:highlight w:val="none"/>
                <w:lang w:val="en-US" w:eastAsia="zh-CN"/>
              </w:rPr>
            </w:pPr>
            <w:r>
              <w:rPr>
                <w:rFonts w:hint="eastAsia" w:ascii="宋体" w:hAnsi="宋体" w:eastAsia="宋体" w:cs="宋体"/>
                <w:color w:val="FF0000"/>
                <w:sz w:val="24"/>
                <w:szCs w:val="24"/>
                <w:highlight w:val="none"/>
                <w:lang w:val="en-US" w:eastAsia="zh-CN"/>
              </w:rPr>
              <w:t>供应商</w:t>
            </w:r>
            <w:r>
              <w:rPr>
                <w:rFonts w:hint="eastAsia" w:ascii="宋体" w:hAnsi="宋体" w:cs="宋体"/>
                <w:color w:val="FF0000"/>
                <w:sz w:val="24"/>
                <w:szCs w:val="24"/>
                <w:highlight w:val="none"/>
                <w:lang w:val="en-US" w:eastAsia="zh-CN"/>
              </w:rPr>
              <w:t>业绩</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58A3432B">
            <w:pPr>
              <w:keepNext w:val="0"/>
              <w:keepLines w:val="0"/>
              <w:pageBreakBefore w:val="0"/>
              <w:widowControl w:val="0"/>
              <w:kinsoku/>
              <w:wordWrap/>
              <w:overflowPunct/>
              <w:topLinePunct w:val="0"/>
              <w:autoSpaceDE/>
              <w:autoSpaceDN/>
              <w:bidi w:val="0"/>
              <w:spacing w:line="240" w:lineRule="auto"/>
              <w:ind w:firstLine="0" w:firstLineChars="0"/>
              <w:jc w:val="left"/>
              <w:textAlignment w:val="auto"/>
              <w:rPr>
                <w:rFonts w:hint="eastAsia" w:ascii="宋体" w:hAnsi="宋体" w:eastAsia="宋体" w:cs="宋体"/>
                <w:b w:val="0"/>
                <w:bCs/>
                <w:color w:val="FF0000"/>
                <w:sz w:val="24"/>
                <w:szCs w:val="24"/>
                <w:highlight w:val="none"/>
              </w:rPr>
            </w:pPr>
            <w:r>
              <w:rPr>
                <w:rFonts w:hint="eastAsia" w:ascii="宋体" w:hAnsi="宋体" w:eastAsia="宋体" w:cs="宋体"/>
                <w:color w:val="FF0000"/>
                <w:sz w:val="24"/>
                <w:szCs w:val="24"/>
                <w:highlight w:val="none"/>
              </w:rPr>
              <w:t>供应商须具有与本项目类似的消防维保服务业绩</w:t>
            </w:r>
            <w:r>
              <w:rPr>
                <w:rFonts w:hint="eastAsia" w:ascii="宋体" w:hAnsi="宋体" w:eastAsia="宋体" w:cs="宋体"/>
                <w:b/>
                <w:color w:val="FF0000"/>
                <w:sz w:val="24"/>
                <w:szCs w:val="24"/>
                <w:highlight w:val="none"/>
              </w:rPr>
              <w:t>（谈判响应文件中需提供</w:t>
            </w:r>
            <w:r>
              <w:rPr>
                <w:rFonts w:hint="eastAsia" w:ascii="宋体" w:hAnsi="宋体" w:cs="宋体"/>
                <w:b/>
                <w:color w:val="FF0000"/>
                <w:sz w:val="24"/>
                <w:szCs w:val="24"/>
                <w:highlight w:val="none"/>
                <w:lang w:val="en-US" w:eastAsia="zh-CN"/>
              </w:rPr>
              <w:t>业绩合同或者其他有效证明材料</w:t>
            </w:r>
            <w:r>
              <w:rPr>
                <w:rFonts w:hint="eastAsia" w:ascii="宋体" w:hAnsi="宋体" w:eastAsia="宋体" w:cs="宋体"/>
                <w:b/>
                <w:color w:val="FF0000"/>
                <w:sz w:val="24"/>
                <w:szCs w:val="24"/>
                <w:highlight w:val="none"/>
              </w:rPr>
              <w:t>复印件）</w:t>
            </w:r>
            <w:r>
              <w:rPr>
                <w:rFonts w:hint="eastAsia" w:ascii="宋体" w:hAnsi="宋体" w:eastAsia="宋体" w:cs="宋体"/>
                <w:b w:val="0"/>
                <w:bCs/>
                <w:color w:val="FF0000"/>
                <w:sz w:val="24"/>
                <w:szCs w:val="24"/>
                <w:highlight w:val="none"/>
              </w:rPr>
              <w:t>。</w:t>
            </w:r>
          </w:p>
        </w:tc>
      </w:tr>
      <w:tr w14:paraId="30446C96">
        <w:tblPrEx>
          <w:tblCellMar>
            <w:top w:w="0" w:type="dxa"/>
            <w:left w:w="108" w:type="dxa"/>
            <w:bottom w:w="0" w:type="dxa"/>
            <w:right w:w="108" w:type="dxa"/>
          </w:tblCellMar>
        </w:tblPrEx>
        <w:trPr>
          <w:trHeight w:val="726" w:hRule="atLeast"/>
          <w:jc w:val="center"/>
        </w:trPr>
        <w:tc>
          <w:tcPr>
            <w:tcW w:w="818" w:type="dxa"/>
            <w:tcBorders>
              <w:top w:val="single" w:color="auto" w:sz="4" w:space="0"/>
              <w:left w:val="single" w:color="auto" w:sz="4" w:space="0"/>
              <w:bottom w:val="single" w:color="auto" w:sz="4" w:space="0"/>
              <w:right w:val="single" w:color="auto" w:sz="4" w:space="0"/>
            </w:tcBorders>
            <w:noWrap w:val="0"/>
            <w:vAlign w:val="center"/>
          </w:tcPr>
          <w:p w14:paraId="0947451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cs="宋体"/>
                <w:color w:val="FF0000"/>
                <w:sz w:val="24"/>
                <w:szCs w:val="24"/>
                <w:highlight w:val="none"/>
                <w:lang w:val="en-US" w:eastAsia="zh-CN"/>
              </w:rPr>
            </w:pPr>
            <w:r>
              <w:rPr>
                <w:rFonts w:hint="eastAsia" w:ascii="宋体" w:hAnsi="宋体" w:cs="宋体"/>
                <w:color w:val="FF0000"/>
                <w:sz w:val="24"/>
                <w:szCs w:val="24"/>
                <w:highlight w:val="none"/>
                <w:lang w:val="en-US" w:eastAsia="zh-CN"/>
              </w:rPr>
              <w:t>4</w:t>
            </w:r>
          </w:p>
        </w:tc>
        <w:tc>
          <w:tcPr>
            <w:tcW w:w="2246" w:type="dxa"/>
            <w:tcBorders>
              <w:top w:val="single" w:color="auto" w:sz="4" w:space="0"/>
              <w:left w:val="single" w:color="auto" w:sz="4" w:space="0"/>
              <w:bottom w:val="single" w:color="auto" w:sz="4" w:space="0"/>
              <w:right w:val="single" w:color="auto" w:sz="4" w:space="0"/>
            </w:tcBorders>
            <w:noWrap w:val="0"/>
            <w:vAlign w:val="center"/>
          </w:tcPr>
          <w:p w14:paraId="1812117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default" w:ascii="宋体" w:hAnsi="宋体" w:eastAsia="宋体" w:cs="宋体"/>
                <w:color w:val="FF0000"/>
                <w:sz w:val="24"/>
                <w:szCs w:val="24"/>
                <w:highlight w:val="none"/>
                <w:lang w:val="en-US" w:eastAsia="zh-CN"/>
              </w:rPr>
            </w:pPr>
            <w:r>
              <w:rPr>
                <w:rFonts w:hint="eastAsia" w:ascii="宋体" w:hAnsi="宋体" w:cs="宋体"/>
                <w:color w:val="FF0000"/>
                <w:sz w:val="24"/>
                <w:szCs w:val="24"/>
                <w:highlight w:val="none"/>
                <w:lang w:val="en-US" w:eastAsia="zh-CN"/>
              </w:rPr>
              <w:t>项目人员</w:t>
            </w:r>
          </w:p>
        </w:tc>
        <w:tc>
          <w:tcPr>
            <w:tcW w:w="6715" w:type="dxa"/>
            <w:tcBorders>
              <w:top w:val="single" w:color="auto" w:sz="4" w:space="0"/>
              <w:left w:val="single" w:color="auto" w:sz="4" w:space="0"/>
              <w:bottom w:val="single" w:color="auto" w:sz="4" w:space="0"/>
              <w:right w:val="single" w:color="auto" w:sz="4" w:space="0"/>
            </w:tcBorders>
            <w:noWrap w:val="0"/>
            <w:vAlign w:val="center"/>
          </w:tcPr>
          <w:p w14:paraId="3F169DDF">
            <w:pPr>
              <w:keepNext w:val="0"/>
              <w:keepLines w:val="0"/>
              <w:pageBreakBefore w:val="0"/>
              <w:widowControl w:val="0"/>
              <w:kinsoku/>
              <w:wordWrap/>
              <w:overflowPunct/>
              <w:topLinePunct w:val="0"/>
              <w:autoSpaceDE/>
              <w:autoSpaceDN/>
              <w:bidi w:val="0"/>
              <w:spacing w:line="240" w:lineRule="auto"/>
              <w:ind w:firstLine="0" w:firstLineChars="0"/>
              <w:jc w:val="left"/>
              <w:textAlignment w:val="auto"/>
              <w:rPr>
                <w:rFonts w:hint="eastAsia" w:ascii="宋体" w:hAnsi="宋体" w:eastAsia="宋体" w:cs="宋体"/>
                <w:b w:val="0"/>
                <w:bCs/>
                <w:color w:val="FF0000"/>
                <w:sz w:val="24"/>
                <w:szCs w:val="24"/>
                <w:highlight w:val="none"/>
              </w:rPr>
            </w:pPr>
            <w:r>
              <w:rPr>
                <w:rFonts w:hint="eastAsia" w:ascii="宋体" w:hAnsi="宋体" w:eastAsia="宋体" w:cs="宋体"/>
                <w:b w:val="0"/>
                <w:bCs/>
                <w:color w:val="FF0000"/>
                <w:sz w:val="24"/>
                <w:szCs w:val="24"/>
                <w:highlight w:val="none"/>
              </w:rPr>
              <w:t>供应商须为本项目安排至少3名服务人员，其中项目负责人1名，须具备一级注册消防工程师资格；2名现场维保人员，须持有效消防设施操作员证书（维保方向）</w:t>
            </w:r>
            <w:r>
              <w:rPr>
                <w:rFonts w:hint="eastAsia" w:ascii="宋体" w:hAnsi="宋体" w:eastAsia="宋体" w:cs="宋体"/>
                <w:b/>
                <w:color w:val="FF0000"/>
                <w:sz w:val="24"/>
                <w:szCs w:val="24"/>
                <w:highlight w:val="none"/>
              </w:rPr>
              <w:t>（谈判响应文件中需提供</w:t>
            </w:r>
            <w:r>
              <w:rPr>
                <w:rFonts w:hint="eastAsia" w:ascii="宋体" w:hAnsi="宋体" w:cs="宋体"/>
                <w:b/>
                <w:color w:val="FF0000"/>
                <w:sz w:val="24"/>
                <w:szCs w:val="24"/>
                <w:highlight w:val="none"/>
                <w:lang w:val="en-US" w:eastAsia="zh-CN"/>
              </w:rPr>
              <w:t>人员名单及资格证书</w:t>
            </w:r>
            <w:r>
              <w:rPr>
                <w:rFonts w:hint="eastAsia" w:ascii="宋体" w:hAnsi="宋体" w:eastAsia="宋体" w:cs="宋体"/>
                <w:b/>
                <w:color w:val="FF0000"/>
                <w:sz w:val="24"/>
                <w:szCs w:val="24"/>
                <w:highlight w:val="none"/>
              </w:rPr>
              <w:t>复印件）</w:t>
            </w:r>
            <w:r>
              <w:rPr>
                <w:rFonts w:hint="eastAsia" w:ascii="宋体" w:hAnsi="宋体" w:eastAsia="宋体" w:cs="宋体"/>
                <w:b w:val="0"/>
                <w:bCs/>
                <w:color w:val="FF0000"/>
                <w:sz w:val="24"/>
                <w:szCs w:val="24"/>
                <w:highlight w:val="none"/>
              </w:rPr>
              <w:t>。</w:t>
            </w:r>
          </w:p>
        </w:tc>
      </w:tr>
      <w:tr w14:paraId="4C692ECA">
        <w:tblPrEx>
          <w:tblCellMar>
            <w:top w:w="0" w:type="dxa"/>
            <w:left w:w="108" w:type="dxa"/>
            <w:bottom w:w="0" w:type="dxa"/>
            <w:right w:w="108" w:type="dxa"/>
          </w:tblCellMar>
        </w:tblPrEx>
        <w:trPr>
          <w:trHeight w:val="680"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7EDFBE6B">
            <w:pPr>
              <w:keepNext w:val="0"/>
              <w:keepLines w:val="0"/>
              <w:pageBreakBefore w:val="0"/>
              <w:widowControl w:val="0"/>
              <w:kinsoku/>
              <w:wordWrap/>
              <w:overflowPunct/>
              <w:topLinePunct w:val="0"/>
              <w:autoSpaceDE/>
              <w:autoSpaceDN/>
              <w:bidi w:val="0"/>
              <w:adjustRightInd w:val="0"/>
              <w:snapToGrid w:val="0"/>
              <w:spacing w:line="240" w:lineRule="auto"/>
              <w:ind w:firstLine="0"/>
              <w:jc w:val="left"/>
              <w:textAlignment w:val="auto"/>
              <w:rPr>
                <w:rFonts w:hint="eastAsia" w:ascii="宋体" w:hAnsi="宋体" w:eastAsia="宋体" w:cs="宋体"/>
                <w:bCs/>
                <w:color w:val="auto"/>
                <w:sz w:val="24"/>
                <w:szCs w:val="24"/>
                <w:highlight w:val="none"/>
              </w:rPr>
            </w:pPr>
            <w:r>
              <w:rPr>
                <w:rFonts w:hint="eastAsia" w:ascii="宋体" w:hAnsi="宋体" w:eastAsia="宋体" w:cs="宋体"/>
                <w:b/>
                <w:bCs w:val="0"/>
                <w:color w:val="auto"/>
                <w:sz w:val="24"/>
                <w:szCs w:val="24"/>
                <w:highlight w:val="none"/>
              </w:rPr>
              <w:t>未通过或缺少任何一项需提交的原件材料的，资格审查不合格，按无效投标处理。</w:t>
            </w:r>
          </w:p>
        </w:tc>
      </w:tr>
    </w:tbl>
    <w:p w14:paraId="2C6403B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eastAsia="宋体" w:cs="宋体"/>
          <w:b/>
          <w:color w:val="auto"/>
          <w:kern w:val="10"/>
          <w:sz w:val="30"/>
          <w:szCs w:val="30"/>
          <w:highlight w:val="none"/>
        </w:rPr>
      </w:pPr>
      <w:r>
        <w:rPr>
          <w:rFonts w:hint="eastAsia" w:ascii="宋体" w:hAnsi="宋体" w:eastAsia="宋体" w:cs="宋体"/>
          <w:b/>
          <w:color w:val="auto"/>
          <w:kern w:val="10"/>
          <w:sz w:val="30"/>
          <w:szCs w:val="30"/>
          <w:highlight w:val="none"/>
        </w:rPr>
        <w:t>评审方法和标准前附表二（初步评审指标表）</w:t>
      </w:r>
    </w:p>
    <w:tbl>
      <w:tblPr>
        <w:tblStyle w:val="37"/>
        <w:tblW w:w="0" w:type="auto"/>
        <w:jc w:val="center"/>
        <w:tblLayout w:type="fixed"/>
        <w:tblCellMar>
          <w:top w:w="0" w:type="dxa"/>
          <w:left w:w="108" w:type="dxa"/>
          <w:bottom w:w="0" w:type="dxa"/>
          <w:right w:w="108" w:type="dxa"/>
        </w:tblCellMar>
      </w:tblPr>
      <w:tblGrid>
        <w:gridCol w:w="821"/>
        <w:gridCol w:w="2227"/>
        <w:gridCol w:w="6731"/>
      </w:tblGrid>
      <w:tr w14:paraId="57DD2D9F">
        <w:tblPrEx>
          <w:tblCellMar>
            <w:top w:w="0" w:type="dxa"/>
            <w:left w:w="108" w:type="dxa"/>
            <w:bottom w:w="0" w:type="dxa"/>
            <w:right w:w="108" w:type="dxa"/>
          </w:tblCellMar>
        </w:tblPrEx>
        <w:trPr>
          <w:trHeight w:val="44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0A365CF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1B4EF30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评审因素</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05B21FC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初步评审标准</w:t>
            </w:r>
          </w:p>
        </w:tc>
      </w:tr>
      <w:tr w14:paraId="78DA78C7">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CD64F3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22256A7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投标单位名称的</w:t>
            </w:r>
          </w:p>
          <w:p w14:paraId="1C75A7D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一致性要求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795C9690">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投标单位名称与资格审查提供的投标单位营业执照、税务登记证应一致。</w:t>
            </w:r>
          </w:p>
        </w:tc>
      </w:tr>
      <w:tr w14:paraId="57BBB1C7">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2CE65FD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596389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谈判响应文件签字盖章要求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23DB5EFA">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谈判响应文件应按谈判文件规定加盖投标单位印章</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投标单位负责人或其授权的代理人签字或盖章。</w:t>
            </w:r>
          </w:p>
        </w:tc>
      </w:tr>
      <w:tr w14:paraId="6143B9EF">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2885ECA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2DFC56E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谈判响应文件格式</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2BDC404E">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须按谈判文件规定的格式填写，内容完整，不得影响谈判响应文件评审，且不得出现关键字迹模糊、无法辨认等情况。</w:t>
            </w:r>
          </w:p>
        </w:tc>
      </w:tr>
      <w:tr w14:paraId="3B834C33">
        <w:tblPrEx>
          <w:tblCellMar>
            <w:top w:w="0" w:type="dxa"/>
            <w:left w:w="108" w:type="dxa"/>
            <w:bottom w:w="0" w:type="dxa"/>
            <w:right w:w="108" w:type="dxa"/>
          </w:tblCellMar>
        </w:tblPrEx>
        <w:trPr>
          <w:trHeight w:val="680"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5FD00F5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3381706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谈判响应文件的唯一性和确定性</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6ABB6ED6">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投标单位不得递交两份或多份内容不同的响应文件，且未声明哪一个有效，按谈判文件规定提交投标替代方案的除外</w:t>
            </w:r>
            <w:r>
              <w:rPr>
                <w:rFonts w:hint="eastAsia" w:ascii="宋体" w:hAnsi="宋体" w:eastAsia="宋体" w:cs="宋体"/>
                <w:color w:val="auto"/>
                <w:sz w:val="24"/>
                <w:szCs w:val="24"/>
                <w:highlight w:val="none"/>
              </w:rPr>
              <w:t>。</w:t>
            </w:r>
          </w:p>
        </w:tc>
      </w:tr>
      <w:tr w14:paraId="2A9CCF38">
        <w:tblPrEx>
          <w:tblCellMar>
            <w:top w:w="0" w:type="dxa"/>
            <w:left w:w="108" w:type="dxa"/>
            <w:bottom w:w="0" w:type="dxa"/>
            <w:right w:w="108" w:type="dxa"/>
          </w:tblCellMar>
        </w:tblPrEx>
        <w:trPr>
          <w:trHeight w:val="48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30413F2C">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以上评审有任何一项未通过的，初步评审不合格，按照无效投标处理。</w:t>
            </w:r>
          </w:p>
        </w:tc>
      </w:tr>
    </w:tbl>
    <w:p w14:paraId="5E79D93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eastAsia="宋体" w:cs="宋体"/>
          <w:b/>
          <w:color w:val="auto"/>
          <w:kern w:val="10"/>
          <w:sz w:val="30"/>
          <w:szCs w:val="30"/>
          <w:highlight w:val="none"/>
        </w:rPr>
      </w:pPr>
      <w:r>
        <w:rPr>
          <w:rFonts w:hint="eastAsia" w:ascii="宋体" w:hAnsi="宋体" w:eastAsia="宋体" w:cs="宋体"/>
          <w:b/>
          <w:color w:val="auto"/>
          <w:kern w:val="10"/>
          <w:sz w:val="30"/>
          <w:szCs w:val="30"/>
          <w:highlight w:val="none"/>
        </w:rPr>
        <w:t>评审方法和标准前附表三（</w:t>
      </w:r>
      <w:r>
        <w:rPr>
          <w:rFonts w:hint="eastAsia" w:ascii="宋体" w:hAnsi="宋体" w:eastAsia="宋体" w:cs="宋体"/>
          <w:b/>
          <w:color w:val="auto"/>
          <w:kern w:val="10"/>
          <w:sz w:val="30"/>
          <w:szCs w:val="30"/>
          <w:highlight w:val="none"/>
          <w:lang w:val="en-US" w:eastAsia="zh-CN"/>
        </w:rPr>
        <w:t>响应性评审指标</w:t>
      </w:r>
      <w:r>
        <w:rPr>
          <w:rFonts w:hint="eastAsia" w:ascii="宋体" w:hAnsi="宋体" w:eastAsia="宋体" w:cs="宋体"/>
          <w:b/>
          <w:color w:val="auto"/>
          <w:kern w:val="10"/>
          <w:sz w:val="30"/>
          <w:szCs w:val="30"/>
          <w:highlight w:val="none"/>
        </w:rPr>
        <w:t>表）</w:t>
      </w:r>
    </w:p>
    <w:tbl>
      <w:tblPr>
        <w:tblStyle w:val="37"/>
        <w:tblW w:w="0" w:type="auto"/>
        <w:jc w:val="center"/>
        <w:tblLayout w:type="fixed"/>
        <w:tblCellMar>
          <w:top w:w="0" w:type="dxa"/>
          <w:left w:w="108" w:type="dxa"/>
          <w:bottom w:w="0" w:type="dxa"/>
          <w:right w:w="108" w:type="dxa"/>
        </w:tblCellMar>
      </w:tblPr>
      <w:tblGrid>
        <w:gridCol w:w="822"/>
        <w:gridCol w:w="2231"/>
        <w:gridCol w:w="6734"/>
      </w:tblGrid>
      <w:tr w14:paraId="00AF3649">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243DB8F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119BA3C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评审因素</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1FF6B73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谈判响应文件详细评审标准</w:t>
            </w:r>
          </w:p>
        </w:tc>
      </w:tr>
      <w:tr w14:paraId="0FA27F9F">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089972B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3CC5FBA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服务内容</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524C37B5">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必须响应谈判文件的要求</w:t>
            </w:r>
          </w:p>
        </w:tc>
      </w:tr>
      <w:tr w14:paraId="69AA19B0">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06CA0E3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15CD496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期</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43DBA30F">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必须响应谈判文件的要求</w:t>
            </w:r>
          </w:p>
        </w:tc>
      </w:tr>
      <w:tr w14:paraId="012EFCC3">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1756731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40810C4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付款方式</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7B202D13">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必须响应谈判文件的要求</w:t>
            </w:r>
          </w:p>
        </w:tc>
      </w:tr>
      <w:tr w14:paraId="0001A44D">
        <w:tblPrEx>
          <w:tblCellMar>
            <w:top w:w="0" w:type="dxa"/>
            <w:left w:w="108" w:type="dxa"/>
            <w:bottom w:w="0" w:type="dxa"/>
            <w:right w:w="108" w:type="dxa"/>
          </w:tblCellMar>
        </w:tblPrEx>
        <w:trPr>
          <w:trHeight w:val="51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693758A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9FAAAF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其他</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53292B9E">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必须响应谈判文件的要求</w:t>
            </w:r>
          </w:p>
        </w:tc>
      </w:tr>
      <w:tr w14:paraId="4BFDD6F4">
        <w:tblPrEx>
          <w:tblCellMar>
            <w:top w:w="0" w:type="dxa"/>
            <w:left w:w="108" w:type="dxa"/>
            <w:bottom w:w="0" w:type="dxa"/>
            <w:right w:w="108" w:type="dxa"/>
          </w:tblCellMar>
        </w:tblPrEx>
        <w:trPr>
          <w:trHeight w:val="47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14:paraId="14B2E261">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以上评审有任何一项未通过的，响应性评审不合格，按无效投标处理。</w:t>
            </w:r>
          </w:p>
        </w:tc>
      </w:tr>
    </w:tbl>
    <w:p w14:paraId="394C4562">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82" w:firstLineChars="200"/>
        <w:jc w:val="left"/>
        <w:textAlignment w:val="auto"/>
        <w:outlineLvl w:val="1"/>
        <w:rPr>
          <w:rFonts w:hint="eastAsia" w:ascii="宋体" w:hAnsi="宋体" w:eastAsia="宋体" w:cs="宋体"/>
          <w:b/>
          <w:color w:val="auto"/>
          <w:sz w:val="24"/>
          <w:szCs w:val="24"/>
          <w:highlight w:val="none"/>
        </w:rPr>
      </w:pPr>
      <w:bookmarkStart w:id="61" w:name="_Toc21730"/>
      <w:bookmarkStart w:id="62" w:name="_Toc457942830"/>
      <w:bookmarkStart w:id="63" w:name="_Toc493152871"/>
      <w:r>
        <w:rPr>
          <w:rFonts w:hint="eastAsia" w:ascii="宋体" w:hAnsi="宋体" w:eastAsia="宋体" w:cs="宋体"/>
          <w:b/>
          <w:color w:val="auto"/>
          <w:sz w:val="24"/>
          <w:szCs w:val="24"/>
          <w:highlight w:val="none"/>
        </w:rPr>
        <w:t>一、评审</w:t>
      </w:r>
      <w:r>
        <w:rPr>
          <w:rFonts w:hint="eastAsia" w:ascii="宋体" w:hAnsi="宋体" w:eastAsia="宋体" w:cs="宋体"/>
          <w:b/>
          <w:color w:val="auto"/>
          <w:sz w:val="24"/>
          <w:szCs w:val="24"/>
          <w:highlight w:val="none"/>
          <w:lang w:val="en-US" w:eastAsia="zh-CN"/>
        </w:rPr>
        <w:t>方</w:t>
      </w:r>
      <w:r>
        <w:rPr>
          <w:rFonts w:hint="eastAsia" w:ascii="宋体" w:hAnsi="宋体" w:eastAsia="宋体" w:cs="宋体"/>
          <w:b/>
          <w:color w:val="auto"/>
          <w:sz w:val="24"/>
          <w:szCs w:val="24"/>
          <w:highlight w:val="none"/>
        </w:rPr>
        <w:t>法：最低评标价法。</w:t>
      </w:r>
    </w:p>
    <w:p w14:paraId="0F6A7E1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outlineLvl w:val="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w:t>
      </w:r>
      <w:r>
        <w:rPr>
          <w:rFonts w:hint="eastAsia" w:ascii="宋体" w:hAnsi="宋体" w:eastAsia="宋体" w:cs="宋体"/>
          <w:b/>
          <w:bCs/>
          <w:color w:val="auto"/>
          <w:kern w:val="10"/>
          <w:sz w:val="24"/>
          <w:szCs w:val="24"/>
          <w:highlight w:val="none"/>
        </w:rPr>
        <w:t>评审</w:t>
      </w:r>
      <w:r>
        <w:rPr>
          <w:rFonts w:hint="eastAsia" w:ascii="宋体" w:hAnsi="宋体" w:eastAsia="宋体" w:cs="宋体"/>
          <w:b/>
          <w:color w:val="auto"/>
          <w:sz w:val="24"/>
          <w:szCs w:val="24"/>
          <w:highlight w:val="none"/>
        </w:rPr>
        <w:t>程序：</w:t>
      </w:r>
    </w:p>
    <w:p w14:paraId="1664A887">
      <w:pPr>
        <w:pStyle w:val="32"/>
        <w:keepNext w:val="0"/>
        <w:keepLines w:val="0"/>
        <w:pageBreakBefore w:val="0"/>
        <w:kinsoku/>
        <w:wordWrap/>
        <w:overflowPunct/>
        <w:topLinePunct w:val="0"/>
        <w:autoSpaceDE/>
        <w:autoSpaceDN/>
        <w:bidi w:val="0"/>
        <w:adjustRightInd w:val="0"/>
        <w:snapToGrid w:val="0"/>
        <w:spacing w:before="0" w:beforeLines="0" w:beforeAutospacing="0" w:after="0" w:afterLines="0" w:afterAutospacing="0" w:line="360" w:lineRule="auto"/>
        <w:ind w:firstLine="480" w:firstLineChars="20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按照以下顺序进行：“</w:t>
      </w:r>
      <w:r>
        <w:rPr>
          <w:rFonts w:hint="eastAsia" w:ascii="宋体" w:hAnsi="宋体" w:eastAsia="宋体" w:cs="宋体"/>
          <w:b/>
          <w:color w:val="auto"/>
          <w:kern w:val="2"/>
          <w:sz w:val="24"/>
          <w:szCs w:val="24"/>
          <w:highlight w:val="none"/>
        </w:rPr>
        <w:t>符合性评审→谈判→第二轮报价→</w:t>
      </w:r>
      <w:r>
        <w:rPr>
          <w:rFonts w:hint="eastAsia" w:ascii="宋体" w:hAnsi="宋体" w:eastAsia="宋体" w:cs="宋体"/>
          <w:b/>
          <w:color w:val="auto"/>
          <w:sz w:val="24"/>
          <w:szCs w:val="24"/>
          <w:highlight w:val="none"/>
          <w:lang w:val="en-US" w:eastAsia="zh-CN"/>
        </w:rPr>
        <w:t>价格评审</w:t>
      </w:r>
      <w:r>
        <w:rPr>
          <w:rFonts w:hint="eastAsia" w:ascii="宋体" w:hAnsi="宋体" w:eastAsia="宋体" w:cs="宋体"/>
          <w:b/>
          <w:color w:val="auto"/>
          <w:kern w:val="2"/>
          <w:sz w:val="24"/>
          <w:szCs w:val="24"/>
          <w:highlight w:val="none"/>
        </w:rPr>
        <w:t>→确定成交供应商及成交候选供应商→</w:t>
      </w:r>
      <w:r>
        <w:rPr>
          <w:rFonts w:hint="eastAsia" w:ascii="宋体" w:hAnsi="宋体" w:eastAsia="宋体" w:cs="宋体"/>
          <w:b/>
          <w:color w:val="auto"/>
          <w:sz w:val="24"/>
          <w:szCs w:val="24"/>
          <w:highlight w:val="none"/>
        </w:rPr>
        <w:t>宣布评标结果</w:t>
      </w:r>
      <w:r>
        <w:rPr>
          <w:rFonts w:hint="eastAsia" w:ascii="宋体" w:hAnsi="宋体" w:eastAsia="宋体" w:cs="宋体"/>
          <w:color w:val="auto"/>
          <w:sz w:val="24"/>
          <w:szCs w:val="24"/>
          <w:highlight w:val="none"/>
        </w:rPr>
        <w:t>”</w:t>
      </w:r>
      <w:r>
        <w:rPr>
          <w:rFonts w:hint="eastAsia" w:ascii="宋体" w:hAnsi="宋体" w:eastAsia="宋体" w:cs="宋体"/>
          <w:color w:val="auto"/>
          <w:kern w:val="2"/>
          <w:sz w:val="24"/>
          <w:szCs w:val="24"/>
          <w:highlight w:val="none"/>
        </w:rPr>
        <w:t>。</w:t>
      </w:r>
    </w:p>
    <w:p w14:paraId="65683AB7">
      <w:pPr>
        <w:pStyle w:val="32"/>
        <w:keepNext w:val="0"/>
        <w:keepLines w:val="0"/>
        <w:pageBreakBefore w:val="0"/>
        <w:kinsoku/>
        <w:wordWrap/>
        <w:overflowPunct/>
        <w:topLinePunct w:val="0"/>
        <w:autoSpaceDE/>
        <w:autoSpaceDN/>
        <w:bidi w:val="0"/>
        <w:adjustRightInd w:val="0"/>
        <w:snapToGrid w:val="0"/>
        <w:spacing w:before="0" w:beforeLines="0" w:beforeAutospacing="0" w:after="0" w:afterLines="0" w:afterAutospacing="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（一）符合性评审</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谈判</w:t>
      </w:r>
      <w:r>
        <w:rPr>
          <w:rFonts w:hint="eastAsia" w:ascii="宋体" w:hAnsi="宋体" w:eastAsia="宋体" w:cs="宋体"/>
          <w:color w:val="auto"/>
          <w:sz w:val="24"/>
          <w:szCs w:val="24"/>
          <w:highlight w:val="none"/>
        </w:rPr>
        <w:t>小组根据标评审方法和标准前附表一、二、三对供应商的响应文件进行符合性评审。符合性评审未通过的供应商不得进入</w:t>
      </w:r>
      <w:r>
        <w:rPr>
          <w:rFonts w:hint="eastAsia" w:ascii="宋体" w:hAnsi="宋体" w:eastAsia="宋体" w:cs="宋体"/>
          <w:color w:val="auto"/>
          <w:sz w:val="24"/>
          <w:szCs w:val="24"/>
          <w:highlight w:val="none"/>
          <w:lang w:val="en-US" w:eastAsia="zh-CN"/>
        </w:rPr>
        <w:t>谈判和后续</w:t>
      </w:r>
      <w:r>
        <w:rPr>
          <w:rFonts w:hint="eastAsia" w:ascii="宋体" w:hAnsi="宋体" w:eastAsia="宋体" w:cs="宋体"/>
          <w:color w:val="auto"/>
          <w:sz w:val="24"/>
          <w:szCs w:val="24"/>
          <w:highlight w:val="none"/>
        </w:rPr>
        <w:t>评审</w:t>
      </w:r>
      <w:r>
        <w:rPr>
          <w:rFonts w:hint="eastAsia" w:ascii="宋体" w:hAnsi="宋体" w:eastAsia="宋体" w:cs="宋体"/>
          <w:color w:val="auto"/>
          <w:sz w:val="24"/>
          <w:szCs w:val="24"/>
          <w:highlight w:val="none"/>
          <w:lang w:val="en-US" w:eastAsia="zh-CN"/>
        </w:rPr>
        <w:t>环节</w:t>
      </w:r>
      <w:r>
        <w:rPr>
          <w:rFonts w:hint="eastAsia" w:ascii="宋体" w:hAnsi="宋体" w:eastAsia="宋体" w:cs="宋体"/>
          <w:color w:val="auto"/>
          <w:sz w:val="24"/>
          <w:szCs w:val="24"/>
          <w:highlight w:val="none"/>
        </w:rPr>
        <w:t>。</w:t>
      </w:r>
    </w:p>
    <w:p w14:paraId="188074B1">
      <w:pPr>
        <w:pStyle w:val="32"/>
        <w:keepNext w:val="0"/>
        <w:keepLines w:val="0"/>
        <w:pageBreakBefore w:val="0"/>
        <w:kinsoku/>
        <w:wordWrap/>
        <w:overflowPunct/>
        <w:topLinePunct w:val="0"/>
        <w:autoSpaceDE/>
        <w:autoSpaceDN/>
        <w:bidi w:val="0"/>
        <w:adjustRightInd w:val="0"/>
        <w:snapToGrid w:val="0"/>
        <w:spacing w:before="0" w:beforeLines="0" w:beforeAutospacing="0" w:after="0" w:afterLines="0" w:afterAutospacing="0"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（二）谈判。</w:t>
      </w:r>
      <w:r>
        <w:rPr>
          <w:rFonts w:hint="eastAsia" w:ascii="宋体" w:hAnsi="宋体" w:eastAsia="宋体" w:cs="宋体"/>
          <w:color w:val="auto"/>
          <w:sz w:val="24"/>
          <w:szCs w:val="24"/>
          <w:highlight w:val="none"/>
        </w:rPr>
        <w:t>谈判小组所有成员集中与通过符合性评审的单一</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分别进行谈判。各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的技术资料、价格和其他信息在谈判时均予以保密。</w:t>
      </w:r>
    </w:p>
    <w:p w14:paraId="0705C83B">
      <w:pPr>
        <w:pStyle w:val="32"/>
        <w:keepNext w:val="0"/>
        <w:keepLines w:val="0"/>
        <w:pageBreakBefore w:val="0"/>
        <w:shd w:val="clear" w:color="auto" w:fill="FFFFFF"/>
        <w:kinsoku/>
        <w:wordWrap/>
        <w:overflowPunct/>
        <w:topLinePunct w:val="0"/>
        <w:autoSpaceDE/>
        <w:autoSpaceDN/>
        <w:bidi w:val="0"/>
        <w:adjustRightInd w:val="0"/>
        <w:snapToGrid w:val="0"/>
        <w:spacing w:before="0" w:beforeLines="0" w:beforeAutospacing="0" w:after="0" w:afterLines="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在谈判过程中，谈判小组可以根据谈判文件和谈判情况实质性变动招标需求中的技术、服务要求以及合同草案条款，但不得变动谈判文件中的其他内容。实质性变动的内容，须经</w:t>
      </w: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代表确认。</w:t>
      </w:r>
    </w:p>
    <w:p w14:paraId="72FDD3F4">
      <w:pPr>
        <w:pStyle w:val="32"/>
        <w:keepNext w:val="0"/>
        <w:keepLines w:val="0"/>
        <w:pageBreakBefore w:val="0"/>
        <w:shd w:val="clear" w:color="auto" w:fill="FFFFFF"/>
        <w:kinsoku/>
        <w:wordWrap/>
        <w:overflowPunct/>
        <w:topLinePunct w:val="0"/>
        <w:autoSpaceDE/>
        <w:autoSpaceDN/>
        <w:bidi w:val="0"/>
        <w:adjustRightInd w:val="0"/>
        <w:snapToGrid w:val="0"/>
        <w:spacing w:before="0" w:beforeLines="0" w:beforeAutospacing="0" w:after="0" w:afterLines="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对谈判文件作出的实质性变动是谈判文件的有效组成部分，谈判小组应当及时以书面形式同时通知所有参加谈判的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p>
    <w:p w14:paraId="047D4F4D">
      <w:pPr>
        <w:pStyle w:val="32"/>
        <w:keepNext w:val="0"/>
        <w:keepLines w:val="0"/>
        <w:pageBreakBefore w:val="0"/>
        <w:shd w:val="clear" w:color="auto" w:fill="FFFFFF"/>
        <w:kinsoku/>
        <w:wordWrap/>
        <w:overflowPunct/>
        <w:topLinePunct w:val="0"/>
        <w:autoSpaceDE/>
        <w:autoSpaceDN/>
        <w:bidi w:val="0"/>
        <w:adjustRightInd w:val="0"/>
        <w:snapToGrid w:val="0"/>
        <w:spacing w:before="0" w:beforeLines="0" w:beforeAutospacing="0" w:after="0" w:afterLines="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应当按照谈判文件的变动情况和谈判小组的要求重新提交响应文件，并由其法定代表人或授权代表签字或者加盖公章。由授权代表签字的，应当附法定代表人授权书。</w:t>
      </w:r>
    </w:p>
    <w:p w14:paraId="1203BA9C">
      <w:pPr>
        <w:pStyle w:val="32"/>
        <w:keepNext w:val="0"/>
        <w:keepLines w:val="0"/>
        <w:pageBreakBefore w:val="0"/>
        <w:shd w:val="clear" w:color="auto" w:fill="FFFFFF"/>
        <w:kinsoku/>
        <w:wordWrap/>
        <w:overflowPunct/>
        <w:topLinePunct w:val="0"/>
        <w:autoSpaceDE/>
        <w:autoSpaceDN/>
        <w:bidi w:val="0"/>
        <w:adjustRightInd w:val="0"/>
        <w:snapToGrid w:val="0"/>
        <w:spacing w:before="0" w:beforeLines="0" w:beforeAutospacing="0" w:after="0" w:afterLines="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谈判文件能够详细列明招标标的的技术、服务要求的，谈判结束后，谈判小组应当要求所有继续参加谈判的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在规定时间内提交最后报价。</w:t>
      </w:r>
    </w:p>
    <w:p w14:paraId="2AE0EB92">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（三）第二轮报价。</w:t>
      </w:r>
      <w:r>
        <w:rPr>
          <w:rFonts w:hint="eastAsia" w:ascii="宋体" w:hAnsi="宋体" w:eastAsia="宋体" w:cs="宋体"/>
          <w:color w:val="auto"/>
          <w:sz w:val="24"/>
          <w:szCs w:val="24"/>
          <w:highlight w:val="none"/>
        </w:rPr>
        <w:t>谈判结束后，供应商现场分别填写并在规定时间内提交《最终承诺报价表》。</w:t>
      </w:r>
    </w:p>
    <w:p w14:paraId="003A55D4">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color w:val="auto"/>
          <w:sz w:val="24"/>
          <w:szCs w:val="24"/>
          <w:highlight w:val="none"/>
        </w:rPr>
        <w:t>（四）</w:t>
      </w:r>
      <w:r>
        <w:rPr>
          <w:rFonts w:hint="eastAsia" w:ascii="宋体" w:hAnsi="宋体" w:eastAsia="宋体" w:cs="宋体"/>
          <w:b/>
          <w:color w:val="auto"/>
          <w:sz w:val="24"/>
          <w:szCs w:val="24"/>
          <w:highlight w:val="none"/>
          <w:lang w:val="en-US" w:eastAsia="zh-CN"/>
        </w:rPr>
        <w:t>价格评审</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谈判小组将遵循公平、公正的原则，对供应商最终提交的确认价进行综合评审</w:t>
      </w:r>
      <w:r>
        <w:rPr>
          <w:rFonts w:hint="eastAsia" w:ascii="宋体" w:hAnsi="宋体" w:eastAsia="宋体" w:cs="宋体"/>
          <w:color w:val="auto"/>
          <w:sz w:val="24"/>
          <w:szCs w:val="24"/>
          <w:highlight w:val="none"/>
          <w:lang w:eastAsia="zh-CN"/>
        </w:rPr>
        <w:t>。</w:t>
      </w:r>
    </w:p>
    <w:p w14:paraId="3085A0C8">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（五）确定成交供应商及成交候选供应商。</w:t>
      </w:r>
      <w:r>
        <w:rPr>
          <w:rFonts w:hint="eastAsia" w:ascii="宋体" w:hAnsi="宋体" w:eastAsia="宋体" w:cs="宋体"/>
          <w:b w:val="0"/>
          <w:bCs w:val="0"/>
          <w:color w:val="auto"/>
          <w:sz w:val="24"/>
          <w:szCs w:val="24"/>
          <w:highlight w:val="none"/>
        </w:rPr>
        <w:t>谈判小组根据有效最终报价由低到高</w:t>
      </w:r>
      <w:r>
        <w:rPr>
          <w:rFonts w:hint="eastAsia" w:ascii="宋体" w:hAnsi="宋体" w:eastAsia="宋体" w:cs="宋体"/>
          <w:b w:val="0"/>
          <w:bCs w:val="0"/>
          <w:color w:val="auto"/>
          <w:sz w:val="24"/>
          <w:szCs w:val="24"/>
          <w:highlight w:val="none"/>
          <w:lang w:val="en-US" w:eastAsia="zh-CN"/>
        </w:rPr>
        <w:t>的原则低依次排出成交供应商及成交候选供应商</w:t>
      </w:r>
      <w:r>
        <w:rPr>
          <w:rFonts w:hint="eastAsia" w:ascii="宋体" w:hAnsi="宋体" w:eastAsia="宋体" w:cs="宋体"/>
          <w:b w:val="0"/>
          <w:bCs w:val="0"/>
          <w:color w:val="auto"/>
          <w:sz w:val="24"/>
          <w:szCs w:val="24"/>
          <w:highlight w:val="none"/>
        </w:rPr>
        <w:t>。如果</w:t>
      </w:r>
      <w:r>
        <w:rPr>
          <w:rFonts w:hint="eastAsia" w:ascii="宋体" w:hAnsi="宋体" w:eastAsia="宋体" w:cs="宋体"/>
          <w:color w:val="auto"/>
          <w:sz w:val="24"/>
          <w:szCs w:val="24"/>
          <w:highlight w:val="none"/>
        </w:rPr>
        <w:t>出现多家供应商有效最终报价相同时，谈判小组将采取抽签的方式确定</w:t>
      </w:r>
      <w:r>
        <w:rPr>
          <w:rFonts w:hint="eastAsia" w:ascii="宋体" w:hAnsi="宋体" w:eastAsia="宋体" w:cs="宋体"/>
          <w:color w:val="auto"/>
          <w:sz w:val="24"/>
          <w:szCs w:val="24"/>
          <w:highlight w:val="none"/>
          <w:lang w:val="en-US" w:eastAsia="zh-CN"/>
        </w:rPr>
        <w:t>排序</w:t>
      </w:r>
      <w:r>
        <w:rPr>
          <w:rFonts w:hint="eastAsia" w:ascii="宋体" w:hAnsi="宋体" w:eastAsia="宋体" w:cs="宋体"/>
          <w:color w:val="auto"/>
          <w:sz w:val="24"/>
          <w:szCs w:val="24"/>
          <w:highlight w:val="none"/>
        </w:rPr>
        <w:t>。</w:t>
      </w:r>
    </w:p>
    <w:p w14:paraId="402D901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cs="宋体"/>
          <w:color w:val="auto"/>
          <w:szCs w:val="21"/>
          <w:highlight w:val="none"/>
        </w:rPr>
      </w:pPr>
      <w:r>
        <w:rPr>
          <w:rFonts w:hint="eastAsia" w:ascii="宋体" w:hAnsi="宋体" w:eastAsia="宋体" w:cs="宋体"/>
          <w:b/>
          <w:color w:val="auto"/>
          <w:sz w:val="24"/>
          <w:szCs w:val="24"/>
          <w:highlight w:val="none"/>
        </w:rPr>
        <w:t>（六）宣布评标结果。</w:t>
      </w:r>
      <w:r>
        <w:rPr>
          <w:rFonts w:hint="eastAsia" w:ascii="宋体" w:hAnsi="宋体" w:eastAsia="宋体" w:cs="宋体"/>
          <w:color w:val="auto"/>
          <w:sz w:val="24"/>
          <w:szCs w:val="24"/>
          <w:highlight w:val="none"/>
          <w:lang w:val="en-US" w:eastAsia="zh-CN"/>
        </w:rPr>
        <w:t>谈判</w:t>
      </w:r>
      <w:r>
        <w:rPr>
          <w:rFonts w:hint="eastAsia" w:ascii="宋体" w:hAnsi="宋体" w:eastAsia="宋体" w:cs="宋体"/>
          <w:color w:val="auto"/>
          <w:sz w:val="24"/>
          <w:szCs w:val="24"/>
          <w:highlight w:val="none"/>
        </w:rPr>
        <w:t>主持人现场宣布</w:t>
      </w:r>
      <w:r>
        <w:rPr>
          <w:rFonts w:hint="eastAsia" w:ascii="宋体" w:hAnsi="宋体" w:eastAsia="宋体" w:cs="宋体"/>
          <w:color w:val="auto"/>
          <w:sz w:val="24"/>
          <w:szCs w:val="24"/>
          <w:highlight w:val="none"/>
          <w:lang w:val="en-US" w:eastAsia="zh-CN"/>
        </w:rPr>
        <w:t>评审</w:t>
      </w:r>
      <w:r>
        <w:rPr>
          <w:rFonts w:hint="eastAsia" w:ascii="宋体" w:hAnsi="宋体" w:eastAsia="宋体" w:cs="宋体"/>
          <w:color w:val="auto"/>
          <w:sz w:val="24"/>
          <w:szCs w:val="24"/>
          <w:highlight w:val="none"/>
        </w:rPr>
        <w:t>结果。</w:t>
      </w:r>
    </w:p>
    <w:p w14:paraId="0EB972FA">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caps/>
          <w:color w:val="auto"/>
          <w:kern w:val="2"/>
          <w:szCs w:val="30"/>
          <w:highlight w:val="none"/>
          <w:lang w:val="zh-CN"/>
        </w:rPr>
      </w:pPr>
      <w:r>
        <w:rPr>
          <w:rFonts w:hint="eastAsia" w:ascii="宋体" w:hAnsi="宋体" w:cs="宋体"/>
          <w:caps/>
          <w:color w:val="auto"/>
          <w:kern w:val="2"/>
          <w:szCs w:val="30"/>
          <w:highlight w:val="none"/>
          <w:lang w:val="zh-CN"/>
        </w:rPr>
        <w:br w:type="page"/>
      </w:r>
    </w:p>
    <w:p w14:paraId="794A071F">
      <w:pPr>
        <w:pStyle w:val="2"/>
        <w:keepNext/>
        <w:keepLines w:val="0"/>
        <w:pageBreakBefore w:val="0"/>
        <w:widowControl w:val="0"/>
        <w:kinsoku/>
        <w:wordWrap/>
        <w:overflowPunct/>
        <w:topLinePunct w:val="0"/>
        <w:autoSpaceDE/>
        <w:autoSpaceDN/>
        <w:bidi w:val="0"/>
        <w:adjustRightInd w:val="0"/>
        <w:snapToGrid w:val="0"/>
        <w:spacing w:before="0" w:after="0" w:line="480" w:lineRule="auto"/>
        <w:jc w:val="center"/>
        <w:textAlignment w:val="auto"/>
        <w:rPr>
          <w:rFonts w:hint="eastAsia" w:ascii="宋体" w:hAnsi="宋体" w:cs="宋体"/>
          <w:b/>
          <w:bCs/>
          <w:caps/>
          <w:color w:val="auto"/>
          <w:kern w:val="2"/>
          <w:sz w:val="30"/>
          <w:szCs w:val="30"/>
          <w:highlight w:val="none"/>
          <w:lang w:val="zh-CN"/>
        </w:rPr>
      </w:pPr>
      <w:bookmarkStart w:id="64" w:name="_Toc6749"/>
      <w:bookmarkStart w:id="65" w:name="_Toc801"/>
      <w:r>
        <w:rPr>
          <w:rFonts w:hint="eastAsia" w:ascii="宋体" w:hAnsi="宋体" w:cs="宋体"/>
          <w:b/>
          <w:bCs/>
          <w:caps/>
          <w:color w:val="auto"/>
          <w:kern w:val="2"/>
          <w:sz w:val="32"/>
          <w:szCs w:val="32"/>
          <w:highlight w:val="none"/>
          <w:lang w:val="zh-CN"/>
        </w:rPr>
        <w:t>第</w:t>
      </w:r>
      <w:r>
        <w:rPr>
          <w:rFonts w:hint="eastAsia" w:ascii="宋体" w:hAnsi="宋体" w:cs="宋体"/>
          <w:b/>
          <w:bCs/>
          <w:caps/>
          <w:color w:val="auto"/>
          <w:kern w:val="2"/>
          <w:sz w:val="32"/>
          <w:szCs w:val="32"/>
          <w:highlight w:val="none"/>
          <w:lang w:val="en-US" w:eastAsia="zh-CN"/>
        </w:rPr>
        <w:t>六</w:t>
      </w:r>
      <w:r>
        <w:rPr>
          <w:rFonts w:hint="eastAsia" w:ascii="宋体" w:hAnsi="宋体" w:cs="宋体"/>
          <w:b/>
          <w:bCs/>
          <w:caps/>
          <w:color w:val="auto"/>
          <w:kern w:val="2"/>
          <w:sz w:val="32"/>
          <w:szCs w:val="32"/>
          <w:highlight w:val="none"/>
          <w:lang w:val="zh-CN"/>
        </w:rPr>
        <w:t>章  谈判响应文件格式</w:t>
      </w:r>
      <w:bookmarkEnd w:id="61"/>
      <w:bookmarkEnd w:id="64"/>
      <w:bookmarkEnd w:id="65"/>
    </w:p>
    <w:p w14:paraId="2684B2D4">
      <w:pPr>
        <w:spacing w:before="0" w:after="0" w:line="440" w:lineRule="exact"/>
        <w:jc w:val="center"/>
        <w:outlineLvl w:val="9"/>
        <w:rPr>
          <w:rFonts w:hint="eastAsia" w:ascii="宋体" w:hAnsi="宋体" w:cs="宋体"/>
          <w:color w:val="auto"/>
          <w:kern w:val="2"/>
          <w:szCs w:val="30"/>
          <w:highlight w:val="none"/>
        </w:rPr>
      </w:pPr>
    </w:p>
    <w:p w14:paraId="3B1937E6">
      <w:pPr>
        <w:adjustRightInd w:val="0"/>
        <w:snapToGrid w:val="0"/>
        <w:spacing w:line="320" w:lineRule="auto"/>
        <w:jc w:val="center"/>
        <w:rPr>
          <w:rFonts w:hint="eastAsia" w:ascii="宋体" w:hAnsi="宋体" w:eastAsia="宋体" w:cs="宋体"/>
          <w:b/>
          <w:bCs/>
          <w:color w:val="auto"/>
          <w:sz w:val="36"/>
          <w:szCs w:val="36"/>
          <w:highlight w:val="none"/>
          <w:lang w:eastAsia="zh-CN"/>
        </w:rPr>
      </w:pPr>
      <w:r>
        <w:rPr>
          <w:rFonts w:hint="eastAsia" w:ascii="宋体" w:hAnsi="宋体" w:cs="宋体"/>
          <w:b/>
          <w:bCs/>
          <w:color w:val="auto"/>
          <w:sz w:val="36"/>
          <w:szCs w:val="36"/>
          <w:highlight w:val="none"/>
          <w:u w:val="single"/>
          <w:lang w:val="en-US" w:eastAsia="zh-CN"/>
        </w:rPr>
        <w:t xml:space="preserve">                        </w:t>
      </w:r>
      <w:r>
        <w:rPr>
          <w:rFonts w:hint="eastAsia" w:ascii="宋体" w:hAnsi="宋体" w:cs="宋体"/>
          <w:b/>
          <w:bCs/>
          <w:color w:val="auto"/>
          <w:sz w:val="36"/>
          <w:szCs w:val="36"/>
          <w:highlight w:val="none"/>
          <w:lang w:eastAsia="zh-CN"/>
        </w:rPr>
        <w:t>项目竞争谈判</w:t>
      </w:r>
    </w:p>
    <w:p w14:paraId="01512187">
      <w:pPr>
        <w:adjustRightInd w:val="0"/>
        <w:snapToGrid w:val="0"/>
        <w:spacing w:line="320" w:lineRule="auto"/>
        <w:jc w:val="center"/>
        <w:rPr>
          <w:rFonts w:hint="eastAsia" w:ascii="宋体" w:hAnsi="宋体" w:cs="宋体"/>
          <w:color w:val="auto"/>
          <w:sz w:val="36"/>
          <w:szCs w:val="36"/>
          <w:highlight w:val="none"/>
        </w:rPr>
      </w:pPr>
    </w:p>
    <w:p w14:paraId="6C118417">
      <w:pPr>
        <w:adjustRightInd w:val="0"/>
        <w:snapToGrid w:val="0"/>
        <w:spacing w:line="320" w:lineRule="auto"/>
        <w:jc w:val="center"/>
        <w:rPr>
          <w:rFonts w:hint="eastAsia" w:ascii="宋体" w:hAnsi="宋体" w:cs="宋体"/>
          <w:b/>
          <w:bCs/>
          <w:color w:val="auto"/>
          <w:sz w:val="36"/>
          <w:szCs w:val="36"/>
          <w:highlight w:val="none"/>
        </w:rPr>
      </w:pPr>
    </w:p>
    <w:p w14:paraId="2335E911">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响</w:t>
      </w:r>
    </w:p>
    <w:p w14:paraId="1F31C5EC">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应</w:t>
      </w:r>
    </w:p>
    <w:p w14:paraId="47DC3C4E">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文</w:t>
      </w:r>
    </w:p>
    <w:p w14:paraId="342216AF">
      <w:pPr>
        <w:adjustRightInd w:val="0"/>
        <w:snapToGrid w:val="0"/>
        <w:spacing w:line="320" w:lineRule="auto"/>
        <w:jc w:val="center"/>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t>件</w:t>
      </w:r>
    </w:p>
    <w:p w14:paraId="302C55FB">
      <w:pPr>
        <w:adjustRightInd w:val="0"/>
        <w:snapToGrid w:val="0"/>
        <w:spacing w:line="320" w:lineRule="auto"/>
        <w:rPr>
          <w:rFonts w:hint="eastAsia" w:ascii="宋体" w:hAnsi="宋体" w:cs="宋体"/>
          <w:color w:val="auto"/>
          <w:szCs w:val="21"/>
          <w:highlight w:val="none"/>
        </w:rPr>
      </w:pPr>
    </w:p>
    <w:p w14:paraId="5C6769CF">
      <w:pPr>
        <w:spacing w:line="500" w:lineRule="exact"/>
        <w:rPr>
          <w:rFonts w:hint="eastAsia" w:ascii="宋体" w:hAnsi="宋体" w:cs="宋体"/>
          <w:color w:val="auto"/>
          <w:sz w:val="28"/>
          <w:szCs w:val="28"/>
          <w:highlight w:val="none"/>
        </w:rPr>
      </w:pPr>
    </w:p>
    <w:p w14:paraId="22848BCE">
      <w:pPr>
        <w:spacing w:line="500" w:lineRule="exact"/>
        <w:jc w:val="center"/>
        <w:rPr>
          <w:rFonts w:hint="eastAsia" w:ascii="宋体" w:hAnsi="宋体" w:cs="宋体"/>
          <w:b/>
          <w:color w:val="auto"/>
          <w:sz w:val="28"/>
          <w:szCs w:val="28"/>
          <w:highlight w:val="none"/>
          <w:lang w:eastAsia="zh-CN"/>
        </w:rPr>
      </w:pPr>
      <w:r>
        <w:rPr>
          <w:rFonts w:hint="eastAsia" w:ascii="宋体" w:hAnsi="宋体" w:cs="宋体"/>
          <w:b/>
          <w:color w:val="auto"/>
          <w:sz w:val="28"/>
          <w:szCs w:val="28"/>
          <w:highlight w:val="none"/>
          <w:lang w:eastAsia="zh-CN"/>
        </w:rPr>
        <w:t>项目编号：</w:t>
      </w:r>
    </w:p>
    <w:p w14:paraId="69EBDDD9">
      <w:pPr>
        <w:adjustRightInd w:val="0"/>
        <w:snapToGrid w:val="0"/>
        <w:spacing w:line="320" w:lineRule="auto"/>
        <w:rPr>
          <w:rFonts w:hint="eastAsia" w:ascii="宋体" w:hAnsi="宋体" w:cs="宋体"/>
          <w:b/>
          <w:color w:val="auto"/>
          <w:spacing w:val="26"/>
          <w:szCs w:val="21"/>
          <w:highlight w:val="none"/>
        </w:rPr>
      </w:pPr>
    </w:p>
    <w:p w14:paraId="4051C4ED">
      <w:pPr>
        <w:adjustRightInd w:val="0"/>
        <w:snapToGrid w:val="0"/>
        <w:spacing w:line="320" w:lineRule="auto"/>
        <w:ind w:firstLine="1577" w:firstLineChars="600"/>
        <w:rPr>
          <w:rFonts w:hint="eastAsia" w:ascii="宋体" w:hAnsi="宋体" w:cs="宋体"/>
          <w:b/>
          <w:color w:val="auto"/>
          <w:spacing w:val="26"/>
          <w:szCs w:val="21"/>
          <w:highlight w:val="none"/>
        </w:rPr>
      </w:pPr>
    </w:p>
    <w:p w14:paraId="3D04BB43">
      <w:pPr>
        <w:adjustRightInd w:val="0"/>
        <w:snapToGrid w:val="0"/>
        <w:spacing w:line="320" w:lineRule="auto"/>
        <w:ind w:firstLine="1577" w:firstLineChars="600"/>
        <w:rPr>
          <w:rFonts w:hint="eastAsia" w:ascii="宋体" w:hAnsi="宋体" w:cs="宋体"/>
          <w:b/>
          <w:color w:val="auto"/>
          <w:spacing w:val="26"/>
          <w:szCs w:val="21"/>
          <w:highlight w:val="none"/>
        </w:rPr>
      </w:pPr>
    </w:p>
    <w:p w14:paraId="0C383AC4">
      <w:pPr>
        <w:spacing w:line="500" w:lineRule="exact"/>
        <w:jc w:val="center"/>
        <w:rPr>
          <w:rFonts w:hint="eastAsia" w:ascii="宋体" w:hAnsi="宋体" w:cs="宋体"/>
          <w:b/>
          <w:color w:val="auto"/>
          <w:sz w:val="28"/>
          <w:szCs w:val="28"/>
          <w:highlight w:val="none"/>
        </w:rPr>
      </w:pPr>
    </w:p>
    <w:p w14:paraId="44BDE8D4">
      <w:pPr>
        <w:spacing w:line="500" w:lineRule="exact"/>
        <w:jc w:val="center"/>
        <w:rPr>
          <w:rFonts w:hint="eastAsia" w:ascii="宋体" w:hAnsi="宋体" w:cs="宋体"/>
          <w:b/>
          <w:color w:val="auto"/>
          <w:sz w:val="28"/>
          <w:szCs w:val="28"/>
          <w:highlight w:val="none"/>
        </w:rPr>
      </w:pPr>
    </w:p>
    <w:p w14:paraId="1690924B">
      <w:pPr>
        <w:spacing w:line="500" w:lineRule="exact"/>
        <w:jc w:val="center"/>
        <w:rPr>
          <w:rFonts w:hint="eastAsia" w:ascii="宋体" w:hAnsi="宋体" w:cs="宋体"/>
          <w:b/>
          <w:color w:val="auto"/>
          <w:sz w:val="28"/>
          <w:szCs w:val="28"/>
          <w:highlight w:val="none"/>
        </w:rPr>
      </w:pPr>
    </w:p>
    <w:p w14:paraId="46AB9521">
      <w:pPr>
        <w:spacing w:line="500" w:lineRule="exact"/>
        <w:jc w:val="center"/>
        <w:rPr>
          <w:rFonts w:hint="eastAsia" w:ascii="宋体" w:hAnsi="宋体" w:eastAsia="宋体" w:cs="宋体"/>
          <w:b/>
          <w:color w:val="auto"/>
          <w:sz w:val="28"/>
          <w:szCs w:val="28"/>
          <w:highlight w:val="none"/>
          <w:lang w:eastAsia="zh-CN"/>
        </w:rPr>
      </w:pPr>
      <w:r>
        <w:rPr>
          <w:rFonts w:hint="eastAsia" w:ascii="宋体" w:hAnsi="宋体" w:cs="宋体"/>
          <w:b/>
          <w:color w:val="auto"/>
          <w:sz w:val="28"/>
          <w:szCs w:val="28"/>
          <w:highlight w:val="none"/>
        </w:rPr>
        <w:t>供应商：</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（盖单位章）</w:t>
      </w:r>
      <w:r>
        <w:rPr>
          <w:rFonts w:hint="eastAsia" w:ascii="宋体" w:hAnsi="宋体" w:cs="宋体"/>
          <w:b/>
          <w:color w:val="auto"/>
          <w:sz w:val="28"/>
          <w:szCs w:val="28"/>
          <w:highlight w:val="none"/>
          <w:lang w:eastAsia="zh-CN"/>
        </w:rPr>
        <w:t>（正本</w:t>
      </w:r>
      <w:r>
        <w:rPr>
          <w:rFonts w:hint="eastAsia" w:ascii="宋体" w:hAnsi="宋体" w:cs="宋体"/>
          <w:b/>
          <w:color w:val="auto"/>
          <w:sz w:val="28"/>
          <w:szCs w:val="28"/>
          <w:highlight w:val="none"/>
          <w:lang w:val="en-US" w:eastAsia="zh-CN"/>
        </w:rPr>
        <w:t>/副本</w:t>
      </w:r>
      <w:r>
        <w:rPr>
          <w:rFonts w:hint="eastAsia" w:ascii="宋体" w:hAnsi="宋体" w:cs="宋体"/>
          <w:b/>
          <w:color w:val="auto"/>
          <w:sz w:val="28"/>
          <w:szCs w:val="28"/>
          <w:highlight w:val="none"/>
          <w:lang w:eastAsia="zh-CN"/>
        </w:rPr>
        <w:t>）</w:t>
      </w:r>
    </w:p>
    <w:p w14:paraId="62066C94">
      <w:pPr>
        <w:spacing w:line="500" w:lineRule="exact"/>
        <w:jc w:val="center"/>
        <w:rPr>
          <w:rFonts w:hint="eastAsia" w:ascii="宋体" w:hAnsi="宋体" w:cs="宋体"/>
          <w:b/>
          <w:color w:val="auto"/>
          <w:sz w:val="28"/>
          <w:szCs w:val="28"/>
          <w:highlight w:val="none"/>
        </w:rPr>
      </w:pPr>
    </w:p>
    <w:p w14:paraId="208DF22C">
      <w:pPr>
        <w:spacing w:line="500" w:lineRule="exact"/>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法定代表人或其委托代理人：</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（签字或盖章）</w:t>
      </w:r>
    </w:p>
    <w:p w14:paraId="271E55D6">
      <w:pPr>
        <w:spacing w:line="440" w:lineRule="exact"/>
        <w:rPr>
          <w:rFonts w:hint="eastAsia" w:ascii="宋体" w:hAnsi="宋体" w:cs="宋体"/>
          <w:b/>
          <w:color w:val="auto"/>
          <w:sz w:val="28"/>
          <w:szCs w:val="28"/>
          <w:highlight w:val="none"/>
        </w:rPr>
      </w:pPr>
    </w:p>
    <w:p w14:paraId="12F2269E">
      <w:pPr>
        <w:spacing w:line="440" w:lineRule="exact"/>
        <w:jc w:val="center"/>
        <w:rPr>
          <w:rFonts w:hint="eastAsia" w:ascii="宋体" w:hAnsi="宋体" w:cs="宋体"/>
          <w:b/>
          <w:color w:val="auto"/>
          <w:sz w:val="28"/>
          <w:szCs w:val="28"/>
          <w:highlight w:val="none"/>
        </w:rPr>
      </w:pPr>
    </w:p>
    <w:p w14:paraId="575AAA9C">
      <w:pPr>
        <w:spacing w:line="440" w:lineRule="exact"/>
        <w:jc w:val="center"/>
        <w:rPr>
          <w:rFonts w:hint="eastAsia" w:ascii="宋体" w:hAnsi="宋体" w:cs="宋体"/>
          <w:b/>
          <w:color w:val="auto"/>
          <w:kern w:val="10"/>
          <w:sz w:val="32"/>
          <w:szCs w:val="32"/>
          <w:highlight w:val="none"/>
        </w:rPr>
      </w:pP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 xml:space="preserve">年 </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月</w:t>
      </w:r>
      <w:r>
        <w:rPr>
          <w:rFonts w:hint="eastAsia" w:ascii="宋体" w:hAnsi="宋体" w:cs="宋体"/>
          <w:b/>
          <w:color w:val="auto"/>
          <w:sz w:val="28"/>
          <w:szCs w:val="28"/>
          <w:highlight w:val="none"/>
          <w:u w:val="single"/>
        </w:rPr>
        <w:t xml:space="preserve">    </w:t>
      </w:r>
      <w:r>
        <w:rPr>
          <w:rFonts w:hint="eastAsia" w:ascii="宋体" w:hAnsi="宋体" w:cs="宋体"/>
          <w:b/>
          <w:color w:val="auto"/>
          <w:sz w:val="28"/>
          <w:szCs w:val="28"/>
          <w:highlight w:val="none"/>
        </w:rPr>
        <w:t>日</w:t>
      </w:r>
    </w:p>
    <w:p w14:paraId="01B706D9">
      <w:pPr>
        <w:adjustRightInd w:val="0"/>
        <w:snapToGrid w:val="0"/>
        <w:spacing w:line="320" w:lineRule="auto"/>
        <w:jc w:val="center"/>
        <w:rPr>
          <w:rFonts w:hint="eastAsia" w:ascii="宋体" w:hAnsi="宋体" w:cs="宋体"/>
          <w:b/>
          <w:color w:val="auto"/>
          <w:kern w:val="10"/>
          <w:szCs w:val="21"/>
          <w:highlight w:val="none"/>
        </w:rPr>
      </w:pPr>
    </w:p>
    <w:p w14:paraId="04048DF2">
      <w:pPr>
        <w:adjustRightInd w:val="0"/>
        <w:snapToGrid w:val="0"/>
        <w:spacing w:line="320" w:lineRule="auto"/>
        <w:rPr>
          <w:rFonts w:hint="eastAsia" w:ascii="宋体" w:hAnsi="宋体" w:cs="宋体"/>
          <w:b/>
          <w:bCs/>
          <w:color w:val="auto"/>
          <w:szCs w:val="21"/>
          <w:highlight w:val="none"/>
        </w:rPr>
      </w:pPr>
    </w:p>
    <w:p w14:paraId="5600DD97">
      <w:pPr>
        <w:spacing w:before="0" w:after="0" w:line="440" w:lineRule="exact"/>
        <w:jc w:val="center"/>
        <w:outlineLvl w:val="1"/>
        <w:rPr>
          <w:rFonts w:hint="eastAsia" w:ascii="宋体" w:hAnsi="宋体" w:cs="宋体"/>
          <w:b/>
          <w:bCs/>
          <w:color w:val="auto"/>
          <w:sz w:val="30"/>
          <w:szCs w:val="30"/>
          <w:highlight w:val="none"/>
        </w:rPr>
      </w:pPr>
      <w:r>
        <w:rPr>
          <w:rFonts w:hint="eastAsia" w:ascii="宋体" w:hAnsi="宋体" w:cs="宋体"/>
          <w:caps/>
          <w:color w:val="auto"/>
          <w:kern w:val="2"/>
          <w:szCs w:val="30"/>
          <w:highlight w:val="none"/>
          <w:lang w:val="zh-CN"/>
        </w:rPr>
        <w:br w:type="page"/>
      </w:r>
      <w:bookmarkEnd w:id="62"/>
      <w:bookmarkEnd w:id="63"/>
      <w:r>
        <w:rPr>
          <w:rFonts w:hint="eastAsia" w:ascii="宋体" w:hAnsi="宋体" w:cs="宋体"/>
          <w:b/>
          <w:bCs/>
          <w:caps/>
          <w:color w:val="auto"/>
          <w:kern w:val="2"/>
          <w:sz w:val="30"/>
          <w:szCs w:val="30"/>
          <w:highlight w:val="none"/>
          <w:lang w:val="zh-CN"/>
        </w:rPr>
        <w:t>目</w:t>
      </w:r>
      <w:r>
        <w:rPr>
          <w:rFonts w:hint="eastAsia" w:ascii="宋体" w:hAnsi="宋体" w:cs="宋体"/>
          <w:b/>
          <w:bCs/>
          <w:caps/>
          <w:color w:val="auto"/>
          <w:kern w:val="2"/>
          <w:sz w:val="30"/>
          <w:szCs w:val="30"/>
          <w:highlight w:val="none"/>
        </w:rPr>
        <w:t xml:space="preserve">  </w:t>
      </w:r>
      <w:r>
        <w:rPr>
          <w:rFonts w:hint="eastAsia" w:ascii="宋体" w:hAnsi="宋体" w:cs="宋体"/>
          <w:b/>
          <w:bCs/>
          <w:caps/>
          <w:color w:val="auto"/>
          <w:kern w:val="2"/>
          <w:sz w:val="30"/>
          <w:szCs w:val="30"/>
          <w:highlight w:val="none"/>
          <w:lang w:val="zh-CN"/>
        </w:rPr>
        <w:t>录</w:t>
      </w:r>
    </w:p>
    <w:p w14:paraId="302E7AA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p>
    <w:p w14:paraId="31F2E0B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w:t>
      </w:r>
      <w:r>
        <w:rPr>
          <w:rFonts w:hint="eastAsia" w:ascii="宋体" w:hAnsi="宋体" w:cs="宋体"/>
          <w:color w:val="auto"/>
          <w:sz w:val="24"/>
          <w:szCs w:val="24"/>
          <w:highlight w:val="none"/>
          <w:lang w:val="en-US" w:eastAsia="zh-CN"/>
        </w:rPr>
        <w:t>项目报价书</w:t>
      </w:r>
    </w:p>
    <w:p w14:paraId="3160401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二</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供应商基本情况</w:t>
      </w:r>
    </w:p>
    <w:p w14:paraId="5AE7D49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三</w:t>
      </w:r>
      <w:r>
        <w:rPr>
          <w:rFonts w:hint="eastAsia" w:ascii="宋体" w:hAnsi="宋体" w:eastAsia="宋体" w:cs="宋体"/>
          <w:color w:val="auto"/>
          <w:sz w:val="24"/>
          <w:szCs w:val="24"/>
          <w:highlight w:val="none"/>
          <w:lang w:val="en-US" w:eastAsia="zh-CN"/>
        </w:rPr>
        <w:t>、谈判响应函</w:t>
      </w:r>
    </w:p>
    <w:p w14:paraId="75E261C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四</w:t>
      </w:r>
      <w:r>
        <w:rPr>
          <w:rFonts w:hint="eastAsia" w:ascii="宋体" w:hAnsi="宋体" w:eastAsia="宋体" w:cs="宋体"/>
          <w:color w:val="auto"/>
          <w:sz w:val="24"/>
          <w:szCs w:val="24"/>
          <w:highlight w:val="none"/>
          <w:lang w:val="en-US" w:eastAsia="zh-CN"/>
        </w:rPr>
        <w:t>、谈判授权书</w:t>
      </w:r>
    </w:p>
    <w:p w14:paraId="7295703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五</w:t>
      </w:r>
      <w:r>
        <w:rPr>
          <w:rFonts w:hint="eastAsia" w:ascii="宋体" w:hAnsi="宋体" w:eastAsia="宋体" w:cs="宋体"/>
          <w:color w:val="auto"/>
          <w:sz w:val="24"/>
          <w:szCs w:val="24"/>
          <w:highlight w:val="none"/>
          <w:lang w:val="en-US" w:eastAsia="zh-CN"/>
        </w:rPr>
        <w:t>、资格审查证明材料</w:t>
      </w:r>
    </w:p>
    <w:p w14:paraId="040A546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六</w:t>
      </w:r>
      <w:r>
        <w:rPr>
          <w:rFonts w:hint="eastAsia" w:ascii="宋体" w:hAnsi="宋体" w:eastAsia="宋体" w:cs="宋体"/>
          <w:color w:val="auto"/>
          <w:sz w:val="24"/>
          <w:szCs w:val="24"/>
          <w:highlight w:val="none"/>
          <w:lang w:val="en-US" w:eastAsia="zh-CN"/>
        </w:rPr>
        <w:t>、响应情况表</w:t>
      </w:r>
    </w:p>
    <w:p w14:paraId="78DD55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七</w:t>
      </w:r>
      <w:r>
        <w:rPr>
          <w:rFonts w:hint="eastAsia" w:ascii="宋体" w:hAnsi="宋体" w:eastAsia="宋体" w:cs="宋体"/>
          <w:color w:val="auto"/>
          <w:sz w:val="24"/>
          <w:szCs w:val="24"/>
          <w:highlight w:val="none"/>
          <w:lang w:val="en-US" w:eastAsia="zh-CN"/>
        </w:rPr>
        <w:t>、其他资料</w:t>
      </w:r>
    </w:p>
    <w:p w14:paraId="759853E6">
      <w:pPr>
        <w:rPr>
          <w:rFonts w:hint="eastAsia" w:ascii="宋体" w:hAnsi="宋体" w:cs="宋体"/>
          <w:color w:val="auto"/>
          <w:kern w:val="2"/>
          <w:sz w:val="30"/>
          <w:szCs w:val="30"/>
          <w:highlight w:val="none"/>
          <w:lang w:val="en-US" w:eastAsia="zh-CN"/>
        </w:rPr>
      </w:pPr>
      <w:r>
        <w:rPr>
          <w:rFonts w:hint="eastAsia" w:ascii="宋体" w:hAnsi="宋体" w:cs="宋体"/>
          <w:color w:val="auto"/>
          <w:kern w:val="2"/>
          <w:sz w:val="30"/>
          <w:szCs w:val="30"/>
          <w:highlight w:val="none"/>
          <w:lang w:val="en-US" w:eastAsia="zh-CN"/>
        </w:rPr>
        <w:br w:type="page"/>
      </w:r>
    </w:p>
    <w:p w14:paraId="45D4C63D">
      <w:pPr>
        <w:jc w:val="center"/>
        <w:outlineLvl w:val="1"/>
        <w:rPr>
          <w:rFonts w:hint="eastAsia" w:ascii="黑体" w:hAnsi="黑体" w:eastAsia="黑体" w:cs="黑体"/>
          <w:b/>
          <w:bCs/>
          <w:color w:val="auto"/>
          <w:kern w:val="2"/>
          <w:sz w:val="30"/>
          <w:szCs w:val="30"/>
          <w:highlight w:val="none"/>
          <w:lang w:val="en-US" w:eastAsia="zh-CN"/>
        </w:rPr>
      </w:pPr>
      <w:r>
        <w:rPr>
          <w:rFonts w:hint="eastAsia" w:ascii="黑体" w:hAnsi="黑体" w:eastAsia="黑体" w:cs="黑体"/>
          <w:b/>
          <w:bCs/>
          <w:color w:val="auto"/>
          <w:kern w:val="2"/>
          <w:sz w:val="30"/>
          <w:szCs w:val="30"/>
          <w:highlight w:val="none"/>
          <w:lang w:val="en-US" w:eastAsia="zh-CN"/>
        </w:rPr>
        <w:t>一、项目报价书</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4"/>
        <w:gridCol w:w="2902"/>
        <w:gridCol w:w="2967"/>
        <w:gridCol w:w="1730"/>
      </w:tblGrid>
      <w:tr w14:paraId="294D4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4" w:type="dxa"/>
          </w:tcPr>
          <w:p w14:paraId="2E3D5E7C">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cs="宋体"/>
                <w:b/>
                <w:bCs/>
                <w:color w:val="auto"/>
                <w:sz w:val="21"/>
                <w:szCs w:val="21"/>
                <w:highlight w:val="none"/>
                <w:vertAlign w:val="baseline"/>
                <w:lang w:val="en-US" w:eastAsia="zh-CN"/>
              </w:rPr>
              <w:t>序号</w:t>
            </w:r>
          </w:p>
        </w:tc>
        <w:tc>
          <w:tcPr>
            <w:tcW w:w="2902" w:type="dxa"/>
          </w:tcPr>
          <w:p w14:paraId="306CD174">
            <w:pPr>
              <w:spacing w:line="360" w:lineRule="auto"/>
              <w:jc w:val="center"/>
              <w:rPr>
                <w:rFonts w:hint="default" w:ascii="宋体" w:hAnsi="宋体" w:eastAsia="宋体" w:cs="宋体"/>
                <w:b/>
                <w:bCs/>
                <w:color w:val="auto"/>
                <w:sz w:val="21"/>
                <w:szCs w:val="21"/>
                <w:highlight w:val="none"/>
                <w:vertAlign w:val="baseline"/>
                <w:lang w:val="en-US" w:eastAsia="zh-CN"/>
              </w:rPr>
            </w:pPr>
            <w:r>
              <w:rPr>
                <w:rFonts w:hint="eastAsia" w:ascii="宋体" w:hAnsi="宋体" w:cs="宋体"/>
                <w:b/>
                <w:bCs/>
                <w:color w:val="auto"/>
                <w:sz w:val="21"/>
                <w:szCs w:val="21"/>
                <w:highlight w:val="none"/>
                <w:vertAlign w:val="baseline"/>
                <w:lang w:val="en-US" w:eastAsia="zh-CN"/>
              </w:rPr>
              <w:t>服务内容</w:t>
            </w:r>
          </w:p>
        </w:tc>
        <w:tc>
          <w:tcPr>
            <w:tcW w:w="2967" w:type="dxa"/>
          </w:tcPr>
          <w:p w14:paraId="6924A390">
            <w:pPr>
              <w:spacing w:line="360" w:lineRule="auto"/>
              <w:jc w:val="center"/>
              <w:rPr>
                <w:rFonts w:hint="default" w:ascii="宋体" w:hAnsi="宋体" w:eastAsia="宋体" w:cs="宋体"/>
                <w:b/>
                <w:bCs/>
                <w:color w:val="auto"/>
                <w:sz w:val="21"/>
                <w:szCs w:val="21"/>
                <w:highlight w:val="none"/>
                <w:vertAlign w:val="baseline"/>
                <w:lang w:val="en-US" w:eastAsia="zh-CN"/>
              </w:rPr>
            </w:pPr>
            <w:r>
              <w:rPr>
                <w:rFonts w:hint="eastAsia" w:ascii="宋体" w:hAnsi="宋体" w:cs="宋体"/>
                <w:b/>
                <w:bCs/>
                <w:color w:val="auto"/>
                <w:sz w:val="21"/>
                <w:szCs w:val="21"/>
                <w:highlight w:val="none"/>
                <w:vertAlign w:val="baseline"/>
                <w:lang w:val="en-US" w:eastAsia="zh-CN"/>
              </w:rPr>
              <w:t>投标报价（元/年）</w:t>
            </w:r>
          </w:p>
        </w:tc>
        <w:tc>
          <w:tcPr>
            <w:tcW w:w="1730" w:type="dxa"/>
          </w:tcPr>
          <w:p w14:paraId="53AD466E">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cs="宋体"/>
                <w:b/>
                <w:bCs/>
                <w:color w:val="auto"/>
                <w:sz w:val="21"/>
                <w:szCs w:val="21"/>
                <w:highlight w:val="none"/>
                <w:vertAlign w:val="baseline"/>
                <w:lang w:val="en-US" w:eastAsia="zh-CN"/>
              </w:rPr>
              <w:t>备注</w:t>
            </w:r>
          </w:p>
        </w:tc>
      </w:tr>
      <w:tr w14:paraId="61A96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294" w:type="dxa"/>
            <w:vAlign w:val="center"/>
          </w:tcPr>
          <w:p w14:paraId="4BC467B9">
            <w:pPr>
              <w:spacing w:line="360" w:lineRule="auto"/>
              <w:jc w:val="center"/>
              <w:rPr>
                <w:rFonts w:hint="eastAsia" w:ascii="宋体" w:hAnsi="宋体" w:eastAsia="宋体" w:cs="宋体"/>
                <w:color w:val="auto"/>
                <w:sz w:val="21"/>
                <w:szCs w:val="21"/>
                <w:highlight w:val="none"/>
                <w:vertAlign w:val="baseline"/>
                <w:lang w:val="en-US" w:eastAsia="zh-CN"/>
              </w:rPr>
            </w:pPr>
            <w:r>
              <w:rPr>
                <w:rFonts w:hint="eastAsia" w:ascii="宋体" w:hAnsi="宋体" w:cs="宋体"/>
                <w:color w:val="auto"/>
                <w:sz w:val="21"/>
                <w:szCs w:val="21"/>
                <w:highlight w:val="none"/>
                <w:vertAlign w:val="baseline"/>
                <w:lang w:val="en-US" w:eastAsia="zh-CN"/>
              </w:rPr>
              <w:t>1</w:t>
            </w:r>
          </w:p>
        </w:tc>
        <w:tc>
          <w:tcPr>
            <w:tcW w:w="2902" w:type="dxa"/>
            <w:vAlign w:val="center"/>
          </w:tcPr>
          <w:p w14:paraId="092B7FE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1"/>
                <w:szCs w:val="21"/>
                <w:highlight w:val="none"/>
                <w:vertAlign w:val="baseline"/>
              </w:rPr>
            </w:pPr>
            <w:r>
              <w:rPr>
                <w:rFonts w:hint="eastAsia" w:ascii="宋体" w:hAnsi="宋体" w:eastAsia="宋体" w:cs="宋体"/>
                <w:color w:val="auto"/>
                <w:sz w:val="21"/>
                <w:szCs w:val="21"/>
                <w:highlight w:val="none"/>
                <w:vertAlign w:val="baseline"/>
              </w:rPr>
              <w:t>霍山东大街特色街区商业消防维保</w:t>
            </w:r>
          </w:p>
        </w:tc>
        <w:tc>
          <w:tcPr>
            <w:tcW w:w="2967" w:type="dxa"/>
            <w:vAlign w:val="center"/>
          </w:tcPr>
          <w:p w14:paraId="0EE54CA3">
            <w:pPr>
              <w:spacing w:line="360" w:lineRule="auto"/>
              <w:jc w:val="center"/>
              <w:rPr>
                <w:rFonts w:hint="eastAsia" w:ascii="宋体" w:hAnsi="宋体" w:eastAsia="宋体" w:cs="宋体"/>
                <w:color w:val="auto"/>
                <w:sz w:val="21"/>
                <w:szCs w:val="21"/>
                <w:highlight w:val="none"/>
                <w:vertAlign w:val="baseline"/>
              </w:rPr>
            </w:pPr>
          </w:p>
        </w:tc>
        <w:tc>
          <w:tcPr>
            <w:tcW w:w="1730" w:type="dxa"/>
            <w:vAlign w:val="center"/>
          </w:tcPr>
          <w:p w14:paraId="1555284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highlight w:val="none"/>
                <w:vertAlign w:val="baseline"/>
              </w:rPr>
            </w:pPr>
            <w:r>
              <w:rPr>
                <w:rFonts w:hint="eastAsia" w:ascii="宋体" w:hAnsi="宋体" w:cs="宋体"/>
                <w:color w:val="auto"/>
                <w:sz w:val="21"/>
                <w:szCs w:val="21"/>
                <w:highlight w:val="none"/>
                <w:lang w:val="en-US" w:eastAsia="zh-CN"/>
              </w:rPr>
              <w:t>此项报价不得超过31000元/年</w:t>
            </w:r>
          </w:p>
        </w:tc>
      </w:tr>
      <w:tr w14:paraId="3243F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294" w:type="dxa"/>
            <w:vAlign w:val="center"/>
          </w:tcPr>
          <w:p w14:paraId="597866EE">
            <w:pPr>
              <w:spacing w:line="360" w:lineRule="auto"/>
              <w:jc w:val="center"/>
              <w:rPr>
                <w:rFonts w:hint="eastAsia" w:ascii="宋体" w:hAnsi="宋体" w:eastAsia="宋体" w:cs="宋体"/>
                <w:color w:val="auto"/>
                <w:sz w:val="21"/>
                <w:szCs w:val="21"/>
                <w:highlight w:val="none"/>
                <w:vertAlign w:val="baseline"/>
                <w:lang w:val="en-US" w:eastAsia="zh-CN"/>
              </w:rPr>
            </w:pPr>
            <w:r>
              <w:rPr>
                <w:rFonts w:hint="eastAsia" w:ascii="宋体" w:hAnsi="宋体" w:cs="宋体"/>
                <w:color w:val="auto"/>
                <w:sz w:val="21"/>
                <w:szCs w:val="21"/>
                <w:highlight w:val="none"/>
                <w:vertAlign w:val="baseline"/>
                <w:lang w:val="en-US" w:eastAsia="zh-CN"/>
              </w:rPr>
              <w:t>2</w:t>
            </w:r>
          </w:p>
        </w:tc>
        <w:tc>
          <w:tcPr>
            <w:tcW w:w="2902" w:type="dxa"/>
            <w:vAlign w:val="center"/>
          </w:tcPr>
          <w:p w14:paraId="61E65B0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1"/>
                <w:szCs w:val="21"/>
                <w:highlight w:val="none"/>
                <w:vertAlign w:val="baseline"/>
              </w:rPr>
            </w:pPr>
            <w:r>
              <w:rPr>
                <w:rFonts w:hint="default" w:ascii="宋体" w:hAnsi="宋体" w:eastAsia="宋体" w:cs="宋体"/>
                <w:sz w:val="21"/>
                <w:szCs w:val="21"/>
                <w:highlight w:val="none"/>
                <w:lang w:val="en-US" w:eastAsia="zh-CN"/>
              </w:rPr>
              <w:t>霍山东大街特色街区住宅消防维保</w:t>
            </w:r>
          </w:p>
        </w:tc>
        <w:tc>
          <w:tcPr>
            <w:tcW w:w="2967" w:type="dxa"/>
            <w:vAlign w:val="center"/>
          </w:tcPr>
          <w:p w14:paraId="415EC987">
            <w:pPr>
              <w:spacing w:line="360" w:lineRule="auto"/>
              <w:jc w:val="center"/>
              <w:rPr>
                <w:rFonts w:hint="eastAsia" w:ascii="宋体" w:hAnsi="宋体" w:eastAsia="宋体" w:cs="宋体"/>
                <w:color w:val="auto"/>
                <w:sz w:val="21"/>
                <w:szCs w:val="21"/>
                <w:highlight w:val="none"/>
                <w:vertAlign w:val="baseline"/>
              </w:rPr>
            </w:pPr>
          </w:p>
        </w:tc>
        <w:tc>
          <w:tcPr>
            <w:tcW w:w="1730" w:type="dxa"/>
            <w:vMerge w:val="restart"/>
            <w:vAlign w:val="center"/>
          </w:tcPr>
          <w:p w14:paraId="0C5A726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color w:val="auto"/>
                <w:sz w:val="21"/>
                <w:szCs w:val="21"/>
                <w:highlight w:val="none"/>
                <w:vertAlign w:val="baseline"/>
                <w:lang w:val="en-US" w:eastAsia="zh-CN"/>
              </w:rPr>
            </w:pPr>
            <w:r>
              <w:rPr>
                <w:rFonts w:hint="eastAsia" w:ascii="宋体" w:hAnsi="宋体" w:cs="宋体"/>
                <w:color w:val="auto"/>
                <w:sz w:val="21"/>
                <w:szCs w:val="21"/>
                <w:highlight w:val="none"/>
                <w:vertAlign w:val="baseline"/>
                <w:lang w:val="en-US" w:eastAsia="zh-CN"/>
              </w:rPr>
              <w:t>此两项分别报价，合计不超过34000元/年</w:t>
            </w:r>
          </w:p>
        </w:tc>
      </w:tr>
      <w:tr w14:paraId="4850F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294" w:type="dxa"/>
            <w:vAlign w:val="center"/>
          </w:tcPr>
          <w:p w14:paraId="5EF3754F">
            <w:pPr>
              <w:spacing w:line="360" w:lineRule="auto"/>
              <w:jc w:val="center"/>
              <w:rPr>
                <w:rFonts w:hint="eastAsia" w:ascii="宋体" w:hAnsi="宋体" w:eastAsia="宋体" w:cs="宋体"/>
                <w:color w:val="auto"/>
                <w:sz w:val="21"/>
                <w:szCs w:val="21"/>
                <w:highlight w:val="none"/>
                <w:vertAlign w:val="baseline"/>
                <w:lang w:val="en-US" w:eastAsia="zh-CN"/>
              </w:rPr>
            </w:pPr>
            <w:r>
              <w:rPr>
                <w:rFonts w:hint="eastAsia" w:ascii="宋体" w:hAnsi="宋体" w:cs="宋体"/>
                <w:color w:val="auto"/>
                <w:sz w:val="21"/>
                <w:szCs w:val="21"/>
                <w:highlight w:val="none"/>
                <w:vertAlign w:val="baseline"/>
                <w:lang w:val="en-US" w:eastAsia="zh-CN"/>
              </w:rPr>
              <w:t>3</w:t>
            </w:r>
          </w:p>
        </w:tc>
        <w:tc>
          <w:tcPr>
            <w:tcW w:w="2902" w:type="dxa"/>
            <w:vAlign w:val="center"/>
          </w:tcPr>
          <w:p w14:paraId="03908CE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1"/>
                <w:szCs w:val="21"/>
                <w:highlight w:val="none"/>
                <w:vertAlign w:val="baseline"/>
              </w:rPr>
            </w:pPr>
            <w:r>
              <w:rPr>
                <w:rFonts w:hint="default" w:ascii="宋体" w:hAnsi="宋体" w:eastAsia="宋体" w:cs="宋体"/>
                <w:sz w:val="21"/>
                <w:szCs w:val="21"/>
                <w:highlight w:val="none"/>
                <w:lang w:val="en-US" w:eastAsia="zh-CN"/>
              </w:rPr>
              <w:t>霍山县大别山两山学院消防维保</w:t>
            </w:r>
          </w:p>
        </w:tc>
        <w:tc>
          <w:tcPr>
            <w:tcW w:w="2967" w:type="dxa"/>
            <w:vAlign w:val="center"/>
          </w:tcPr>
          <w:p w14:paraId="1FD467C1">
            <w:pPr>
              <w:spacing w:line="360" w:lineRule="auto"/>
              <w:jc w:val="center"/>
              <w:rPr>
                <w:rFonts w:hint="eastAsia" w:ascii="宋体" w:hAnsi="宋体" w:eastAsia="宋体" w:cs="宋体"/>
                <w:color w:val="auto"/>
                <w:sz w:val="21"/>
                <w:szCs w:val="21"/>
                <w:highlight w:val="none"/>
                <w:vertAlign w:val="baseline"/>
              </w:rPr>
            </w:pPr>
          </w:p>
        </w:tc>
        <w:tc>
          <w:tcPr>
            <w:tcW w:w="1730" w:type="dxa"/>
            <w:vMerge w:val="continue"/>
            <w:tcBorders/>
            <w:vAlign w:val="center"/>
          </w:tcPr>
          <w:p w14:paraId="6C33A76D">
            <w:pPr>
              <w:spacing w:line="360" w:lineRule="auto"/>
              <w:jc w:val="center"/>
              <w:rPr>
                <w:rFonts w:hint="eastAsia" w:ascii="宋体" w:hAnsi="宋体" w:eastAsia="宋体" w:cs="宋体"/>
                <w:color w:val="auto"/>
                <w:sz w:val="21"/>
                <w:szCs w:val="21"/>
                <w:highlight w:val="none"/>
                <w:vertAlign w:val="baseline"/>
              </w:rPr>
            </w:pPr>
          </w:p>
        </w:tc>
      </w:tr>
      <w:tr w14:paraId="55C36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96" w:type="dxa"/>
            <w:gridSpan w:val="2"/>
            <w:vAlign w:val="center"/>
          </w:tcPr>
          <w:p w14:paraId="33F5123E">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cs="宋体"/>
                <w:b/>
                <w:bCs/>
                <w:color w:val="auto"/>
                <w:sz w:val="21"/>
                <w:szCs w:val="21"/>
                <w:highlight w:val="none"/>
                <w:vertAlign w:val="baseline"/>
                <w:lang w:val="en-US" w:eastAsia="zh-CN"/>
              </w:rPr>
              <w:t>合计</w:t>
            </w:r>
          </w:p>
        </w:tc>
        <w:tc>
          <w:tcPr>
            <w:tcW w:w="2967" w:type="dxa"/>
          </w:tcPr>
          <w:p w14:paraId="2E078F19">
            <w:pPr>
              <w:spacing w:line="360" w:lineRule="auto"/>
              <w:jc w:val="center"/>
              <w:rPr>
                <w:rFonts w:hint="eastAsia" w:ascii="宋体" w:hAnsi="宋体" w:eastAsia="宋体" w:cs="宋体"/>
                <w:color w:val="auto"/>
                <w:sz w:val="21"/>
                <w:szCs w:val="21"/>
                <w:highlight w:val="none"/>
                <w:vertAlign w:val="baseline"/>
              </w:rPr>
            </w:pPr>
          </w:p>
        </w:tc>
        <w:tc>
          <w:tcPr>
            <w:tcW w:w="1730" w:type="dxa"/>
          </w:tcPr>
          <w:p w14:paraId="0A4125F3">
            <w:pPr>
              <w:spacing w:line="360" w:lineRule="auto"/>
              <w:rPr>
                <w:rFonts w:hint="eastAsia" w:ascii="宋体" w:hAnsi="宋体" w:eastAsia="宋体" w:cs="宋体"/>
                <w:color w:val="auto"/>
                <w:sz w:val="21"/>
                <w:szCs w:val="21"/>
                <w:highlight w:val="none"/>
                <w:vertAlign w:val="baseline"/>
              </w:rPr>
            </w:pPr>
          </w:p>
        </w:tc>
      </w:tr>
    </w:tbl>
    <w:p w14:paraId="6BF88B5D">
      <w:pPr>
        <w:spacing w:line="360" w:lineRule="auto"/>
        <w:rPr>
          <w:rFonts w:hint="eastAsia" w:ascii="宋体" w:hAnsi="宋体" w:eastAsia="宋体" w:cs="宋体"/>
          <w:color w:val="auto"/>
          <w:sz w:val="21"/>
          <w:szCs w:val="21"/>
          <w:highlight w:val="none"/>
        </w:rPr>
      </w:pPr>
    </w:p>
    <w:p w14:paraId="4579BE01">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sz w:val="21"/>
          <w:szCs w:val="21"/>
          <w:highlight w:val="none"/>
          <w:lang w:eastAsia="zh-CN"/>
        </w:rPr>
        <w:t>盖</w:t>
      </w:r>
      <w:r>
        <w:rPr>
          <w:rFonts w:hint="eastAsia" w:ascii="宋体" w:hAnsi="宋体" w:eastAsia="宋体" w:cs="宋体"/>
          <w:color w:val="auto"/>
          <w:sz w:val="21"/>
          <w:szCs w:val="21"/>
          <w:highlight w:val="none"/>
        </w:rPr>
        <w:t>章：</w:t>
      </w:r>
    </w:p>
    <w:p w14:paraId="13AAD50F">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p>
    <w:p w14:paraId="6C41AEA5">
      <w:pPr>
        <w:numPr>
          <w:ilvl w:val="0"/>
          <w:numId w:val="0"/>
        </w:numPr>
        <w:spacing w:line="440" w:lineRule="exact"/>
        <w:rPr>
          <w:rFonts w:hint="eastAsia" w:ascii="宋体" w:hAnsi="宋体" w:eastAsia="宋体" w:cs="宋体"/>
          <w:b w:val="0"/>
          <w:i w:val="0"/>
          <w:iCs w:val="0"/>
          <w:color w:val="auto"/>
          <w:kern w:val="0"/>
          <w:sz w:val="21"/>
          <w:szCs w:val="21"/>
          <w:highlight w:val="none"/>
          <w:u w:val="none"/>
          <w:lang w:val="en-US" w:eastAsia="zh-CN" w:bidi="ar"/>
        </w:rPr>
      </w:pPr>
      <w:r>
        <w:rPr>
          <w:rFonts w:hint="eastAsia" w:ascii="宋体" w:hAnsi="宋体" w:eastAsia="宋体" w:cs="宋体"/>
          <w:b w:val="0"/>
          <w:i w:val="0"/>
          <w:iCs w:val="0"/>
          <w:color w:val="auto"/>
          <w:kern w:val="0"/>
          <w:sz w:val="21"/>
          <w:szCs w:val="21"/>
          <w:highlight w:val="none"/>
          <w:u w:val="none"/>
          <w:lang w:val="en-US" w:eastAsia="zh-CN" w:bidi="ar"/>
        </w:rPr>
        <w:t>注：</w:t>
      </w:r>
    </w:p>
    <w:p w14:paraId="21EFCD5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b w:val="0"/>
          <w:i w:val="0"/>
          <w:iCs w:val="0"/>
          <w:color w:val="auto"/>
          <w:kern w:val="0"/>
          <w:sz w:val="21"/>
          <w:szCs w:val="21"/>
          <w:highlight w:val="none"/>
          <w:u w:val="none"/>
          <w:lang w:val="en-US" w:eastAsia="zh-CN" w:bidi="ar"/>
        </w:rPr>
      </w:pPr>
      <w:r>
        <w:rPr>
          <w:rFonts w:hint="eastAsia" w:ascii="宋体" w:hAnsi="宋体" w:eastAsia="宋体" w:cs="宋体"/>
          <w:b w:val="0"/>
          <w:i w:val="0"/>
          <w:iCs w:val="0"/>
          <w:color w:val="auto"/>
          <w:kern w:val="0"/>
          <w:sz w:val="21"/>
          <w:szCs w:val="21"/>
          <w:highlight w:val="none"/>
          <w:lang w:val="en-US" w:eastAsia="zh-CN" w:bidi="ar"/>
        </w:rPr>
        <w:t>1、</w:t>
      </w:r>
      <w:r>
        <w:rPr>
          <w:rFonts w:hint="eastAsia" w:ascii="宋体" w:hAnsi="宋体" w:cs="宋体"/>
          <w:b w:val="0"/>
          <w:i w:val="0"/>
          <w:iCs w:val="0"/>
          <w:color w:val="auto"/>
          <w:kern w:val="0"/>
          <w:sz w:val="21"/>
          <w:szCs w:val="21"/>
          <w:highlight w:val="none"/>
          <w:u w:val="none"/>
          <w:lang w:val="en-US" w:eastAsia="zh-CN" w:bidi="ar"/>
        </w:rPr>
        <w:t>供应商</w:t>
      </w:r>
      <w:r>
        <w:rPr>
          <w:rFonts w:hint="eastAsia" w:ascii="宋体" w:hAnsi="宋体" w:eastAsia="宋体" w:cs="宋体"/>
          <w:b w:val="0"/>
          <w:i w:val="0"/>
          <w:iCs w:val="0"/>
          <w:color w:val="auto"/>
          <w:kern w:val="0"/>
          <w:sz w:val="21"/>
          <w:szCs w:val="21"/>
          <w:highlight w:val="none"/>
          <w:u w:val="none"/>
          <w:lang w:val="en-US" w:eastAsia="zh-CN" w:bidi="ar"/>
        </w:rPr>
        <w:t>的报价应包含所投项目的所有费用。</w:t>
      </w:r>
    </w:p>
    <w:p w14:paraId="5952303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textAlignment w:val="auto"/>
        <w:rPr>
          <w:rFonts w:hint="default" w:ascii="宋体" w:hAnsi="宋体" w:eastAsia="宋体" w:cs="宋体"/>
          <w:b w:val="0"/>
          <w:i w:val="0"/>
          <w:iCs w:val="0"/>
          <w:color w:val="auto"/>
          <w:kern w:val="0"/>
          <w:sz w:val="21"/>
          <w:szCs w:val="21"/>
          <w:highlight w:val="none"/>
          <w:u w:val="none"/>
          <w:lang w:val="en-US" w:eastAsia="zh-CN" w:bidi="ar"/>
        </w:rPr>
      </w:pPr>
      <w:r>
        <w:rPr>
          <w:rFonts w:hint="eastAsia" w:ascii="宋体" w:hAnsi="宋体" w:cs="宋体"/>
          <w:b w:val="0"/>
          <w:i w:val="0"/>
          <w:iCs w:val="0"/>
          <w:color w:val="auto"/>
          <w:kern w:val="0"/>
          <w:sz w:val="21"/>
          <w:szCs w:val="21"/>
          <w:highlight w:val="none"/>
          <w:u w:val="none"/>
          <w:lang w:val="en-US" w:eastAsia="zh-CN" w:bidi="ar"/>
        </w:rPr>
        <w:t>2、供应商须明确分项报价，否则</w:t>
      </w:r>
      <w:r>
        <w:rPr>
          <w:rFonts w:hint="eastAsia" w:ascii="宋体" w:hAnsi="宋体" w:eastAsia="宋体" w:cs="宋体"/>
          <w:b w:val="0"/>
          <w:i w:val="0"/>
          <w:iCs w:val="0"/>
          <w:color w:val="auto"/>
          <w:kern w:val="0"/>
          <w:sz w:val="21"/>
          <w:szCs w:val="21"/>
          <w:highlight w:val="none"/>
          <w:u w:val="none"/>
          <w:lang w:val="en-US" w:eastAsia="zh-CN" w:bidi="ar"/>
        </w:rPr>
        <w:t>按无效投标处理。</w:t>
      </w:r>
    </w:p>
    <w:p w14:paraId="3FB828E5">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b w:val="0"/>
          <w:i w:val="0"/>
          <w:iCs w:val="0"/>
          <w:color w:val="auto"/>
          <w:kern w:val="0"/>
          <w:sz w:val="21"/>
          <w:szCs w:val="21"/>
          <w:highlight w:val="none"/>
          <w:u w:val="none"/>
          <w:lang w:val="en-US" w:eastAsia="zh-CN" w:bidi="ar"/>
        </w:rPr>
      </w:pPr>
      <w:r>
        <w:rPr>
          <w:rFonts w:hint="eastAsia" w:ascii="宋体" w:hAnsi="宋体" w:cs="宋体"/>
          <w:color w:val="auto"/>
          <w:sz w:val="21"/>
          <w:szCs w:val="21"/>
          <w:highlight w:val="none"/>
          <w:lang w:val="en-US" w:eastAsia="zh-CN"/>
        </w:rPr>
        <w:t>3</w:t>
      </w:r>
      <w:r>
        <w:rPr>
          <w:rFonts w:hint="eastAsia" w:ascii="宋体" w:hAnsi="宋体" w:eastAsia="宋体" w:cs="宋体"/>
          <w:b w:val="0"/>
          <w:i w:val="0"/>
          <w:iCs w:val="0"/>
          <w:color w:val="auto"/>
          <w:kern w:val="0"/>
          <w:sz w:val="21"/>
          <w:szCs w:val="21"/>
          <w:highlight w:val="none"/>
          <w:u w:val="none"/>
          <w:lang w:val="en-US" w:eastAsia="zh-CN" w:bidi="ar"/>
        </w:rPr>
        <w:t>、本《项目报价书》为第一轮报价，第一轮报价高于公告要求的最高限价的按无效投标处理。</w:t>
      </w:r>
    </w:p>
    <w:p w14:paraId="44A0DB45">
      <w:pPr>
        <w:rPr>
          <w:rFonts w:hint="eastAsia" w:ascii="宋体" w:hAnsi="宋体" w:cs="宋体"/>
          <w:color w:val="auto"/>
          <w:kern w:val="2"/>
          <w:sz w:val="30"/>
          <w:szCs w:val="30"/>
          <w:highlight w:val="none"/>
          <w:lang w:val="en-US" w:eastAsia="zh-CN"/>
        </w:rPr>
      </w:pPr>
      <w:r>
        <w:rPr>
          <w:rFonts w:hint="eastAsia" w:ascii="宋体" w:hAnsi="宋体" w:cs="宋体"/>
          <w:color w:val="auto"/>
          <w:kern w:val="2"/>
          <w:sz w:val="30"/>
          <w:szCs w:val="30"/>
          <w:highlight w:val="none"/>
          <w:lang w:val="en-US" w:eastAsia="zh-CN"/>
        </w:rPr>
        <w:br w:type="page"/>
      </w:r>
    </w:p>
    <w:p w14:paraId="4F86A97D">
      <w:pPr>
        <w:pStyle w:val="3"/>
        <w:spacing w:before="120" w:beforeLines="50" w:after="120" w:afterLines="50" w:line="560" w:lineRule="exact"/>
        <w:ind w:left="0" w:leftChars="0" w:firstLine="0" w:firstLineChars="0"/>
        <w:jc w:val="center"/>
        <w:outlineLvl w:val="1"/>
        <w:rPr>
          <w:rFonts w:hint="eastAsia" w:ascii="宋体" w:hAnsi="宋体" w:cs="宋体"/>
          <w:b/>
          <w:bCs/>
          <w:color w:val="auto"/>
          <w:kern w:val="2"/>
          <w:sz w:val="24"/>
          <w:szCs w:val="24"/>
          <w:highlight w:val="none"/>
        </w:rPr>
      </w:pPr>
      <w:r>
        <w:rPr>
          <w:rFonts w:hint="eastAsia" w:ascii="宋体" w:hAnsi="宋体" w:cs="宋体"/>
          <w:b/>
          <w:bCs/>
          <w:color w:val="auto"/>
          <w:kern w:val="2"/>
          <w:sz w:val="30"/>
          <w:szCs w:val="30"/>
          <w:highlight w:val="none"/>
          <w:lang w:val="en-US" w:eastAsia="zh-CN"/>
        </w:rPr>
        <w:t>二、</w:t>
      </w:r>
      <w:r>
        <w:rPr>
          <w:rFonts w:hint="eastAsia" w:ascii="宋体" w:hAnsi="宋体" w:cs="宋体"/>
          <w:b/>
          <w:bCs/>
          <w:color w:val="auto"/>
          <w:kern w:val="2"/>
          <w:sz w:val="30"/>
          <w:szCs w:val="30"/>
          <w:highlight w:val="none"/>
        </w:rPr>
        <w:t>供应商基本情况</w:t>
      </w:r>
      <w:bookmarkStart w:id="66" w:name="_Toc172171561"/>
      <w:bookmarkStart w:id="67" w:name="_Toc121626298"/>
      <w:bookmarkStart w:id="68" w:name="_Toc516969106"/>
    </w:p>
    <w:p w14:paraId="23910F5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color w:val="auto"/>
          <w:sz w:val="24"/>
          <w:szCs w:val="24"/>
          <w:highlight w:val="none"/>
          <w:lang w:val="en-US" w:eastAsia="zh-CN"/>
        </w:rPr>
      </w:pPr>
      <w:r>
        <w:rPr>
          <w:rFonts w:hint="eastAsia" w:ascii="宋体" w:hAnsi="宋体" w:cs="宋体"/>
          <w:color w:val="auto"/>
          <w:kern w:val="2"/>
          <w:sz w:val="24"/>
          <w:szCs w:val="24"/>
          <w:highlight w:val="none"/>
          <w:lang w:val="en-US" w:eastAsia="zh-CN"/>
        </w:rPr>
        <w:t>（格式自拟）</w:t>
      </w:r>
    </w:p>
    <w:p w14:paraId="5E7796DE">
      <w:pPr>
        <w:adjustRightInd w:val="0"/>
        <w:snapToGrid w:val="0"/>
        <w:spacing w:before="156" w:beforeLines="50" w:after="156" w:afterLines="50" w:line="440" w:lineRule="exact"/>
        <w:jc w:val="center"/>
        <w:outlineLvl w:val="9"/>
        <w:rPr>
          <w:rFonts w:hint="eastAsia" w:ascii="宋体" w:hAnsi="宋体" w:cs="宋体"/>
          <w:color w:val="auto"/>
          <w:kern w:val="2"/>
          <w:sz w:val="24"/>
          <w:szCs w:val="24"/>
          <w:highlight w:val="none"/>
        </w:rPr>
      </w:pPr>
    </w:p>
    <w:p w14:paraId="623C030F">
      <w:pPr>
        <w:rPr>
          <w:rFonts w:hint="eastAsia" w:ascii="宋体" w:hAnsi="宋体" w:eastAsia="宋体" w:cs="宋体"/>
          <w:color w:val="auto"/>
          <w:kern w:val="2"/>
          <w:sz w:val="30"/>
          <w:szCs w:val="30"/>
          <w:highlight w:val="none"/>
          <w:lang w:val="en-US" w:eastAsia="zh-CN"/>
        </w:rPr>
      </w:pPr>
      <w:r>
        <w:rPr>
          <w:rFonts w:hint="eastAsia" w:ascii="宋体" w:hAnsi="宋体" w:eastAsia="宋体" w:cs="宋体"/>
          <w:color w:val="auto"/>
          <w:kern w:val="2"/>
          <w:sz w:val="30"/>
          <w:szCs w:val="30"/>
          <w:highlight w:val="none"/>
          <w:lang w:val="en-US" w:eastAsia="zh-CN"/>
        </w:rPr>
        <w:br w:type="page"/>
      </w:r>
    </w:p>
    <w:p w14:paraId="6421E07C">
      <w:pPr>
        <w:pStyle w:val="3"/>
        <w:adjustRightInd w:val="0"/>
        <w:snapToGrid w:val="0"/>
        <w:spacing w:before="156" w:beforeLines="50" w:after="156" w:afterLines="50" w:line="440" w:lineRule="exact"/>
        <w:ind w:left="0" w:leftChars="0" w:firstLine="0" w:firstLineChars="0"/>
        <w:jc w:val="center"/>
        <w:outlineLvl w:val="1"/>
        <w:rPr>
          <w:rFonts w:hint="eastAsia" w:ascii="黑体" w:hAnsi="黑体" w:eastAsia="黑体" w:cs="黑体"/>
          <w:color w:val="auto"/>
          <w:kern w:val="2"/>
          <w:sz w:val="30"/>
          <w:szCs w:val="30"/>
          <w:highlight w:val="none"/>
        </w:rPr>
      </w:pPr>
      <w:r>
        <w:rPr>
          <w:rFonts w:hint="eastAsia" w:ascii="黑体" w:hAnsi="黑体" w:eastAsia="黑体" w:cs="黑体"/>
          <w:color w:val="auto"/>
          <w:kern w:val="2"/>
          <w:sz w:val="30"/>
          <w:szCs w:val="30"/>
          <w:highlight w:val="none"/>
          <w:lang w:val="en-US" w:eastAsia="zh-CN"/>
        </w:rPr>
        <w:t>三</w:t>
      </w:r>
      <w:r>
        <w:rPr>
          <w:rFonts w:hint="eastAsia" w:ascii="黑体" w:hAnsi="黑体" w:eastAsia="黑体" w:cs="黑体"/>
          <w:color w:val="auto"/>
          <w:kern w:val="2"/>
          <w:sz w:val="30"/>
          <w:szCs w:val="30"/>
          <w:highlight w:val="none"/>
        </w:rPr>
        <w:t>、</w:t>
      </w:r>
      <w:r>
        <w:rPr>
          <w:rFonts w:hint="eastAsia" w:ascii="黑体" w:hAnsi="黑体" w:eastAsia="黑体" w:cs="黑体"/>
          <w:color w:val="auto"/>
          <w:kern w:val="2"/>
          <w:sz w:val="30"/>
          <w:szCs w:val="30"/>
          <w:highlight w:val="none"/>
          <w:lang w:val="en-US" w:eastAsia="zh-CN"/>
        </w:rPr>
        <w:t>谈判响应</w:t>
      </w:r>
      <w:r>
        <w:rPr>
          <w:rFonts w:hint="eastAsia" w:ascii="黑体" w:hAnsi="黑体" w:eastAsia="黑体" w:cs="黑体"/>
          <w:color w:val="auto"/>
          <w:kern w:val="2"/>
          <w:sz w:val="30"/>
          <w:szCs w:val="30"/>
          <w:highlight w:val="none"/>
        </w:rPr>
        <w:t>函</w:t>
      </w:r>
    </w:p>
    <w:p w14:paraId="40D08066">
      <w:pPr>
        <w:adjustRightInd w:val="0"/>
        <w:snapToGrid w:val="0"/>
        <w:spacing w:line="320" w:lineRule="auto"/>
        <w:jc w:val="center"/>
        <w:rPr>
          <w:rFonts w:hint="eastAsia" w:ascii="宋体" w:hAnsi="宋体" w:cs="宋体"/>
          <w:b/>
          <w:color w:val="auto"/>
          <w:szCs w:val="21"/>
          <w:highlight w:val="none"/>
        </w:rPr>
      </w:pPr>
    </w:p>
    <w:p w14:paraId="32CFA8C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致：</w:t>
      </w:r>
      <w:r>
        <w:rPr>
          <w:rFonts w:hint="eastAsia" w:ascii="宋体" w:hAnsi="宋体" w:eastAsia="宋体" w:cs="宋体"/>
          <w:b/>
          <w:bCs/>
          <w:color w:val="auto"/>
          <w:sz w:val="24"/>
          <w:szCs w:val="24"/>
          <w:highlight w:val="none"/>
          <w:u w:val="single"/>
        </w:rPr>
        <w:t>（代理机构名称）</w:t>
      </w:r>
    </w:p>
    <w:p w14:paraId="6AF17EA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rPr>
      </w:pPr>
    </w:p>
    <w:p w14:paraId="3CB3701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1、根据项目编号：</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lang w:val="en-US" w:eastAsia="zh-CN"/>
        </w:rPr>
        <w:t>项目编号）</w:t>
      </w:r>
      <w:r>
        <w:rPr>
          <w:rFonts w:hint="eastAsia" w:ascii="宋体" w:hAnsi="宋体" w:eastAsia="宋体" w:cs="宋体"/>
          <w:b w:val="0"/>
          <w:bCs w:val="0"/>
          <w:color w:val="auto"/>
          <w:sz w:val="24"/>
          <w:szCs w:val="24"/>
          <w:highlight w:val="none"/>
        </w:rPr>
        <w:t>号谈判公告的内容，我方决定参加贵方组织的</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lang w:val="en-US" w:eastAsia="zh-CN"/>
        </w:rPr>
        <w:t>项目名称</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rPr>
        <w:t>项目的竞争性谈判采购。我方授权</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rPr>
        <w:t>授权代表</w:t>
      </w:r>
      <w:r>
        <w:rPr>
          <w:rFonts w:hint="eastAsia" w:ascii="宋体" w:hAnsi="宋体" w:eastAsia="宋体" w:cs="宋体"/>
          <w:b w:val="0"/>
          <w:bCs w:val="0"/>
          <w:color w:val="auto"/>
          <w:sz w:val="24"/>
          <w:szCs w:val="24"/>
          <w:highlight w:val="none"/>
          <w:u w:val="single"/>
          <w:lang w:val="en-US" w:eastAsia="zh-CN"/>
        </w:rPr>
        <w:t>姓名）</w:t>
      </w:r>
      <w:r>
        <w:rPr>
          <w:rFonts w:hint="eastAsia" w:ascii="宋体" w:hAnsi="宋体" w:eastAsia="宋体" w:cs="宋体"/>
          <w:b w:val="0"/>
          <w:bCs w:val="0"/>
          <w:color w:val="auto"/>
          <w:sz w:val="24"/>
          <w:szCs w:val="24"/>
          <w:highlight w:val="none"/>
        </w:rPr>
        <w:t>)代表我方</w:t>
      </w:r>
      <w:r>
        <w:rPr>
          <w:rFonts w:hint="eastAsia" w:ascii="宋体" w:hAnsi="宋体" w:eastAsia="宋体" w:cs="宋体"/>
          <w:b w:val="0"/>
          <w:bCs w:val="0"/>
          <w:color w:val="auto"/>
          <w:sz w:val="24"/>
          <w:szCs w:val="24"/>
          <w:highlight w:val="none"/>
          <w:u w:val="single"/>
          <w:lang w:eastAsia="zh-CN"/>
        </w:rPr>
        <w:t>（</w:t>
      </w:r>
      <w:r>
        <w:rPr>
          <w:rFonts w:hint="eastAsia" w:ascii="宋体" w:hAnsi="宋体" w:eastAsia="宋体" w:cs="宋体"/>
          <w:b w:val="0"/>
          <w:bCs w:val="0"/>
          <w:color w:val="auto"/>
          <w:sz w:val="24"/>
          <w:szCs w:val="24"/>
          <w:highlight w:val="none"/>
          <w:u w:val="single"/>
          <w:lang w:val="en-US" w:eastAsia="zh-CN"/>
        </w:rPr>
        <w:t>供应商名称）</w:t>
      </w:r>
      <w:r>
        <w:rPr>
          <w:rFonts w:hint="eastAsia" w:ascii="宋体" w:hAnsi="宋体" w:eastAsia="宋体" w:cs="宋体"/>
          <w:b w:val="0"/>
          <w:bCs w:val="0"/>
          <w:color w:val="auto"/>
          <w:sz w:val="24"/>
          <w:szCs w:val="24"/>
          <w:highlight w:val="none"/>
        </w:rPr>
        <w:t>全权处理本项目谈判的有关事宜。</w:t>
      </w:r>
    </w:p>
    <w:p w14:paraId="7D94E24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2、我方愿意按照采购</w:t>
      </w:r>
      <w:r>
        <w:rPr>
          <w:rFonts w:hint="eastAsia" w:ascii="宋体" w:hAnsi="宋体" w:eastAsia="宋体" w:cs="宋体"/>
          <w:b w:val="0"/>
          <w:bCs w:val="0"/>
          <w:color w:val="auto"/>
          <w:sz w:val="24"/>
          <w:szCs w:val="24"/>
          <w:highlight w:val="none"/>
          <w:lang w:val="en-US" w:eastAsia="zh-CN"/>
        </w:rPr>
        <w:t>文件</w:t>
      </w:r>
      <w:r>
        <w:rPr>
          <w:rFonts w:hint="eastAsia" w:ascii="宋体" w:hAnsi="宋体" w:eastAsia="宋体" w:cs="宋体"/>
          <w:b w:val="0"/>
          <w:bCs w:val="0"/>
          <w:color w:val="auto"/>
          <w:sz w:val="24"/>
          <w:szCs w:val="24"/>
          <w:highlight w:val="none"/>
        </w:rPr>
        <w:t>规定的各项要求，向采购人提供所需的服务。</w:t>
      </w:r>
    </w:p>
    <w:p w14:paraId="125AE85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3、一旦我方中标，我方将严格履行合同规定的责任和义务，保证于采购人要求的日期内完成</w:t>
      </w:r>
      <w:r>
        <w:rPr>
          <w:rFonts w:hint="eastAsia" w:ascii="宋体" w:hAnsi="宋体" w:eastAsia="宋体" w:cs="宋体"/>
          <w:b w:val="0"/>
          <w:bCs w:val="0"/>
          <w:color w:val="auto"/>
          <w:sz w:val="24"/>
          <w:szCs w:val="24"/>
          <w:highlight w:val="none"/>
          <w:lang w:val="en-US" w:eastAsia="zh-CN"/>
        </w:rPr>
        <w:t>服务内容</w:t>
      </w:r>
      <w:r>
        <w:rPr>
          <w:rFonts w:hint="eastAsia" w:ascii="宋体" w:hAnsi="宋体" w:eastAsia="宋体" w:cs="宋体"/>
          <w:b w:val="0"/>
          <w:bCs w:val="0"/>
          <w:color w:val="auto"/>
          <w:sz w:val="24"/>
          <w:szCs w:val="24"/>
          <w:highlight w:val="none"/>
        </w:rPr>
        <w:t>。</w:t>
      </w:r>
    </w:p>
    <w:p w14:paraId="15CC5D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4、如我公司成交，我公司承诺愿意按谈判文件规定缴纳履约保证金。</w:t>
      </w:r>
    </w:p>
    <w:p w14:paraId="26DB47D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5、我方愿意提供贵方可能另外要求的、与谈判有关的文件资料，并保证我方已提供和将要提供的文件是真实的、准确的。</w:t>
      </w:r>
    </w:p>
    <w:p w14:paraId="3C10775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6、我方完全理解贵方不一定将合同授予最低报价的供应商。</w:t>
      </w:r>
    </w:p>
    <w:p w14:paraId="071CDB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sz w:val="24"/>
          <w:szCs w:val="24"/>
          <w:highlight w:val="none"/>
        </w:rPr>
      </w:pPr>
    </w:p>
    <w:p w14:paraId="65079619">
      <w:p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供应商盖章</w:t>
      </w:r>
      <w:r>
        <w:rPr>
          <w:rFonts w:hint="eastAsia" w:ascii="宋体" w:hAnsi="宋体" w:eastAsia="宋体" w:cs="宋体"/>
          <w:b w:val="0"/>
          <w:bCs w:val="0"/>
          <w:color w:val="auto"/>
          <w:sz w:val="24"/>
          <w:szCs w:val="24"/>
          <w:highlight w:val="none"/>
        </w:rPr>
        <w:t>：</w:t>
      </w:r>
    </w:p>
    <w:p w14:paraId="64DB5E6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日</w:t>
      </w:r>
    </w:p>
    <w:p w14:paraId="4A195227">
      <w:pPr>
        <w:pStyle w:val="3"/>
        <w:adjustRightInd w:val="0"/>
        <w:snapToGrid w:val="0"/>
        <w:spacing w:before="156" w:beforeLines="50" w:after="156" w:afterLines="50" w:line="440" w:lineRule="exact"/>
        <w:ind w:left="0" w:leftChars="0" w:firstLine="0" w:firstLineChars="0"/>
        <w:jc w:val="center"/>
        <w:outlineLvl w:val="1"/>
        <w:rPr>
          <w:rFonts w:hint="eastAsia" w:ascii="黑体" w:hAnsi="黑体" w:eastAsia="黑体" w:cs="黑体"/>
          <w:color w:val="auto"/>
          <w:kern w:val="2"/>
          <w:sz w:val="30"/>
          <w:szCs w:val="30"/>
          <w:highlight w:val="none"/>
          <w:lang w:val="en-US" w:eastAsia="zh-CN"/>
        </w:rPr>
      </w:pPr>
      <w:r>
        <w:rPr>
          <w:rFonts w:hint="eastAsia" w:ascii="宋体" w:hAnsi="宋体" w:eastAsia="宋体" w:cs="宋体"/>
          <w:color w:val="auto"/>
          <w:kern w:val="2"/>
          <w:sz w:val="30"/>
          <w:szCs w:val="30"/>
          <w:highlight w:val="none"/>
          <w:lang w:val="en-US" w:eastAsia="zh-CN"/>
        </w:rPr>
        <w:br w:type="page"/>
      </w:r>
      <w:r>
        <w:rPr>
          <w:rFonts w:hint="eastAsia" w:ascii="黑体" w:hAnsi="黑体" w:eastAsia="黑体" w:cs="黑体"/>
          <w:color w:val="auto"/>
          <w:kern w:val="2"/>
          <w:sz w:val="30"/>
          <w:szCs w:val="30"/>
          <w:highlight w:val="none"/>
          <w:lang w:val="en-US" w:eastAsia="zh-CN"/>
        </w:rPr>
        <w:t>四</w:t>
      </w:r>
      <w:r>
        <w:rPr>
          <w:rFonts w:hint="eastAsia" w:ascii="黑体" w:hAnsi="黑体" w:eastAsia="黑体" w:cs="黑体"/>
          <w:color w:val="auto"/>
          <w:kern w:val="2"/>
          <w:sz w:val="30"/>
          <w:szCs w:val="30"/>
          <w:highlight w:val="none"/>
        </w:rPr>
        <w:t>、</w:t>
      </w:r>
      <w:r>
        <w:rPr>
          <w:rFonts w:hint="eastAsia" w:ascii="黑体" w:hAnsi="黑体" w:eastAsia="黑体" w:cs="黑体"/>
          <w:color w:val="auto"/>
          <w:kern w:val="2"/>
          <w:sz w:val="30"/>
          <w:szCs w:val="30"/>
          <w:highlight w:val="none"/>
          <w:lang w:val="en-US" w:eastAsia="zh-CN"/>
        </w:rPr>
        <w:t>谈判授权书</w:t>
      </w:r>
    </w:p>
    <w:p w14:paraId="5B8CB50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本授权书声明：</w:t>
      </w:r>
      <w:r>
        <w:rPr>
          <w:rFonts w:hint="eastAsia" w:ascii="宋体" w:hAnsi="宋体" w:cs="宋体"/>
          <w:color w:val="auto"/>
          <w:sz w:val="24"/>
          <w:szCs w:val="24"/>
          <w:highlight w:val="none"/>
          <w:u w:val="single"/>
        </w:rPr>
        <w:t>（供应商名称）</w:t>
      </w:r>
      <w:r>
        <w:rPr>
          <w:rFonts w:hint="eastAsia" w:ascii="宋体" w:hAnsi="宋体" w:cs="宋体"/>
          <w:color w:val="auto"/>
          <w:sz w:val="24"/>
          <w:szCs w:val="24"/>
          <w:highlight w:val="none"/>
          <w:u w:val="none"/>
        </w:rPr>
        <w:t>授权</w:t>
      </w:r>
      <w:r>
        <w:rPr>
          <w:rFonts w:hint="eastAsia" w:ascii="宋体" w:hAnsi="宋体" w:cs="宋体"/>
          <w:color w:val="auto"/>
          <w:sz w:val="24"/>
          <w:szCs w:val="24"/>
          <w:highlight w:val="none"/>
          <w:u w:val="single"/>
        </w:rPr>
        <w:t>（供应商授权代表姓名）</w:t>
      </w:r>
      <w:r>
        <w:rPr>
          <w:rFonts w:hint="eastAsia" w:ascii="宋体" w:hAnsi="宋体" w:cs="宋体"/>
          <w:color w:val="auto"/>
          <w:sz w:val="24"/>
          <w:szCs w:val="24"/>
          <w:highlight w:val="none"/>
          <w:u w:val="none"/>
        </w:rPr>
        <w:t>代表我方参加</w:t>
      </w:r>
      <w:r>
        <w:rPr>
          <w:rFonts w:hint="eastAsia" w:ascii="宋体" w:hAnsi="宋体" w:cs="宋体"/>
          <w:color w:val="auto"/>
          <w:sz w:val="24"/>
          <w:szCs w:val="24"/>
          <w:highlight w:val="none"/>
          <w:u w:val="single"/>
        </w:rPr>
        <w:t>（项目编号）（项目名称）</w:t>
      </w:r>
      <w:r>
        <w:rPr>
          <w:rFonts w:hint="eastAsia" w:ascii="宋体" w:hAnsi="宋体" w:cs="宋体"/>
          <w:color w:val="auto"/>
          <w:sz w:val="24"/>
          <w:szCs w:val="24"/>
          <w:highlight w:val="none"/>
          <w:u w:val="none"/>
        </w:rPr>
        <w:t>采购活动</w:t>
      </w:r>
      <w:r>
        <w:rPr>
          <w:rFonts w:hint="eastAsia" w:ascii="宋体" w:hAnsi="宋体" w:cs="宋体"/>
          <w:color w:val="auto"/>
          <w:sz w:val="24"/>
          <w:szCs w:val="24"/>
          <w:highlight w:val="none"/>
        </w:rPr>
        <w:t>，以我方名义全权处理与该项目谈判、签订合同以及合同执行有关的一切事务。</w:t>
      </w:r>
    </w:p>
    <w:p w14:paraId="7448A034">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本授权书自出具之日起生效。</w:t>
      </w:r>
    </w:p>
    <w:p w14:paraId="4DD53AAE">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授权代表</w:t>
      </w:r>
      <w:r>
        <w:rPr>
          <w:rFonts w:hint="eastAsia" w:ascii="宋体" w:hAnsi="宋体" w:eastAsia="宋体" w:cs="宋体"/>
          <w:b w:val="0"/>
          <w:bCs w:val="0"/>
          <w:color w:val="auto"/>
          <w:sz w:val="24"/>
          <w:szCs w:val="24"/>
          <w:highlight w:val="none"/>
        </w:rPr>
        <w:t>身份证明</w:t>
      </w:r>
      <w:r>
        <w:rPr>
          <w:rFonts w:hint="eastAsia" w:ascii="宋体" w:hAnsi="宋体" w:eastAsia="宋体" w:cs="宋体"/>
          <w:b w:val="0"/>
          <w:bCs w:val="0"/>
          <w:color w:val="auto"/>
          <w:sz w:val="24"/>
          <w:szCs w:val="24"/>
          <w:highlight w:val="none"/>
          <w:lang w:val="en-US" w:eastAsia="zh-CN"/>
        </w:rPr>
        <w:t>复印件</w:t>
      </w:r>
      <w:r>
        <w:rPr>
          <w:rFonts w:hint="eastAsia" w:ascii="宋体" w:hAnsi="宋体" w:eastAsia="宋体" w:cs="宋体"/>
          <w:b w:val="0"/>
          <w:bCs w:val="0"/>
          <w:color w:val="auto"/>
          <w:sz w:val="24"/>
          <w:szCs w:val="24"/>
          <w:highlight w:val="none"/>
        </w:rPr>
        <w:t>：</w:t>
      </w:r>
    </w:p>
    <w:p w14:paraId="6545A2CD">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rPr>
      </w:pPr>
    </w:p>
    <w:p w14:paraId="6C9123D7">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rPr>
      </w:pPr>
    </w:p>
    <w:p w14:paraId="16D19030">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授权代表联系方式：</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（请填写手机号码）</w:t>
      </w:r>
    </w:p>
    <w:p w14:paraId="63B9F2C2">
      <w:pPr>
        <w:spacing w:line="360" w:lineRule="auto"/>
        <w:ind w:firstLine="645"/>
        <w:rPr>
          <w:rFonts w:hint="eastAsia" w:ascii="宋体" w:hAnsi="宋体" w:eastAsia="宋体" w:cs="宋体"/>
          <w:b w:val="0"/>
          <w:bCs w:val="0"/>
          <w:color w:val="auto"/>
          <w:sz w:val="24"/>
          <w:szCs w:val="24"/>
          <w:highlight w:val="none"/>
        </w:rPr>
      </w:pPr>
    </w:p>
    <w:p w14:paraId="63B58C2B">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特此声明。</w:t>
      </w:r>
    </w:p>
    <w:p w14:paraId="6FD4407A">
      <w:pPr>
        <w:pStyle w:val="17"/>
        <w:snapToGrid w:val="0"/>
        <w:spacing w:line="360" w:lineRule="auto"/>
        <w:ind w:firstLine="480" w:firstLineChars="200"/>
        <w:jc w:val="left"/>
        <w:rPr>
          <w:rFonts w:hint="eastAsia" w:ascii="宋体" w:hAnsi="宋体" w:eastAsia="宋体" w:cs="宋体"/>
          <w:b w:val="0"/>
          <w:bCs w:val="0"/>
          <w:color w:val="auto"/>
          <w:sz w:val="24"/>
          <w:szCs w:val="24"/>
          <w:highlight w:val="none"/>
          <w:lang w:val="en-US" w:eastAsia="zh-CN"/>
        </w:rPr>
      </w:pPr>
    </w:p>
    <w:p w14:paraId="5EB4C790">
      <w:p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供应商盖章</w:t>
      </w:r>
      <w:r>
        <w:rPr>
          <w:rFonts w:hint="eastAsia" w:ascii="宋体" w:hAnsi="宋体" w:eastAsia="宋体" w:cs="宋体"/>
          <w:b w:val="0"/>
          <w:bCs w:val="0"/>
          <w:color w:val="auto"/>
          <w:sz w:val="24"/>
          <w:szCs w:val="24"/>
          <w:highlight w:val="none"/>
        </w:rPr>
        <w:t>：</w:t>
      </w:r>
    </w:p>
    <w:p w14:paraId="7801286D">
      <w:p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日</w:t>
      </w:r>
    </w:p>
    <w:p w14:paraId="4B4B8C56">
      <w:pPr>
        <w:rPr>
          <w:rFonts w:hint="eastAsia" w:ascii="宋体" w:hAnsi="宋体" w:eastAsia="宋体" w:cs="宋体"/>
          <w:b w:val="0"/>
          <w:bCs w:val="0"/>
          <w:color w:val="auto"/>
          <w:sz w:val="24"/>
          <w:szCs w:val="24"/>
          <w:highlight w:val="none"/>
        </w:rPr>
      </w:pPr>
    </w:p>
    <w:p w14:paraId="2A760A35">
      <w:pPr>
        <w:pStyle w:val="35"/>
        <w:ind w:left="0" w:leftChars="0" w:firstLine="0" w:firstLineChars="0"/>
        <w:rPr>
          <w:rFonts w:hint="eastAsia" w:ascii="宋体" w:hAnsi="宋体" w:eastAsia="宋体" w:cs="宋体"/>
          <w:b w:val="0"/>
          <w:bCs w:val="0"/>
          <w:color w:val="auto"/>
          <w:sz w:val="24"/>
          <w:szCs w:val="24"/>
          <w:highlight w:val="none"/>
        </w:rPr>
      </w:pPr>
    </w:p>
    <w:p w14:paraId="084E8891">
      <w:pPr>
        <w:pStyle w:val="17"/>
        <w:keepNext w:val="0"/>
        <w:keepLines w:val="0"/>
        <w:pageBreakBefore w:val="0"/>
        <w:widowControl w:val="0"/>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注：</w:t>
      </w:r>
    </w:p>
    <w:p w14:paraId="3B79DA60">
      <w:pPr>
        <w:pStyle w:val="17"/>
        <w:keepNext w:val="0"/>
        <w:keepLines w:val="0"/>
        <w:pageBreakBefore w:val="0"/>
        <w:widowControl w:val="0"/>
        <w:numPr>
          <w:ilvl w:val="0"/>
          <w:numId w:val="0"/>
        </w:numPr>
        <w:kinsoku/>
        <w:wordWrap/>
        <w:overflowPunct/>
        <w:topLinePunct w:val="0"/>
        <w:autoSpaceDE/>
        <w:autoSpaceDN/>
        <w:bidi w:val="0"/>
        <w:snapToGrid w:val="0"/>
        <w:spacing w:line="360" w:lineRule="auto"/>
        <w:jc w:val="left"/>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kern w:val="2"/>
          <w:sz w:val="24"/>
          <w:szCs w:val="24"/>
          <w:highlight w:val="none"/>
          <w:lang w:val="en-US" w:eastAsia="zh-CN" w:bidi="ar-SA"/>
        </w:rPr>
        <w:t>1、</w:t>
      </w:r>
      <w:r>
        <w:rPr>
          <w:rFonts w:hint="eastAsia" w:ascii="宋体" w:hAnsi="宋体" w:eastAsia="宋体" w:cs="宋体"/>
          <w:b w:val="0"/>
          <w:bCs w:val="0"/>
          <w:color w:val="auto"/>
          <w:sz w:val="24"/>
          <w:szCs w:val="24"/>
          <w:highlight w:val="none"/>
        </w:rPr>
        <w:t>本项目只允许有唯一的供应商授权代表（提供身份证明</w:t>
      </w:r>
      <w:r>
        <w:rPr>
          <w:rFonts w:hint="eastAsia" w:ascii="宋体" w:hAnsi="宋体" w:eastAsia="宋体" w:cs="宋体"/>
          <w:b w:val="0"/>
          <w:bCs w:val="0"/>
          <w:color w:val="auto"/>
          <w:sz w:val="24"/>
          <w:szCs w:val="24"/>
          <w:highlight w:val="none"/>
          <w:lang w:eastAsia="zh-CN"/>
        </w:rPr>
        <w:t>复印件</w:t>
      </w:r>
      <w:r>
        <w:rPr>
          <w:rFonts w:hint="eastAsia" w:ascii="宋体" w:hAnsi="宋体" w:eastAsia="宋体" w:cs="宋体"/>
          <w:b w:val="0"/>
          <w:bCs w:val="0"/>
          <w:color w:val="auto"/>
          <w:sz w:val="24"/>
          <w:szCs w:val="24"/>
          <w:highlight w:val="none"/>
        </w:rPr>
        <w:t>及联系方式）；</w:t>
      </w:r>
    </w:p>
    <w:p w14:paraId="72AE104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宋体" w:hAnsi="宋体" w:eastAsia="宋体" w:cs="宋体"/>
          <w:color w:val="auto"/>
          <w:szCs w:val="21"/>
          <w:highlight w:val="none"/>
          <w:lang w:val="en-US" w:eastAsia="zh-CN"/>
        </w:rPr>
      </w:pPr>
      <w:r>
        <w:rPr>
          <w:rFonts w:hint="eastAsia" w:ascii="宋体" w:hAnsi="宋体" w:eastAsia="宋体" w:cs="宋体"/>
          <w:b w:val="0"/>
          <w:bCs w:val="0"/>
          <w:color w:val="auto"/>
          <w:sz w:val="24"/>
          <w:szCs w:val="24"/>
          <w:highlight w:val="none"/>
        </w:rPr>
        <w:t>2、法定代表人参加</w:t>
      </w:r>
      <w:r>
        <w:rPr>
          <w:rFonts w:hint="eastAsia" w:ascii="宋体" w:hAnsi="宋体" w:eastAsia="宋体" w:cs="宋体"/>
          <w:b w:val="0"/>
          <w:bCs w:val="0"/>
          <w:color w:val="auto"/>
          <w:sz w:val="24"/>
          <w:szCs w:val="24"/>
          <w:highlight w:val="none"/>
          <w:lang w:val="en-US" w:eastAsia="zh-CN"/>
        </w:rPr>
        <w:t>采购活动</w:t>
      </w:r>
      <w:r>
        <w:rPr>
          <w:rFonts w:hint="eastAsia" w:ascii="宋体" w:hAnsi="宋体" w:eastAsia="宋体" w:cs="宋体"/>
          <w:b w:val="0"/>
          <w:bCs w:val="0"/>
          <w:color w:val="auto"/>
          <w:sz w:val="24"/>
          <w:szCs w:val="24"/>
          <w:highlight w:val="none"/>
        </w:rPr>
        <w:t>的无需提供</w:t>
      </w:r>
      <w:r>
        <w:rPr>
          <w:rFonts w:hint="eastAsia" w:ascii="宋体" w:hAnsi="宋体" w:eastAsia="宋体" w:cs="宋体"/>
          <w:b w:val="0"/>
          <w:bCs w:val="0"/>
          <w:color w:val="auto"/>
          <w:sz w:val="24"/>
          <w:szCs w:val="24"/>
          <w:highlight w:val="none"/>
          <w:lang w:val="en-US" w:eastAsia="zh-CN"/>
        </w:rPr>
        <w:t>谈判</w:t>
      </w:r>
      <w:r>
        <w:rPr>
          <w:rFonts w:hint="eastAsia" w:ascii="宋体" w:hAnsi="宋体" w:eastAsia="宋体" w:cs="宋体"/>
          <w:b w:val="0"/>
          <w:bCs w:val="0"/>
          <w:color w:val="auto"/>
          <w:sz w:val="24"/>
          <w:szCs w:val="24"/>
          <w:highlight w:val="none"/>
        </w:rPr>
        <w:t>授权书，仅提供身份证明</w:t>
      </w:r>
      <w:r>
        <w:rPr>
          <w:rFonts w:hint="eastAsia" w:ascii="宋体" w:hAnsi="宋体" w:eastAsia="宋体" w:cs="宋体"/>
          <w:b w:val="0"/>
          <w:bCs w:val="0"/>
          <w:color w:val="auto"/>
          <w:sz w:val="24"/>
          <w:szCs w:val="24"/>
          <w:highlight w:val="none"/>
          <w:lang w:eastAsia="zh-CN"/>
        </w:rPr>
        <w:t>复印件</w:t>
      </w:r>
      <w:r>
        <w:rPr>
          <w:rFonts w:hint="eastAsia" w:ascii="宋体" w:hAnsi="宋体" w:eastAsia="宋体" w:cs="宋体"/>
          <w:b w:val="0"/>
          <w:bCs w:val="0"/>
          <w:color w:val="auto"/>
          <w:sz w:val="24"/>
          <w:szCs w:val="24"/>
          <w:highlight w:val="none"/>
        </w:rPr>
        <w:t>及联系方式即可。</w:t>
      </w:r>
    </w:p>
    <w:p w14:paraId="0A74DEEF">
      <w:pPr>
        <w:pStyle w:val="10"/>
        <w:rPr>
          <w:rFonts w:hint="eastAsia"/>
          <w:color w:val="auto"/>
          <w:highlight w:val="none"/>
          <w:lang w:eastAsia="zh-CN"/>
        </w:rPr>
      </w:pPr>
    </w:p>
    <w:p w14:paraId="55565527">
      <w:pPr>
        <w:rPr>
          <w:rFonts w:hint="eastAsia" w:ascii="宋体" w:hAnsi="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br w:type="page"/>
      </w:r>
    </w:p>
    <w:p w14:paraId="1B8D1ED7">
      <w:pPr>
        <w:numPr>
          <w:ilvl w:val="0"/>
          <w:numId w:val="0"/>
        </w:numPr>
        <w:jc w:val="center"/>
        <w:outlineLvl w:val="1"/>
        <w:rPr>
          <w:rFonts w:hint="eastAsia" w:ascii="黑体" w:hAnsi="黑体" w:eastAsia="黑体" w:cs="黑体"/>
          <w:b/>
          <w:bCs/>
          <w:color w:val="auto"/>
          <w:kern w:val="2"/>
          <w:sz w:val="30"/>
          <w:szCs w:val="30"/>
          <w:highlight w:val="none"/>
          <w:lang w:val="en-US" w:eastAsia="zh-CN" w:bidi="ar-SA"/>
        </w:rPr>
      </w:pPr>
      <w:r>
        <w:rPr>
          <w:rFonts w:hint="eastAsia" w:ascii="黑体" w:hAnsi="黑体" w:eastAsia="黑体" w:cs="黑体"/>
          <w:b/>
          <w:bCs/>
          <w:color w:val="auto"/>
          <w:kern w:val="2"/>
          <w:sz w:val="30"/>
          <w:szCs w:val="30"/>
          <w:highlight w:val="none"/>
          <w:lang w:val="en-US" w:eastAsia="zh-CN"/>
        </w:rPr>
        <w:t>五、</w:t>
      </w:r>
      <w:r>
        <w:rPr>
          <w:rFonts w:hint="eastAsia" w:ascii="黑体" w:hAnsi="黑体" w:eastAsia="黑体" w:cs="黑体"/>
          <w:b/>
          <w:bCs/>
          <w:color w:val="auto"/>
          <w:kern w:val="2"/>
          <w:sz w:val="30"/>
          <w:szCs w:val="30"/>
          <w:highlight w:val="none"/>
          <w:lang w:val="en-US" w:eastAsia="zh-CN" w:bidi="ar-SA"/>
        </w:rPr>
        <w:t>资格审查证明材料</w:t>
      </w:r>
    </w:p>
    <w:p w14:paraId="58EAE343">
      <w:pPr>
        <w:pStyle w:val="36"/>
        <w:numPr>
          <w:ilvl w:val="0"/>
          <w:numId w:val="0"/>
        </w:numPr>
        <w:rPr>
          <w:rFonts w:hint="default"/>
          <w:color w:val="auto"/>
          <w:highlight w:val="none"/>
          <w:lang w:val="en-US" w:eastAsia="zh-CN"/>
        </w:rPr>
      </w:pPr>
    </w:p>
    <w:p w14:paraId="634D42D0">
      <w:pPr>
        <w:numPr>
          <w:ilvl w:val="0"/>
          <w:numId w:val="0"/>
        </w:numPr>
        <w:rPr>
          <w:rFonts w:hint="eastAsia" w:ascii="宋体" w:hAnsi="宋体" w:cs="宋体"/>
          <w:color w:val="auto"/>
          <w:kern w:val="2"/>
          <w:sz w:val="24"/>
          <w:szCs w:val="24"/>
          <w:highlight w:val="none"/>
          <w:lang w:val="en-US" w:eastAsia="zh-CN"/>
        </w:rPr>
      </w:pPr>
    </w:p>
    <w:p w14:paraId="090977F3">
      <w:pPr>
        <w:numPr>
          <w:ilvl w:val="0"/>
          <w:numId w:val="0"/>
        </w:numPr>
        <w:rPr>
          <w:rFonts w:hint="eastAsia" w:ascii="宋体" w:hAnsi="宋体" w:cs="宋体"/>
          <w:color w:val="auto"/>
          <w:kern w:val="2"/>
          <w:sz w:val="24"/>
          <w:szCs w:val="24"/>
          <w:highlight w:val="none"/>
          <w:lang w:val="en-US" w:eastAsia="zh-CN"/>
        </w:rPr>
      </w:pPr>
    </w:p>
    <w:p w14:paraId="156A31D1">
      <w:pPr>
        <w:numPr>
          <w:ilvl w:val="0"/>
          <w:numId w:val="0"/>
        </w:numPr>
        <w:rPr>
          <w:rFonts w:hint="eastAsia" w:ascii="宋体" w:hAnsi="宋体" w:cs="宋体"/>
          <w:color w:val="auto"/>
          <w:kern w:val="2"/>
          <w:sz w:val="24"/>
          <w:szCs w:val="24"/>
          <w:highlight w:val="none"/>
          <w:lang w:val="en-US" w:eastAsia="zh-CN"/>
        </w:rPr>
      </w:pPr>
    </w:p>
    <w:p w14:paraId="22F4EA07">
      <w:pPr>
        <w:numPr>
          <w:ilvl w:val="0"/>
          <w:numId w:val="0"/>
        </w:numPr>
        <w:rPr>
          <w:rFonts w:hint="eastAsia" w:ascii="宋体" w:hAnsi="宋体" w:cs="宋体"/>
          <w:color w:val="auto"/>
          <w:kern w:val="2"/>
          <w:sz w:val="24"/>
          <w:szCs w:val="24"/>
          <w:highlight w:val="none"/>
          <w:lang w:val="en-US" w:eastAsia="zh-CN"/>
        </w:rPr>
      </w:pPr>
      <w:r>
        <w:rPr>
          <w:rFonts w:hint="eastAsia" w:ascii="宋体" w:hAnsi="宋体" w:cs="宋体"/>
          <w:color w:val="auto"/>
          <w:kern w:val="2"/>
          <w:sz w:val="24"/>
          <w:szCs w:val="24"/>
          <w:highlight w:val="none"/>
          <w:lang w:val="en-US" w:eastAsia="zh-CN"/>
        </w:rPr>
        <w:br w:type="page"/>
      </w:r>
    </w:p>
    <w:p w14:paraId="042A5A9B">
      <w:pPr>
        <w:pStyle w:val="3"/>
        <w:adjustRightInd w:val="0"/>
        <w:snapToGrid w:val="0"/>
        <w:spacing w:before="156" w:beforeLines="50" w:after="156" w:afterLines="50" w:line="440" w:lineRule="exact"/>
        <w:ind w:left="0" w:leftChars="0" w:firstLine="0" w:firstLineChars="0"/>
        <w:jc w:val="center"/>
        <w:outlineLvl w:val="1"/>
        <w:rPr>
          <w:rFonts w:hint="eastAsia" w:ascii="黑体" w:hAnsi="黑体" w:eastAsia="黑体" w:cs="黑体"/>
          <w:color w:val="auto"/>
          <w:kern w:val="2"/>
          <w:sz w:val="30"/>
          <w:szCs w:val="30"/>
          <w:highlight w:val="none"/>
          <w:lang w:val="en-US"/>
        </w:rPr>
      </w:pPr>
      <w:r>
        <w:rPr>
          <w:rFonts w:hint="eastAsia" w:ascii="黑体" w:hAnsi="黑体" w:eastAsia="黑体" w:cs="黑体"/>
          <w:color w:val="auto"/>
          <w:kern w:val="2"/>
          <w:sz w:val="30"/>
          <w:szCs w:val="30"/>
          <w:highlight w:val="none"/>
          <w:lang w:val="en-US" w:eastAsia="zh-CN"/>
        </w:rPr>
        <w:t>六</w:t>
      </w:r>
      <w:r>
        <w:rPr>
          <w:rFonts w:hint="eastAsia" w:ascii="黑体" w:hAnsi="黑体" w:eastAsia="黑体" w:cs="黑体"/>
          <w:color w:val="auto"/>
          <w:kern w:val="2"/>
          <w:sz w:val="30"/>
          <w:szCs w:val="30"/>
          <w:highlight w:val="none"/>
        </w:rPr>
        <w:t>、</w:t>
      </w:r>
      <w:r>
        <w:rPr>
          <w:rFonts w:hint="eastAsia" w:ascii="黑体" w:hAnsi="黑体" w:eastAsia="黑体" w:cs="黑体"/>
          <w:color w:val="auto"/>
          <w:kern w:val="2"/>
          <w:sz w:val="30"/>
          <w:szCs w:val="30"/>
          <w:highlight w:val="none"/>
          <w:lang w:val="en-US" w:eastAsia="zh-CN"/>
        </w:rPr>
        <w:t>响应情况表</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14:paraId="4CC7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14:paraId="7E0540B2">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谈判</w:t>
            </w:r>
            <w:r>
              <w:rPr>
                <w:rFonts w:hint="eastAsia" w:ascii="宋体" w:hAnsi="宋体" w:cs="宋体"/>
                <w:b/>
                <w:color w:val="auto"/>
                <w:sz w:val="24"/>
                <w:szCs w:val="21"/>
                <w:highlight w:val="none"/>
              </w:rPr>
              <w:t>文件规定填写</w:t>
            </w:r>
          </w:p>
        </w:tc>
        <w:tc>
          <w:tcPr>
            <w:tcW w:w="4200" w:type="dxa"/>
            <w:gridSpan w:val="2"/>
            <w:noWrap w:val="0"/>
            <w:vAlign w:val="center"/>
          </w:tcPr>
          <w:p w14:paraId="03953F55">
            <w:pPr>
              <w:jc w:val="center"/>
              <w:rPr>
                <w:rFonts w:ascii="宋体" w:hAnsi="宋体" w:cs="宋体"/>
                <w:b/>
                <w:color w:val="auto"/>
                <w:sz w:val="24"/>
                <w:szCs w:val="21"/>
                <w:highlight w:val="none"/>
              </w:rPr>
            </w:pPr>
            <w:r>
              <w:rPr>
                <w:rFonts w:hint="eastAsia" w:ascii="宋体" w:hAnsi="宋体" w:cs="宋体"/>
                <w:b/>
                <w:color w:val="auto"/>
                <w:sz w:val="24"/>
                <w:szCs w:val="21"/>
                <w:highlight w:val="none"/>
              </w:rPr>
              <w:t>按供应商所投内容填写</w:t>
            </w:r>
          </w:p>
        </w:tc>
      </w:tr>
      <w:tr w14:paraId="2542C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14:paraId="593B14B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序号</w:t>
            </w:r>
          </w:p>
        </w:tc>
        <w:tc>
          <w:tcPr>
            <w:tcW w:w="1794" w:type="dxa"/>
            <w:noWrap w:val="0"/>
            <w:vAlign w:val="center"/>
          </w:tcPr>
          <w:p w14:paraId="5DED837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内容</w:t>
            </w:r>
          </w:p>
        </w:tc>
        <w:tc>
          <w:tcPr>
            <w:tcW w:w="2196" w:type="dxa"/>
            <w:noWrap w:val="0"/>
            <w:vAlign w:val="center"/>
          </w:tcPr>
          <w:p w14:paraId="05A67DD0">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谈判</w:t>
            </w:r>
            <w:r>
              <w:rPr>
                <w:rFonts w:hint="eastAsia" w:ascii="宋体" w:hAnsi="宋体" w:cs="宋体"/>
                <w:b/>
                <w:color w:val="auto"/>
                <w:sz w:val="24"/>
                <w:szCs w:val="21"/>
                <w:highlight w:val="none"/>
              </w:rPr>
              <w:t>文件要求</w:t>
            </w:r>
          </w:p>
        </w:tc>
        <w:tc>
          <w:tcPr>
            <w:tcW w:w="2222" w:type="dxa"/>
            <w:noWrap w:val="0"/>
            <w:vAlign w:val="center"/>
          </w:tcPr>
          <w:p w14:paraId="1FE4748B">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响应承诺</w:t>
            </w:r>
          </w:p>
        </w:tc>
        <w:tc>
          <w:tcPr>
            <w:tcW w:w="1978" w:type="dxa"/>
            <w:noWrap w:val="0"/>
            <w:vAlign w:val="center"/>
          </w:tcPr>
          <w:p w14:paraId="7485A2E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偏离说明</w:t>
            </w:r>
          </w:p>
        </w:tc>
      </w:tr>
      <w:tr w14:paraId="4D1BA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44C051DB">
            <w:pPr>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794" w:type="dxa"/>
            <w:noWrap w:val="0"/>
            <w:vAlign w:val="center"/>
          </w:tcPr>
          <w:p w14:paraId="78EE98FA">
            <w:pPr>
              <w:jc w:val="center"/>
              <w:rPr>
                <w:rFonts w:hint="eastAsia" w:ascii="宋体" w:hAnsi="宋体" w:eastAsia="宋体" w:cs="宋体"/>
                <w:b w:val="0"/>
                <w:bCs/>
                <w:color w:val="auto"/>
                <w:sz w:val="24"/>
                <w:szCs w:val="21"/>
                <w:highlight w:val="none"/>
              </w:rPr>
            </w:pPr>
            <w:r>
              <w:rPr>
                <w:rFonts w:hint="eastAsia" w:ascii="宋体" w:hAnsi="宋体" w:eastAsia="宋体" w:cs="宋体"/>
                <w:b w:val="0"/>
                <w:bCs/>
                <w:color w:val="auto"/>
                <w:sz w:val="24"/>
                <w:szCs w:val="21"/>
                <w:highlight w:val="none"/>
                <w:lang w:val="en-US" w:eastAsia="zh-CN"/>
              </w:rPr>
              <w:t>服务内容</w:t>
            </w:r>
          </w:p>
        </w:tc>
        <w:tc>
          <w:tcPr>
            <w:tcW w:w="2196" w:type="dxa"/>
            <w:noWrap w:val="0"/>
            <w:vAlign w:val="center"/>
          </w:tcPr>
          <w:p w14:paraId="756E6E75">
            <w:pPr>
              <w:rPr>
                <w:rFonts w:ascii="宋体" w:hAnsi="宋体" w:cs="宋体"/>
                <w:color w:val="auto"/>
                <w:sz w:val="24"/>
                <w:szCs w:val="24"/>
                <w:highlight w:val="none"/>
              </w:rPr>
            </w:pPr>
          </w:p>
        </w:tc>
        <w:tc>
          <w:tcPr>
            <w:tcW w:w="2222" w:type="dxa"/>
            <w:noWrap w:val="0"/>
            <w:vAlign w:val="center"/>
          </w:tcPr>
          <w:p w14:paraId="065B3813">
            <w:pPr>
              <w:rPr>
                <w:rFonts w:ascii="宋体" w:hAnsi="宋体" w:cs="宋体"/>
                <w:color w:val="auto"/>
                <w:sz w:val="24"/>
                <w:szCs w:val="24"/>
                <w:highlight w:val="none"/>
              </w:rPr>
            </w:pPr>
          </w:p>
        </w:tc>
        <w:tc>
          <w:tcPr>
            <w:tcW w:w="1978" w:type="dxa"/>
            <w:noWrap w:val="0"/>
            <w:vAlign w:val="center"/>
          </w:tcPr>
          <w:p w14:paraId="369D5EFE">
            <w:pPr>
              <w:rPr>
                <w:rFonts w:ascii="宋体" w:hAnsi="宋体" w:cs="宋体"/>
                <w:color w:val="auto"/>
                <w:sz w:val="24"/>
                <w:szCs w:val="24"/>
                <w:highlight w:val="none"/>
              </w:rPr>
            </w:pPr>
          </w:p>
        </w:tc>
      </w:tr>
      <w:tr w14:paraId="76EC3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050E62E1">
            <w:pPr>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794" w:type="dxa"/>
            <w:noWrap w:val="0"/>
            <w:vAlign w:val="center"/>
          </w:tcPr>
          <w:p w14:paraId="12A95710">
            <w:pPr>
              <w:jc w:val="center"/>
              <w:rPr>
                <w:rFonts w:hint="eastAsia" w:ascii="宋体" w:hAnsi="宋体" w:eastAsia="宋体" w:cs="宋体"/>
                <w:b w:val="0"/>
                <w:bCs/>
                <w:color w:val="auto"/>
                <w:sz w:val="24"/>
                <w:szCs w:val="21"/>
                <w:highlight w:val="none"/>
              </w:rPr>
            </w:pPr>
            <w:r>
              <w:rPr>
                <w:rFonts w:hint="eastAsia" w:ascii="宋体" w:hAnsi="宋体" w:eastAsia="宋体" w:cs="宋体"/>
                <w:b w:val="0"/>
                <w:bCs/>
                <w:color w:val="auto"/>
                <w:sz w:val="24"/>
                <w:szCs w:val="21"/>
                <w:highlight w:val="none"/>
                <w:lang w:val="en-US" w:eastAsia="zh-CN"/>
              </w:rPr>
              <w:t>服务</w:t>
            </w:r>
            <w:r>
              <w:rPr>
                <w:rFonts w:hint="eastAsia" w:ascii="宋体" w:hAnsi="宋体" w:eastAsia="宋体" w:cs="宋体"/>
                <w:b w:val="0"/>
                <w:bCs/>
                <w:color w:val="auto"/>
                <w:sz w:val="24"/>
                <w:szCs w:val="21"/>
                <w:highlight w:val="none"/>
              </w:rPr>
              <w:t>期</w:t>
            </w:r>
          </w:p>
        </w:tc>
        <w:tc>
          <w:tcPr>
            <w:tcW w:w="2196" w:type="dxa"/>
            <w:noWrap w:val="0"/>
            <w:vAlign w:val="center"/>
          </w:tcPr>
          <w:p w14:paraId="372BCF2F">
            <w:pPr>
              <w:rPr>
                <w:rFonts w:ascii="宋体" w:hAnsi="宋体" w:cs="宋体"/>
                <w:color w:val="auto"/>
                <w:sz w:val="24"/>
                <w:szCs w:val="24"/>
                <w:highlight w:val="none"/>
              </w:rPr>
            </w:pPr>
          </w:p>
        </w:tc>
        <w:tc>
          <w:tcPr>
            <w:tcW w:w="2222" w:type="dxa"/>
            <w:noWrap w:val="0"/>
            <w:vAlign w:val="center"/>
          </w:tcPr>
          <w:p w14:paraId="4A440E36">
            <w:pPr>
              <w:rPr>
                <w:rFonts w:ascii="宋体" w:hAnsi="宋体" w:cs="宋体"/>
                <w:color w:val="auto"/>
                <w:sz w:val="24"/>
                <w:szCs w:val="24"/>
                <w:highlight w:val="none"/>
              </w:rPr>
            </w:pPr>
          </w:p>
        </w:tc>
        <w:tc>
          <w:tcPr>
            <w:tcW w:w="1978" w:type="dxa"/>
            <w:noWrap w:val="0"/>
            <w:vAlign w:val="center"/>
          </w:tcPr>
          <w:p w14:paraId="68966357">
            <w:pPr>
              <w:rPr>
                <w:rFonts w:ascii="宋体" w:hAnsi="宋体" w:cs="宋体"/>
                <w:color w:val="auto"/>
                <w:sz w:val="24"/>
                <w:szCs w:val="24"/>
                <w:highlight w:val="none"/>
              </w:rPr>
            </w:pPr>
          </w:p>
        </w:tc>
      </w:tr>
      <w:tr w14:paraId="69E24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65252AF0">
            <w:pPr>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794" w:type="dxa"/>
            <w:noWrap w:val="0"/>
            <w:vAlign w:val="center"/>
          </w:tcPr>
          <w:p w14:paraId="0475F3C3">
            <w:pPr>
              <w:jc w:val="center"/>
              <w:rPr>
                <w:rFonts w:hint="eastAsia" w:ascii="宋体" w:hAnsi="宋体" w:eastAsia="宋体" w:cs="宋体"/>
                <w:b w:val="0"/>
                <w:bCs/>
                <w:color w:val="auto"/>
                <w:sz w:val="24"/>
                <w:szCs w:val="21"/>
                <w:highlight w:val="none"/>
              </w:rPr>
            </w:pPr>
            <w:r>
              <w:rPr>
                <w:rFonts w:hint="eastAsia" w:ascii="宋体" w:hAnsi="宋体" w:eastAsia="宋体" w:cs="宋体"/>
                <w:b w:val="0"/>
                <w:bCs/>
                <w:color w:val="auto"/>
                <w:sz w:val="24"/>
                <w:szCs w:val="21"/>
                <w:highlight w:val="none"/>
                <w:lang w:val="en-US" w:eastAsia="zh-CN"/>
              </w:rPr>
              <w:t>付款方式</w:t>
            </w:r>
          </w:p>
        </w:tc>
        <w:tc>
          <w:tcPr>
            <w:tcW w:w="2196" w:type="dxa"/>
            <w:noWrap w:val="0"/>
            <w:vAlign w:val="center"/>
          </w:tcPr>
          <w:p w14:paraId="300D284A">
            <w:pPr>
              <w:rPr>
                <w:rFonts w:ascii="宋体" w:hAnsi="宋体" w:cs="宋体"/>
                <w:color w:val="auto"/>
                <w:sz w:val="24"/>
                <w:szCs w:val="24"/>
                <w:highlight w:val="none"/>
              </w:rPr>
            </w:pPr>
          </w:p>
        </w:tc>
        <w:tc>
          <w:tcPr>
            <w:tcW w:w="2222" w:type="dxa"/>
            <w:noWrap w:val="0"/>
            <w:vAlign w:val="center"/>
          </w:tcPr>
          <w:p w14:paraId="3D26CD32">
            <w:pPr>
              <w:rPr>
                <w:rFonts w:ascii="宋体" w:hAnsi="宋体" w:cs="宋体"/>
                <w:color w:val="auto"/>
                <w:sz w:val="24"/>
                <w:szCs w:val="24"/>
                <w:highlight w:val="none"/>
              </w:rPr>
            </w:pPr>
          </w:p>
        </w:tc>
        <w:tc>
          <w:tcPr>
            <w:tcW w:w="1978" w:type="dxa"/>
            <w:noWrap w:val="0"/>
            <w:vAlign w:val="center"/>
          </w:tcPr>
          <w:p w14:paraId="3F4AC11F">
            <w:pPr>
              <w:rPr>
                <w:rFonts w:ascii="宋体" w:hAnsi="宋体" w:cs="宋体"/>
                <w:color w:val="auto"/>
                <w:sz w:val="24"/>
                <w:szCs w:val="24"/>
                <w:highlight w:val="none"/>
              </w:rPr>
            </w:pPr>
          </w:p>
        </w:tc>
      </w:tr>
      <w:tr w14:paraId="22485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74E854C6">
            <w:pPr>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1794" w:type="dxa"/>
            <w:noWrap w:val="0"/>
            <w:vAlign w:val="center"/>
          </w:tcPr>
          <w:p w14:paraId="3744026C">
            <w:pPr>
              <w:jc w:val="center"/>
              <w:rPr>
                <w:rFonts w:hint="eastAsia" w:ascii="宋体" w:hAnsi="宋体" w:eastAsia="宋体" w:cs="宋体"/>
                <w:b w:val="0"/>
                <w:bCs/>
                <w:color w:val="auto"/>
                <w:sz w:val="24"/>
                <w:szCs w:val="21"/>
                <w:highlight w:val="none"/>
              </w:rPr>
            </w:pPr>
            <w:r>
              <w:rPr>
                <w:rFonts w:hint="eastAsia" w:ascii="宋体" w:hAnsi="宋体" w:eastAsia="宋体" w:cs="宋体"/>
                <w:b w:val="0"/>
                <w:bCs/>
                <w:color w:val="auto"/>
                <w:sz w:val="24"/>
                <w:szCs w:val="21"/>
                <w:highlight w:val="none"/>
                <w:lang w:val="en-US" w:eastAsia="zh-CN"/>
              </w:rPr>
              <w:t>服务内容</w:t>
            </w:r>
          </w:p>
        </w:tc>
        <w:tc>
          <w:tcPr>
            <w:tcW w:w="2196" w:type="dxa"/>
            <w:noWrap w:val="0"/>
            <w:vAlign w:val="center"/>
          </w:tcPr>
          <w:p w14:paraId="71939436">
            <w:pPr>
              <w:rPr>
                <w:rFonts w:ascii="宋体" w:hAnsi="宋体" w:cs="宋体"/>
                <w:color w:val="auto"/>
                <w:sz w:val="24"/>
                <w:szCs w:val="24"/>
                <w:highlight w:val="none"/>
              </w:rPr>
            </w:pPr>
          </w:p>
        </w:tc>
        <w:tc>
          <w:tcPr>
            <w:tcW w:w="2222" w:type="dxa"/>
            <w:noWrap w:val="0"/>
            <w:vAlign w:val="center"/>
          </w:tcPr>
          <w:p w14:paraId="3E4B6FD7">
            <w:pPr>
              <w:rPr>
                <w:rFonts w:ascii="宋体" w:hAnsi="宋体" w:cs="宋体"/>
                <w:color w:val="auto"/>
                <w:sz w:val="24"/>
                <w:szCs w:val="24"/>
                <w:highlight w:val="none"/>
              </w:rPr>
            </w:pPr>
          </w:p>
        </w:tc>
        <w:tc>
          <w:tcPr>
            <w:tcW w:w="1978" w:type="dxa"/>
            <w:noWrap w:val="0"/>
            <w:vAlign w:val="center"/>
          </w:tcPr>
          <w:p w14:paraId="03CBB112">
            <w:pPr>
              <w:rPr>
                <w:rFonts w:ascii="宋体" w:hAnsi="宋体" w:cs="宋体"/>
                <w:color w:val="auto"/>
                <w:sz w:val="24"/>
                <w:szCs w:val="24"/>
                <w:highlight w:val="none"/>
              </w:rPr>
            </w:pPr>
          </w:p>
        </w:tc>
      </w:tr>
    </w:tbl>
    <w:p w14:paraId="0AEA6A46">
      <w:pPr>
        <w:pStyle w:val="3"/>
        <w:adjustRightInd w:val="0"/>
        <w:snapToGrid w:val="0"/>
        <w:spacing w:before="156" w:beforeLines="50" w:after="156" w:afterLines="50" w:line="440" w:lineRule="exact"/>
        <w:ind w:left="0" w:leftChars="0" w:firstLine="0" w:firstLineChars="0"/>
        <w:jc w:val="center"/>
        <w:outlineLvl w:val="1"/>
        <w:rPr>
          <w:rFonts w:hint="eastAsia" w:ascii="宋体" w:hAnsi="宋体" w:eastAsia="宋体" w:cs="宋体"/>
          <w:color w:val="auto"/>
          <w:kern w:val="2"/>
          <w:sz w:val="30"/>
          <w:szCs w:val="30"/>
          <w:highlight w:val="none"/>
        </w:rPr>
      </w:pPr>
      <w:r>
        <w:rPr>
          <w:rFonts w:hint="eastAsia" w:ascii="宋体" w:hAnsi="宋体" w:cs="宋体"/>
          <w:color w:val="auto"/>
          <w:kern w:val="2"/>
          <w:sz w:val="24"/>
          <w:szCs w:val="24"/>
          <w:highlight w:val="none"/>
          <w:lang w:val="en-US" w:eastAsia="zh-CN"/>
        </w:rPr>
        <w:br w:type="page"/>
      </w:r>
      <w:r>
        <w:rPr>
          <w:rFonts w:hint="eastAsia" w:ascii="宋体" w:hAnsi="宋体" w:eastAsia="宋体" w:cs="宋体"/>
          <w:color w:val="auto"/>
          <w:kern w:val="2"/>
          <w:sz w:val="30"/>
          <w:szCs w:val="30"/>
          <w:highlight w:val="none"/>
          <w:lang w:val="en-US" w:eastAsia="zh-CN"/>
        </w:rPr>
        <w:t>七</w:t>
      </w:r>
      <w:r>
        <w:rPr>
          <w:rFonts w:hint="eastAsia" w:ascii="宋体" w:hAnsi="宋体" w:eastAsia="宋体" w:cs="宋体"/>
          <w:color w:val="auto"/>
          <w:kern w:val="2"/>
          <w:sz w:val="30"/>
          <w:szCs w:val="30"/>
          <w:highlight w:val="none"/>
          <w:lang w:eastAsia="zh-CN"/>
        </w:rPr>
        <w:t>、</w:t>
      </w:r>
      <w:r>
        <w:rPr>
          <w:rFonts w:hint="eastAsia" w:ascii="宋体" w:hAnsi="宋体" w:eastAsia="宋体" w:cs="宋体"/>
          <w:color w:val="auto"/>
          <w:kern w:val="2"/>
          <w:sz w:val="30"/>
          <w:szCs w:val="30"/>
          <w:highlight w:val="none"/>
        </w:rPr>
        <w:t>其他资料</w:t>
      </w:r>
    </w:p>
    <w:p w14:paraId="09B380FE">
      <w:pPr>
        <w:adjustRightInd w:val="0"/>
        <w:snapToGrid w:val="0"/>
        <w:spacing w:before="156" w:beforeLines="50" w:after="156" w:afterLines="50" w:line="440" w:lineRule="exact"/>
        <w:jc w:val="center"/>
        <w:outlineLvl w:val="9"/>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eastAsia="zh-CN"/>
        </w:rPr>
        <w:t>谈判</w:t>
      </w:r>
      <w:r>
        <w:rPr>
          <w:rFonts w:hint="eastAsia" w:ascii="宋体" w:hAnsi="宋体" w:eastAsia="宋体" w:cs="宋体"/>
          <w:color w:val="auto"/>
          <w:kern w:val="2"/>
          <w:sz w:val="24"/>
          <w:szCs w:val="24"/>
          <w:highlight w:val="none"/>
        </w:rPr>
        <w:t>文件要求提交的</w:t>
      </w:r>
      <w:r>
        <w:rPr>
          <w:rFonts w:hint="eastAsia" w:ascii="宋体" w:hAnsi="宋体" w:cs="宋体"/>
          <w:color w:val="auto"/>
          <w:kern w:val="2"/>
          <w:sz w:val="24"/>
          <w:szCs w:val="24"/>
          <w:highlight w:val="none"/>
          <w:lang w:val="en-US" w:eastAsia="zh-CN"/>
        </w:rPr>
        <w:t>技术标评审资料</w:t>
      </w:r>
      <w:r>
        <w:rPr>
          <w:rFonts w:hint="eastAsia" w:ascii="宋体" w:hAnsi="宋体" w:eastAsia="宋体" w:cs="宋体"/>
          <w:color w:val="auto"/>
          <w:kern w:val="2"/>
          <w:sz w:val="24"/>
          <w:szCs w:val="24"/>
          <w:highlight w:val="none"/>
          <w:lang w:val="en-US" w:eastAsia="zh-CN"/>
        </w:rPr>
        <w:t>以及供应商认为应当提交的其他资料。</w:t>
      </w:r>
      <w:bookmarkEnd w:id="66"/>
      <w:bookmarkEnd w:id="67"/>
      <w:bookmarkEnd w:id="68"/>
    </w:p>
    <w:p w14:paraId="5F5741E1">
      <w:pPr>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br w:type="page"/>
      </w:r>
    </w:p>
    <w:p w14:paraId="09F45BA2">
      <w:pPr>
        <w:keepNext w:val="0"/>
        <w:keepLines w:val="0"/>
        <w:pageBreakBefore w:val="0"/>
        <w:widowControl w:val="0"/>
        <w:kinsoku/>
        <w:wordWrap/>
        <w:overflowPunct/>
        <w:topLinePunct w:val="0"/>
        <w:autoSpaceDE w:val="0"/>
        <w:autoSpaceDN w:val="0"/>
        <w:bidi w:val="0"/>
        <w:adjustRightInd w:val="0"/>
        <w:snapToGrid w:val="0"/>
        <w:ind w:right="0"/>
        <w:jc w:val="center"/>
        <w:textAlignment w:val="auto"/>
        <w:outlineLvl w:val="1"/>
        <w:rPr>
          <w:rFonts w:hint="eastAsia" w:ascii="黑体" w:hAnsi="黑体" w:eastAsia="黑体" w:cs="黑体"/>
          <w:b/>
          <w:bCs/>
          <w:color w:val="auto"/>
          <w:sz w:val="30"/>
          <w:szCs w:val="30"/>
          <w:highlight w:val="none"/>
          <w:lang w:val="zh-CN" w:bidi="zh-CN"/>
        </w:rPr>
      </w:pPr>
      <w:r>
        <w:rPr>
          <w:rFonts w:hint="eastAsia" w:ascii="黑体" w:hAnsi="黑体" w:eastAsia="黑体" w:cs="黑体"/>
          <w:b/>
          <w:bCs/>
          <w:color w:val="auto"/>
          <w:kern w:val="2"/>
          <w:sz w:val="30"/>
          <w:szCs w:val="30"/>
          <w:highlight w:val="none"/>
          <w:lang w:val="en-US" w:eastAsia="zh-CN" w:bidi="ar-SA"/>
        </w:rPr>
        <w:t>最终</w:t>
      </w:r>
      <w:r>
        <w:rPr>
          <w:rFonts w:hint="eastAsia" w:ascii="黑体" w:hAnsi="黑体" w:eastAsia="黑体" w:cs="黑体"/>
          <w:b/>
          <w:bCs/>
          <w:color w:val="auto"/>
          <w:kern w:val="2"/>
          <w:sz w:val="30"/>
          <w:szCs w:val="30"/>
          <w:highlight w:val="none"/>
          <w:lang w:val="zh-CN" w:eastAsia="zh-CN" w:bidi="ar-SA"/>
        </w:rPr>
        <w:t>承</w:t>
      </w:r>
      <w:r>
        <w:rPr>
          <w:rFonts w:hint="eastAsia" w:ascii="黑体" w:hAnsi="黑体" w:eastAsia="黑体" w:cs="黑体"/>
          <w:b/>
          <w:bCs/>
          <w:color w:val="auto"/>
          <w:sz w:val="30"/>
          <w:szCs w:val="30"/>
          <w:highlight w:val="none"/>
          <w:lang w:val="zh-CN" w:bidi="zh-CN"/>
        </w:rPr>
        <w:t>诺报价表</w:t>
      </w:r>
    </w:p>
    <w:p w14:paraId="314F0EE4">
      <w:pPr>
        <w:autoSpaceDE w:val="0"/>
        <w:autoSpaceDN w:val="0"/>
        <w:spacing w:before="9"/>
        <w:jc w:val="left"/>
        <w:rPr>
          <w:rFonts w:ascii="宋体" w:hAnsi="宋体" w:cs="宋体"/>
          <w:b/>
          <w:color w:val="auto"/>
          <w:sz w:val="24"/>
          <w:szCs w:val="24"/>
          <w:highlight w:val="none"/>
          <w:lang w:val="zh-CN" w:bidi="zh-CN"/>
        </w:rPr>
      </w:pPr>
    </w:p>
    <w:p w14:paraId="64A1F001">
      <w:pPr>
        <w:tabs>
          <w:tab w:val="left" w:pos="1663"/>
        </w:tabs>
        <w:autoSpaceDE w:val="0"/>
        <w:autoSpaceDN w:val="0"/>
        <w:ind w:left="96"/>
        <w:jc w:val="center"/>
        <w:outlineLvl w:val="9"/>
        <w:rPr>
          <w:rFonts w:ascii="宋体" w:hAnsi="宋体" w:cs="宋体"/>
          <w:b/>
          <w:bCs/>
          <w:color w:val="auto"/>
          <w:sz w:val="24"/>
          <w:szCs w:val="24"/>
          <w:highlight w:val="none"/>
          <w:lang w:val="zh-CN" w:bidi="zh-CN"/>
        </w:rPr>
      </w:pPr>
      <w:r>
        <w:rPr>
          <w:rFonts w:ascii="宋体" w:hAnsi="宋体" w:cs="宋体"/>
          <w:b/>
          <w:bCs/>
          <w:color w:val="auto"/>
          <w:sz w:val="24"/>
          <w:szCs w:val="24"/>
          <w:highlight w:val="none"/>
          <w:lang w:val="zh-CN" w:bidi="zh-CN"/>
        </w:rPr>
        <w:t>（某项目第</w:t>
      </w:r>
      <w:r>
        <w:rPr>
          <w:rFonts w:hint="eastAsia" w:ascii="宋体" w:hAnsi="宋体" w:cs="宋体"/>
          <w:b/>
          <w:bCs/>
          <w:color w:val="auto"/>
          <w:sz w:val="24"/>
          <w:szCs w:val="24"/>
          <w:highlight w:val="none"/>
          <w:u w:val="single"/>
          <w:lang w:val="en-US" w:bidi="zh-CN"/>
        </w:rPr>
        <w:tab/>
      </w:r>
      <w:r>
        <w:rPr>
          <w:rFonts w:hint="eastAsia" w:ascii="宋体" w:hAnsi="宋体" w:cs="宋体"/>
          <w:b/>
          <w:bCs/>
          <w:color w:val="auto"/>
          <w:sz w:val="24"/>
          <w:szCs w:val="24"/>
          <w:highlight w:val="none"/>
          <w:u w:val="single"/>
          <w:lang w:val="en-US" w:bidi="zh-CN"/>
        </w:rPr>
        <w:tab/>
      </w:r>
      <w:r>
        <w:rPr>
          <w:rFonts w:hint="eastAsia" w:ascii="宋体" w:hAnsi="宋体" w:cs="宋体"/>
          <w:b/>
          <w:bCs/>
          <w:color w:val="auto"/>
          <w:sz w:val="24"/>
          <w:szCs w:val="24"/>
          <w:highlight w:val="none"/>
          <w:u w:val="single"/>
          <w:lang w:val="en-US" w:bidi="zh-CN"/>
        </w:rPr>
        <w:tab/>
      </w:r>
      <w:r>
        <w:rPr>
          <w:rFonts w:ascii="宋体" w:hAnsi="宋体" w:cs="宋体"/>
          <w:b/>
          <w:bCs/>
          <w:color w:val="auto"/>
          <w:sz w:val="24"/>
          <w:szCs w:val="24"/>
          <w:highlight w:val="none"/>
          <w:lang w:val="zh-CN" w:bidi="zh-CN"/>
        </w:rPr>
        <w:t>次报价书）</w:t>
      </w:r>
    </w:p>
    <w:p w14:paraId="686BD2C8">
      <w:pPr>
        <w:keepNext w:val="0"/>
        <w:keepLines w:val="0"/>
        <w:pageBreakBefore w:val="0"/>
        <w:widowControl w:val="0"/>
        <w:tabs>
          <w:tab w:val="left" w:pos="2992"/>
        </w:tabs>
        <w:kinsoku/>
        <w:wordWrap/>
        <w:overflowPunct/>
        <w:topLinePunct w:val="0"/>
        <w:autoSpaceDE w:val="0"/>
        <w:autoSpaceDN w:val="0"/>
        <w:bidi w:val="0"/>
        <w:adjustRightInd/>
        <w:snapToGrid/>
        <w:spacing w:line="360" w:lineRule="auto"/>
        <w:ind w:left="0" w:right="0"/>
        <w:jc w:val="left"/>
        <w:textAlignment w:val="auto"/>
        <w:outlineLvl w:val="9"/>
        <w:rPr>
          <w:rFonts w:ascii="宋体" w:hAnsi="宋体" w:cs="宋体"/>
          <w:b/>
          <w:bCs/>
          <w:color w:val="auto"/>
          <w:sz w:val="24"/>
          <w:szCs w:val="24"/>
          <w:highlight w:val="none"/>
          <w:lang w:val="zh-CN" w:bidi="zh-CN"/>
        </w:rPr>
      </w:pPr>
    </w:p>
    <w:p w14:paraId="70468AF0">
      <w:pPr>
        <w:keepNext w:val="0"/>
        <w:keepLines w:val="0"/>
        <w:pageBreakBefore w:val="0"/>
        <w:widowControl w:val="0"/>
        <w:tabs>
          <w:tab w:val="left" w:pos="2992"/>
        </w:tabs>
        <w:kinsoku/>
        <w:wordWrap/>
        <w:overflowPunct/>
        <w:topLinePunct w:val="0"/>
        <w:autoSpaceDE w:val="0"/>
        <w:autoSpaceDN w:val="0"/>
        <w:bidi w:val="0"/>
        <w:adjustRightInd/>
        <w:snapToGrid/>
        <w:spacing w:line="360" w:lineRule="auto"/>
        <w:ind w:left="0" w:right="0"/>
        <w:jc w:val="left"/>
        <w:textAlignment w:val="auto"/>
        <w:outlineLvl w:val="9"/>
        <w:rPr>
          <w:rFonts w:hint="default" w:ascii="宋体" w:hAnsi="宋体" w:cs="宋体"/>
          <w:b/>
          <w:bCs/>
          <w:color w:val="auto"/>
          <w:sz w:val="24"/>
          <w:szCs w:val="24"/>
          <w:highlight w:val="none"/>
          <w:u w:val="single"/>
          <w:lang w:val="en-US" w:bidi="zh-CN"/>
        </w:rPr>
      </w:pPr>
      <w:r>
        <w:rPr>
          <w:rFonts w:ascii="宋体" w:hAnsi="宋体" w:cs="宋体"/>
          <w:b/>
          <w:bCs/>
          <w:color w:val="auto"/>
          <w:sz w:val="24"/>
          <w:szCs w:val="24"/>
          <w:highlight w:val="none"/>
          <w:lang w:val="zh-CN" w:bidi="zh-CN"/>
        </w:rPr>
        <w:t>项目名称：</w:t>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p>
    <w:p w14:paraId="64EB8FBE">
      <w:pPr>
        <w:keepNext w:val="0"/>
        <w:keepLines w:val="0"/>
        <w:pageBreakBefore w:val="0"/>
        <w:widowControl w:val="0"/>
        <w:tabs>
          <w:tab w:val="left" w:pos="2992"/>
        </w:tabs>
        <w:kinsoku/>
        <w:wordWrap/>
        <w:overflowPunct/>
        <w:topLinePunct w:val="0"/>
        <w:autoSpaceDE w:val="0"/>
        <w:autoSpaceDN w:val="0"/>
        <w:bidi w:val="0"/>
        <w:adjustRightInd/>
        <w:snapToGrid/>
        <w:spacing w:line="360" w:lineRule="auto"/>
        <w:ind w:left="0" w:right="0"/>
        <w:jc w:val="left"/>
        <w:textAlignment w:val="auto"/>
        <w:outlineLvl w:val="9"/>
        <w:rPr>
          <w:rFonts w:hint="eastAsia" w:ascii="宋体" w:hAnsi="宋体" w:cs="宋体"/>
          <w:b/>
          <w:bCs/>
          <w:color w:val="auto"/>
          <w:spacing w:val="119"/>
          <w:sz w:val="24"/>
          <w:szCs w:val="24"/>
          <w:highlight w:val="none"/>
          <w:u w:val="single"/>
          <w:lang w:val="en-US" w:bidi="zh-CN"/>
        </w:rPr>
      </w:pPr>
      <w:r>
        <w:rPr>
          <w:rFonts w:ascii="宋体" w:hAnsi="宋体" w:cs="宋体"/>
          <w:b/>
          <w:bCs/>
          <w:color w:val="auto"/>
          <w:sz w:val="24"/>
          <w:szCs w:val="24"/>
          <w:highlight w:val="none"/>
          <w:lang w:val="zh-CN" w:bidi="zh-CN"/>
        </w:rPr>
        <w:t>项目编号：</w:t>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r>
        <w:rPr>
          <w:rFonts w:hint="eastAsia" w:ascii="宋体" w:hAnsi="宋体" w:cs="宋体"/>
          <w:b/>
          <w:bCs/>
          <w:color w:val="auto"/>
          <w:spacing w:val="119"/>
          <w:sz w:val="24"/>
          <w:szCs w:val="24"/>
          <w:highlight w:val="none"/>
          <w:u w:val="single"/>
          <w:lang w:val="en-US" w:bidi="zh-CN"/>
        </w:rPr>
        <w:tab/>
      </w:r>
    </w:p>
    <w:p w14:paraId="13A09592">
      <w:pPr>
        <w:keepNext w:val="0"/>
        <w:keepLines w:val="0"/>
        <w:pageBreakBefore w:val="0"/>
        <w:widowControl w:val="0"/>
        <w:tabs>
          <w:tab w:val="left" w:pos="2992"/>
        </w:tabs>
        <w:kinsoku/>
        <w:wordWrap/>
        <w:overflowPunct/>
        <w:topLinePunct w:val="0"/>
        <w:autoSpaceDE w:val="0"/>
        <w:autoSpaceDN w:val="0"/>
        <w:bidi w:val="0"/>
        <w:adjustRightInd/>
        <w:snapToGrid/>
        <w:spacing w:line="360" w:lineRule="auto"/>
        <w:ind w:left="0" w:right="0"/>
        <w:jc w:val="left"/>
        <w:textAlignment w:val="auto"/>
        <w:outlineLvl w:val="9"/>
        <w:rPr>
          <w:rFonts w:hint="default" w:ascii="宋体" w:hAnsi="宋体" w:cs="宋体"/>
          <w:b/>
          <w:bCs/>
          <w:color w:val="auto"/>
          <w:spacing w:val="119"/>
          <w:sz w:val="24"/>
          <w:szCs w:val="24"/>
          <w:highlight w:val="none"/>
          <w:u w:val="single"/>
          <w:lang w:val="en-US" w:bidi="zh-CN"/>
        </w:rPr>
      </w:pP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4"/>
        <w:gridCol w:w="2902"/>
        <w:gridCol w:w="2967"/>
        <w:gridCol w:w="1730"/>
      </w:tblGrid>
      <w:tr w14:paraId="1DD00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4" w:type="dxa"/>
          </w:tcPr>
          <w:p w14:paraId="072AE5F4">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cs="宋体"/>
                <w:b/>
                <w:bCs/>
                <w:color w:val="auto"/>
                <w:sz w:val="21"/>
                <w:szCs w:val="21"/>
                <w:highlight w:val="none"/>
                <w:vertAlign w:val="baseline"/>
                <w:lang w:val="en-US" w:eastAsia="zh-CN"/>
              </w:rPr>
              <w:t>序号</w:t>
            </w:r>
          </w:p>
        </w:tc>
        <w:tc>
          <w:tcPr>
            <w:tcW w:w="2902" w:type="dxa"/>
          </w:tcPr>
          <w:p w14:paraId="63A3F698">
            <w:pPr>
              <w:spacing w:line="360" w:lineRule="auto"/>
              <w:jc w:val="center"/>
              <w:rPr>
                <w:rFonts w:hint="default" w:ascii="宋体" w:hAnsi="宋体" w:eastAsia="宋体" w:cs="宋体"/>
                <w:b/>
                <w:bCs/>
                <w:color w:val="auto"/>
                <w:sz w:val="21"/>
                <w:szCs w:val="21"/>
                <w:highlight w:val="none"/>
                <w:vertAlign w:val="baseline"/>
                <w:lang w:val="en-US" w:eastAsia="zh-CN"/>
              </w:rPr>
            </w:pPr>
            <w:r>
              <w:rPr>
                <w:rFonts w:hint="eastAsia" w:ascii="宋体" w:hAnsi="宋体" w:cs="宋体"/>
                <w:b/>
                <w:bCs/>
                <w:color w:val="auto"/>
                <w:sz w:val="21"/>
                <w:szCs w:val="21"/>
                <w:highlight w:val="none"/>
                <w:vertAlign w:val="baseline"/>
                <w:lang w:val="en-US" w:eastAsia="zh-CN"/>
              </w:rPr>
              <w:t>服务内容</w:t>
            </w:r>
          </w:p>
        </w:tc>
        <w:tc>
          <w:tcPr>
            <w:tcW w:w="2967" w:type="dxa"/>
          </w:tcPr>
          <w:p w14:paraId="23A66C0C">
            <w:pPr>
              <w:spacing w:line="360" w:lineRule="auto"/>
              <w:jc w:val="center"/>
              <w:rPr>
                <w:rFonts w:hint="default" w:ascii="宋体" w:hAnsi="宋体" w:eastAsia="宋体" w:cs="宋体"/>
                <w:b/>
                <w:bCs/>
                <w:color w:val="auto"/>
                <w:sz w:val="21"/>
                <w:szCs w:val="21"/>
                <w:highlight w:val="none"/>
                <w:vertAlign w:val="baseline"/>
                <w:lang w:val="en-US" w:eastAsia="zh-CN"/>
              </w:rPr>
            </w:pPr>
            <w:r>
              <w:rPr>
                <w:rFonts w:hint="eastAsia" w:ascii="宋体" w:hAnsi="宋体" w:cs="宋体"/>
                <w:b/>
                <w:bCs/>
                <w:color w:val="auto"/>
                <w:sz w:val="21"/>
                <w:szCs w:val="21"/>
                <w:highlight w:val="none"/>
                <w:vertAlign w:val="baseline"/>
                <w:lang w:val="en-US" w:eastAsia="zh-CN"/>
              </w:rPr>
              <w:t>投标报价（元/年）</w:t>
            </w:r>
          </w:p>
        </w:tc>
        <w:tc>
          <w:tcPr>
            <w:tcW w:w="1730" w:type="dxa"/>
          </w:tcPr>
          <w:p w14:paraId="22B59CBA">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cs="宋体"/>
                <w:b/>
                <w:bCs/>
                <w:color w:val="auto"/>
                <w:sz w:val="21"/>
                <w:szCs w:val="21"/>
                <w:highlight w:val="none"/>
                <w:vertAlign w:val="baseline"/>
                <w:lang w:val="en-US" w:eastAsia="zh-CN"/>
              </w:rPr>
              <w:t>备注</w:t>
            </w:r>
          </w:p>
        </w:tc>
      </w:tr>
      <w:tr w14:paraId="1AC38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294" w:type="dxa"/>
            <w:vAlign w:val="center"/>
          </w:tcPr>
          <w:p w14:paraId="39E91BE1">
            <w:pPr>
              <w:spacing w:line="360" w:lineRule="auto"/>
              <w:jc w:val="center"/>
              <w:rPr>
                <w:rFonts w:hint="eastAsia" w:ascii="宋体" w:hAnsi="宋体" w:eastAsia="宋体" w:cs="宋体"/>
                <w:color w:val="auto"/>
                <w:sz w:val="21"/>
                <w:szCs w:val="21"/>
                <w:highlight w:val="none"/>
                <w:vertAlign w:val="baseline"/>
                <w:lang w:val="en-US" w:eastAsia="zh-CN"/>
              </w:rPr>
            </w:pPr>
            <w:r>
              <w:rPr>
                <w:rFonts w:hint="eastAsia" w:ascii="宋体" w:hAnsi="宋体" w:cs="宋体"/>
                <w:color w:val="auto"/>
                <w:sz w:val="21"/>
                <w:szCs w:val="21"/>
                <w:highlight w:val="none"/>
                <w:vertAlign w:val="baseline"/>
                <w:lang w:val="en-US" w:eastAsia="zh-CN"/>
              </w:rPr>
              <w:t>1</w:t>
            </w:r>
          </w:p>
        </w:tc>
        <w:tc>
          <w:tcPr>
            <w:tcW w:w="2902" w:type="dxa"/>
            <w:vAlign w:val="center"/>
          </w:tcPr>
          <w:p w14:paraId="3A5BE2A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1"/>
                <w:szCs w:val="21"/>
                <w:highlight w:val="none"/>
                <w:vertAlign w:val="baseline"/>
              </w:rPr>
            </w:pPr>
            <w:r>
              <w:rPr>
                <w:rFonts w:hint="eastAsia" w:ascii="宋体" w:hAnsi="宋体" w:eastAsia="宋体" w:cs="宋体"/>
                <w:color w:val="auto"/>
                <w:sz w:val="21"/>
                <w:szCs w:val="21"/>
                <w:highlight w:val="none"/>
                <w:vertAlign w:val="baseline"/>
              </w:rPr>
              <w:t>霍山东大街特色街</w:t>
            </w:r>
          </w:p>
          <w:p w14:paraId="6995247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1"/>
                <w:szCs w:val="21"/>
                <w:highlight w:val="none"/>
                <w:vertAlign w:val="baseline"/>
              </w:rPr>
            </w:pPr>
            <w:r>
              <w:rPr>
                <w:rFonts w:hint="eastAsia" w:ascii="宋体" w:hAnsi="宋体" w:eastAsia="宋体" w:cs="宋体"/>
                <w:color w:val="auto"/>
                <w:sz w:val="21"/>
                <w:szCs w:val="21"/>
                <w:highlight w:val="none"/>
                <w:vertAlign w:val="baseline"/>
              </w:rPr>
              <w:t>区商业消防维保</w:t>
            </w:r>
          </w:p>
        </w:tc>
        <w:tc>
          <w:tcPr>
            <w:tcW w:w="2967" w:type="dxa"/>
            <w:vAlign w:val="center"/>
          </w:tcPr>
          <w:p w14:paraId="759D3CFD">
            <w:pPr>
              <w:spacing w:line="360" w:lineRule="auto"/>
              <w:jc w:val="center"/>
              <w:rPr>
                <w:rFonts w:hint="eastAsia" w:ascii="宋体" w:hAnsi="宋体" w:eastAsia="宋体" w:cs="宋体"/>
                <w:color w:val="auto"/>
                <w:sz w:val="21"/>
                <w:szCs w:val="21"/>
                <w:highlight w:val="none"/>
                <w:vertAlign w:val="baseline"/>
              </w:rPr>
            </w:pPr>
          </w:p>
        </w:tc>
        <w:tc>
          <w:tcPr>
            <w:tcW w:w="1730" w:type="dxa"/>
            <w:vAlign w:val="center"/>
          </w:tcPr>
          <w:p w14:paraId="4D312FD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highlight w:val="none"/>
                <w:vertAlign w:val="baseline"/>
              </w:rPr>
            </w:pPr>
            <w:r>
              <w:rPr>
                <w:rFonts w:hint="eastAsia" w:ascii="宋体" w:hAnsi="宋体" w:cs="宋体"/>
                <w:color w:val="auto"/>
                <w:sz w:val="21"/>
                <w:szCs w:val="21"/>
                <w:highlight w:val="none"/>
                <w:lang w:val="en-US" w:eastAsia="zh-CN"/>
              </w:rPr>
              <w:t>此项报价不得超过31000元/年</w:t>
            </w:r>
          </w:p>
        </w:tc>
      </w:tr>
      <w:tr w14:paraId="12D01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294" w:type="dxa"/>
            <w:vAlign w:val="center"/>
          </w:tcPr>
          <w:p w14:paraId="6BEE0D66">
            <w:pPr>
              <w:spacing w:line="360" w:lineRule="auto"/>
              <w:jc w:val="center"/>
              <w:rPr>
                <w:rFonts w:hint="eastAsia" w:ascii="宋体" w:hAnsi="宋体" w:eastAsia="宋体" w:cs="宋体"/>
                <w:color w:val="auto"/>
                <w:sz w:val="21"/>
                <w:szCs w:val="21"/>
                <w:highlight w:val="none"/>
                <w:vertAlign w:val="baseline"/>
                <w:lang w:val="en-US" w:eastAsia="zh-CN"/>
              </w:rPr>
            </w:pPr>
            <w:r>
              <w:rPr>
                <w:rFonts w:hint="eastAsia" w:ascii="宋体" w:hAnsi="宋体" w:cs="宋体"/>
                <w:color w:val="auto"/>
                <w:sz w:val="21"/>
                <w:szCs w:val="21"/>
                <w:highlight w:val="none"/>
                <w:vertAlign w:val="baseline"/>
                <w:lang w:val="en-US" w:eastAsia="zh-CN"/>
              </w:rPr>
              <w:t>2</w:t>
            </w:r>
          </w:p>
        </w:tc>
        <w:tc>
          <w:tcPr>
            <w:tcW w:w="2902" w:type="dxa"/>
            <w:vAlign w:val="center"/>
          </w:tcPr>
          <w:p w14:paraId="465CC30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sz w:val="21"/>
                <w:szCs w:val="21"/>
                <w:highlight w:val="none"/>
                <w:lang w:val="en-US" w:eastAsia="zh-CN"/>
              </w:rPr>
            </w:pPr>
            <w:r>
              <w:rPr>
                <w:rFonts w:hint="default" w:ascii="宋体" w:hAnsi="宋体" w:eastAsia="宋体" w:cs="宋体"/>
                <w:sz w:val="21"/>
                <w:szCs w:val="21"/>
                <w:highlight w:val="none"/>
                <w:lang w:val="en-US" w:eastAsia="zh-CN"/>
              </w:rPr>
              <w:t>霍山东大街特色街区</w:t>
            </w:r>
          </w:p>
          <w:p w14:paraId="78450B9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1"/>
                <w:szCs w:val="21"/>
                <w:highlight w:val="none"/>
                <w:vertAlign w:val="baseline"/>
              </w:rPr>
            </w:pPr>
            <w:r>
              <w:rPr>
                <w:rFonts w:hint="default" w:ascii="宋体" w:hAnsi="宋体" w:eastAsia="宋体" w:cs="宋体"/>
                <w:sz w:val="21"/>
                <w:szCs w:val="21"/>
                <w:highlight w:val="none"/>
                <w:lang w:val="en-US" w:eastAsia="zh-CN"/>
              </w:rPr>
              <w:t>住宅消防维保</w:t>
            </w:r>
          </w:p>
        </w:tc>
        <w:tc>
          <w:tcPr>
            <w:tcW w:w="2967" w:type="dxa"/>
            <w:vAlign w:val="center"/>
          </w:tcPr>
          <w:p w14:paraId="48AB3A31">
            <w:pPr>
              <w:spacing w:line="360" w:lineRule="auto"/>
              <w:jc w:val="center"/>
              <w:rPr>
                <w:rFonts w:hint="eastAsia" w:ascii="宋体" w:hAnsi="宋体" w:eastAsia="宋体" w:cs="宋体"/>
                <w:color w:val="auto"/>
                <w:sz w:val="21"/>
                <w:szCs w:val="21"/>
                <w:highlight w:val="none"/>
                <w:vertAlign w:val="baseline"/>
              </w:rPr>
            </w:pPr>
          </w:p>
        </w:tc>
        <w:tc>
          <w:tcPr>
            <w:tcW w:w="1730" w:type="dxa"/>
            <w:vMerge w:val="restart"/>
            <w:vAlign w:val="center"/>
          </w:tcPr>
          <w:p w14:paraId="6EE4644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highlight w:val="none"/>
                <w:vertAlign w:val="baseline"/>
              </w:rPr>
            </w:pPr>
            <w:r>
              <w:rPr>
                <w:rFonts w:hint="eastAsia" w:ascii="宋体" w:hAnsi="宋体" w:cs="宋体"/>
                <w:color w:val="auto"/>
                <w:sz w:val="21"/>
                <w:szCs w:val="21"/>
                <w:highlight w:val="none"/>
                <w:vertAlign w:val="baseline"/>
                <w:lang w:val="en-US" w:eastAsia="zh-CN"/>
              </w:rPr>
              <w:t>此两项分别报价，合计不超过34000元/年</w:t>
            </w:r>
          </w:p>
        </w:tc>
      </w:tr>
      <w:tr w14:paraId="42046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294" w:type="dxa"/>
            <w:vAlign w:val="center"/>
          </w:tcPr>
          <w:p w14:paraId="17CA4EFC">
            <w:pPr>
              <w:spacing w:line="360" w:lineRule="auto"/>
              <w:jc w:val="center"/>
              <w:rPr>
                <w:rFonts w:hint="eastAsia" w:ascii="宋体" w:hAnsi="宋体" w:eastAsia="宋体" w:cs="宋体"/>
                <w:color w:val="auto"/>
                <w:sz w:val="21"/>
                <w:szCs w:val="21"/>
                <w:highlight w:val="none"/>
                <w:vertAlign w:val="baseline"/>
                <w:lang w:val="en-US" w:eastAsia="zh-CN"/>
              </w:rPr>
            </w:pPr>
            <w:r>
              <w:rPr>
                <w:rFonts w:hint="eastAsia" w:ascii="宋体" w:hAnsi="宋体" w:cs="宋体"/>
                <w:color w:val="auto"/>
                <w:sz w:val="21"/>
                <w:szCs w:val="21"/>
                <w:highlight w:val="none"/>
                <w:vertAlign w:val="baseline"/>
                <w:lang w:val="en-US" w:eastAsia="zh-CN"/>
              </w:rPr>
              <w:t>3</w:t>
            </w:r>
          </w:p>
        </w:tc>
        <w:tc>
          <w:tcPr>
            <w:tcW w:w="2902" w:type="dxa"/>
            <w:vAlign w:val="center"/>
          </w:tcPr>
          <w:p w14:paraId="378B143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sz w:val="21"/>
                <w:szCs w:val="21"/>
                <w:highlight w:val="none"/>
                <w:lang w:val="en-US" w:eastAsia="zh-CN"/>
              </w:rPr>
            </w:pPr>
            <w:r>
              <w:rPr>
                <w:rFonts w:hint="default" w:ascii="宋体" w:hAnsi="宋体" w:eastAsia="宋体" w:cs="宋体"/>
                <w:sz w:val="21"/>
                <w:szCs w:val="21"/>
                <w:highlight w:val="none"/>
                <w:lang w:val="en-US" w:eastAsia="zh-CN"/>
              </w:rPr>
              <w:t>霍山县大别山两山学院</w:t>
            </w:r>
          </w:p>
          <w:p w14:paraId="0C15B40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color w:val="auto"/>
                <w:sz w:val="21"/>
                <w:szCs w:val="21"/>
                <w:highlight w:val="none"/>
                <w:vertAlign w:val="baseline"/>
              </w:rPr>
            </w:pPr>
            <w:r>
              <w:rPr>
                <w:rFonts w:hint="default" w:ascii="宋体" w:hAnsi="宋体" w:eastAsia="宋体" w:cs="宋体"/>
                <w:sz w:val="21"/>
                <w:szCs w:val="21"/>
                <w:highlight w:val="none"/>
                <w:lang w:val="en-US" w:eastAsia="zh-CN"/>
              </w:rPr>
              <w:t>消防维保</w:t>
            </w:r>
          </w:p>
        </w:tc>
        <w:tc>
          <w:tcPr>
            <w:tcW w:w="2967" w:type="dxa"/>
            <w:vAlign w:val="center"/>
          </w:tcPr>
          <w:p w14:paraId="0D0176EB">
            <w:pPr>
              <w:spacing w:line="360" w:lineRule="auto"/>
              <w:jc w:val="center"/>
              <w:rPr>
                <w:rFonts w:hint="eastAsia" w:ascii="宋体" w:hAnsi="宋体" w:eastAsia="宋体" w:cs="宋体"/>
                <w:color w:val="auto"/>
                <w:sz w:val="21"/>
                <w:szCs w:val="21"/>
                <w:highlight w:val="none"/>
                <w:vertAlign w:val="baseline"/>
              </w:rPr>
            </w:pPr>
          </w:p>
        </w:tc>
        <w:tc>
          <w:tcPr>
            <w:tcW w:w="1730" w:type="dxa"/>
            <w:vMerge w:val="continue"/>
            <w:tcBorders/>
            <w:vAlign w:val="center"/>
          </w:tcPr>
          <w:p w14:paraId="66AFE336">
            <w:pPr>
              <w:spacing w:line="360" w:lineRule="auto"/>
              <w:jc w:val="center"/>
              <w:rPr>
                <w:rFonts w:hint="eastAsia" w:ascii="宋体" w:hAnsi="宋体" w:eastAsia="宋体" w:cs="宋体"/>
                <w:color w:val="auto"/>
                <w:sz w:val="21"/>
                <w:szCs w:val="21"/>
                <w:highlight w:val="none"/>
                <w:vertAlign w:val="baseline"/>
              </w:rPr>
            </w:pPr>
          </w:p>
        </w:tc>
      </w:tr>
      <w:tr w14:paraId="01808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96" w:type="dxa"/>
            <w:gridSpan w:val="2"/>
            <w:vAlign w:val="center"/>
          </w:tcPr>
          <w:p w14:paraId="5EB4A331">
            <w:pPr>
              <w:spacing w:line="360" w:lineRule="auto"/>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cs="宋体"/>
                <w:b/>
                <w:bCs/>
                <w:color w:val="auto"/>
                <w:sz w:val="21"/>
                <w:szCs w:val="21"/>
                <w:highlight w:val="none"/>
                <w:vertAlign w:val="baseline"/>
                <w:lang w:val="en-US" w:eastAsia="zh-CN"/>
              </w:rPr>
              <w:t>合计</w:t>
            </w:r>
          </w:p>
        </w:tc>
        <w:tc>
          <w:tcPr>
            <w:tcW w:w="2967" w:type="dxa"/>
          </w:tcPr>
          <w:p w14:paraId="52325533">
            <w:pPr>
              <w:spacing w:line="360" w:lineRule="auto"/>
              <w:jc w:val="center"/>
              <w:rPr>
                <w:rFonts w:hint="eastAsia" w:ascii="宋体" w:hAnsi="宋体" w:eastAsia="宋体" w:cs="宋体"/>
                <w:color w:val="auto"/>
                <w:sz w:val="21"/>
                <w:szCs w:val="21"/>
                <w:highlight w:val="none"/>
                <w:vertAlign w:val="baseline"/>
              </w:rPr>
            </w:pPr>
          </w:p>
        </w:tc>
        <w:tc>
          <w:tcPr>
            <w:tcW w:w="1730" w:type="dxa"/>
          </w:tcPr>
          <w:p w14:paraId="2EC0E96A">
            <w:pPr>
              <w:spacing w:line="360" w:lineRule="auto"/>
              <w:rPr>
                <w:rFonts w:hint="eastAsia" w:ascii="宋体" w:hAnsi="宋体" w:eastAsia="宋体" w:cs="宋体"/>
                <w:color w:val="auto"/>
                <w:sz w:val="21"/>
                <w:szCs w:val="21"/>
                <w:highlight w:val="none"/>
                <w:vertAlign w:val="baseline"/>
              </w:rPr>
            </w:pPr>
          </w:p>
        </w:tc>
      </w:tr>
    </w:tbl>
    <w:p w14:paraId="499D34CF">
      <w:pPr>
        <w:pStyle w:val="35"/>
        <w:ind w:left="0" w:leftChars="0" w:firstLine="0" w:firstLineChars="0"/>
        <w:rPr>
          <w:color w:val="auto"/>
          <w:highlight w:val="none"/>
          <w:lang w:val="zh-CN"/>
        </w:rPr>
      </w:pPr>
    </w:p>
    <w:p w14:paraId="25B7B7C5">
      <w:pPr>
        <w:autoSpaceDE w:val="0"/>
        <w:autoSpaceDN w:val="0"/>
        <w:spacing w:before="9"/>
        <w:jc w:val="left"/>
        <w:rPr>
          <w:rFonts w:ascii="宋体" w:hAnsi="宋体" w:cs="宋体"/>
          <w:b/>
          <w:color w:val="auto"/>
          <w:sz w:val="12"/>
          <w:szCs w:val="24"/>
          <w:highlight w:val="none"/>
          <w:lang w:val="zh-CN" w:bidi="zh-CN"/>
        </w:rPr>
      </w:pPr>
    </w:p>
    <w:p w14:paraId="64006244">
      <w:pPr>
        <w:autoSpaceDE w:val="0"/>
        <w:autoSpaceDN w:val="0"/>
        <w:spacing w:before="79"/>
        <w:ind w:left="4421"/>
        <w:jc w:val="left"/>
        <w:rPr>
          <w:rFonts w:ascii="宋体" w:hAnsi="宋体" w:cs="宋体"/>
          <w:color w:val="auto"/>
          <w:sz w:val="24"/>
          <w:szCs w:val="24"/>
          <w:highlight w:val="none"/>
          <w:lang w:val="zh-CN" w:bidi="zh-CN"/>
        </w:rPr>
      </w:pPr>
    </w:p>
    <w:p w14:paraId="74204FBB">
      <w:pPr>
        <w:autoSpaceDE w:val="0"/>
        <w:autoSpaceDN w:val="0"/>
        <w:spacing w:before="79"/>
        <w:ind w:left="4421"/>
        <w:jc w:val="left"/>
        <w:rPr>
          <w:rFonts w:ascii="宋体" w:hAnsi="宋体" w:cs="宋体"/>
          <w:color w:val="auto"/>
          <w:sz w:val="24"/>
          <w:szCs w:val="24"/>
          <w:highlight w:val="none"/>
          <w:lang w:val="zh-CN" w:bidi="zh-CN"/>
        </w:rPr>
      </w:pPr>
      <w:r>
        <w:rPr>
          <w:rFonts w:ascii="宋体" w:hAnsi="宋体" w:cs="宋体"/>
          <w:color w:val="auto"/>
          <w:sz w:val="24"/>
          <w:szCs w:val="24"/>
          <w:highlight w:val="none"/>
          <w:lang w:val="zh-CN" w:bidi="zh-CN"/>
        </w:rPr>
        <w:t>供应商公章或授权代表签字：</w:t>
      </w:r>
    </w:p>
    <w:p w14:paraId="12FF67F5">
      <w:pPr>
        <w:tabs>
          <w:tab w:val="left" w:pos="5861"/>
          <w:tab w:val="left" w:pos="8556"/>
        </w:tabs>
        <w:autoSpaceDE w:val="0"/>
        <w:autoSpaceDN w:val="0"/>
        <w:spacing w:before="160"/>
        <w:ind w:left="4421"/>
        <w:jc w:val="left"/>
        <w:rPr>
          <w:rFonts w:hAnsi="宋体" w:cs="宋体"/>
          <w:color w:val="auto"/>
          <w:sz w:val="29"/>
          <w:szCs w:val="24"/>
          <w:highlight w:val="none"/>
          <w:lang w:val="zh-CN" w:bidi="zh-CN"/>
        </w:rPr>
      </w:pPr>
      <w:r>
        <w:rPr>
          <w:rFonts w:ascii="宋体" w:hAnsi="宋体" w:cs="宋体"/>
          <w:color w:val="auto"/>
          <w:sz w:val="24"/>
          <w:szCs w:val="24"/>
          <w:highlight w:val="none"/>
          <w:lang w:val="zh-CN" w:bidi="zh-CN"/>
        </w:rPr>
        <w:t>日</w:t>
      </w:r>
      <w:r>
        <w:rPr>
          <w:rFonts w:ascii="宋体" w:hAnsi="宋体" w:cs="宋体"/>
          <w:color w:val="auto"/>
          <w:sz w:val="24"/>
          <w:szCs w:val="24"/>
          <w:highlight w:val="none"/>
          <w:lang w:val="zh-CN" w:bidi="zh-CN"/>
        </w:rPr>
        <w:tab/>
      </w:r>
      <w:r>
        <w:rPr>
          <w:rFonts w:ascii="宋体" w:hAnsi="宋体" w:cs="宋体"/>
          <w:color w:val="auto"/>
          <w:sz w:val="24"/>
          <w:szCs w:val="24"/>
          <w:highlight w:val="none"/>
          <w:lang w:val="zh-CN" w:bidi="zh-CN"/>
        </w:rPr>
        <w:t>期：</w:t>
      </w:r>
      <w:r>
        <w:rPr>
          <w:rFonts w:hAnsi="宋体" w:eastAsia="Times New Roman" w:cs="宋体"/>
          <w:color w:val="auto"/>
          <w:sz w:val="24"/>
          <w:szCs w:val="24"/>
          <w:highlight w:val="none"/>
          <w:u w:val="single"/>
          <w:lang w:val="zh-CN" w:bidi="zh-CN"/>
        </w:rPr>
        <w:t xml:space="preserve"> </w:t>
      </w:r>
      <w:r>
        <w:rPr>
          <w:rFonts w:hAnsi="宋体" w:eastAsia="Times New Roman" w:cs="宋体"/>
          <w:color w:val="auto"/>
          <w:sz w:val="24"/>
          <w:szCs w:val="24"/>
          <w:highlight w:val="none"/>
          <w:u w:val="single"/>
          <w:lang w:val="zh-CN" w:bidi="zh-CN"/>
        </w:rPr>
        <w:tab/>
      </w:r>
    </w:p>
    <w:p w14:paraId="03F4C6C7">
      <w:pPr>
        <w:pStyle w:val="35"/>
        <w:ind w:left="0" w:leftChars="0" w:firstLine="0" w:firstLineChars="0"/>
        <w:rPr>
          <w:rFonts w:hint="eastAsia"/>
          <w:color w:val="auto"/>
          <w:highlight w:val="none"/>
          <w:lang w:val="zh-CN"/>
        </w:rPr>
      </w:pPr>
    </w:p>
    <w:p w14:paraId="59B4FBC5">
      <w:pPr>
        <w:autoSpaceDE w:val="0"/>
        <w:autoSpaceDN w:val="0"/>
        <w:spacing w:before="66" w:line="364" w:lineRule="auto"/>
        <w:ind w:right="353"/>
        <w:rPr>
          <w:color w:val="auto"/>
          <w:highlight w:val="none"/>
        </w:rPr>
      </w:pPr>
      <w:r>
        <w:rPr>
          <w:rFonts w:ascii="宋体" w:hAnsi="宋体" w:cs="宋体"/>
          <w:b/>
          <w:color w:val="auto"/>
          <w:spacing w:val="-9"/>
          <w:sz w:val="24"/>
          <w:szCs w:val="24"/>
          <w:highlight w:val="none"/>
          <w:lang w:val="zh-CN" w:bidi="zh-CN"/>
        </w:rPr>
        <w:t>注：</w:t>
      </w:r>
      <w:r>
        <w:rPr>
          <w:rFonts w:ascii="宋体" w:hAnsi="宋体" w:eastAsia="宋体" w:cs="宋体"/>
          <w:b/>
          <w:bCs/>
          <w:color w:val="auto"/>
          <w:spacing w:val="-5"/>
          <w:sz w:val="24"/>
          <w:szCs w:val="24"/>
          <w:highlight w:val="none"/>
          <w:lang w:val="zh-CN" w:bidi="zh-CN"/>
        </w:rPr>
        <w:t>本页《</w:t>
      </w:r>
      <w:r>
        <w:rPr>
          <w:rFonts w:hint="eastAsia" w:ascii="宋体" w:hAnsi="宋体" w:eastAsia="宋体" w:cs="宋体"/>
          <w:b/>
          <w:bCs/>
          <w:color w:val="auto"/>
          <w:spacing w:val="-5"/>
          <w:sz w:val="24"/>
          <w:szCs w:val="24"/>
          <w:highlight w:val="none"/>
          <w:lang w:val="en-US" w:bidi="zh-CN"/>
        </w:rPr>
        <w:t>最终承诺</w:t>
      </w:r>
      <w:r>
        <w:rPr>
          <w:rFonts w:ascii="宋体" w:hAnsi="宋体" w:eastAsia="宋体" w:cs="宋体"/>
          <w:b/>
          <w:bCs/>
          <w:color w:val="auto"/>
          <w:spacing w:val="-5"/>
          <w:sz w:val="24"/>
          <w:szCs w:val="24"/>
          <w:highlight w:val="none"/>
          <w:lang w:val="zh-CN" w:bidi="zh-CN"/>
        </w:rPr>
        <w:t>报价表》由供应商在现场依</w:t>
      </w:r>
      <w:r>
        <w:rPr>
          <w:rFonts w:hint="eastAsia" w:ascii="宋体" w:hAnsi="宋体" w:eastAsia="宋体" w:cs="宋体"/>
          <w:b/>
          <w:bCs/>
          <w:color w:val="auto"/>
          <w:spacing w:val="-5"/>
          <w:sz w:val="24"/>
          <w:szCs w:val="24"/>
          <w:highlight w:val="none"/>
          <w:lang w:val="zh-CN" w:bidi="zh-CN"/>
        </w:rPr>
        <w:t>谈判</w:t>
      </w:r>
      <w:r>
        <w:rPr>
          <w:rFonts w:ascii="宋体" w:hAnsi="宋体" w:eastAsia="宋体" w:cs="宋体"/>
          <w:b/>
          <w:bCs/>
          <w:color w:val="auto"/>
          <w:spacing w:val="-5"/>
          <w:sz w:val="24"/>
          <w:szCs w:val="24"/>
          <w:highlight w:val="none"/>
          <w:lang w:val="zh-CN" w:bidi="zh-CN"/>
        </w:rPr>
        <w:t>情况填写</w:t>
      </w:r>
      <w:r>
        <w:rPr>
          <w:rFonts w:ascii="宋体" w:hAnsi="宋体" w:cs="宋体"/>
          <w:b/>
          <w:bCs/>
          <w:color w:val="auto"/>
          <w:sz w:val="24"/>
          <w:szCs w:val="24"/>
          <w:highlight w:val="none"/>
          <w:lang w:val="zh-CN" w:bidi="zh-CN"/>
        </w:rPr>
        <w:t>。</w:t>
      </w:r>
    </w:p>
    <w:p w14:paraId="09563C13">
      <w:pPr>
        <w:pStyle w:val="35"/>
        <w:ind w:left="0" w:leftChars="0" w:firstLine="0" w:firstLineChars="0"/>
        <w:rPr>
          <w:rFonts w:hint="eastAsia"/>
          <w:color w:val="auto"/>
          <w:highlight w:val="none"/>
          <w:lang w:val="zh-CN"/>
        </w:rPr>
      </w:pPr>
    </w:p>
    <w:sectPr>
      <w:pgSz w:w="11906" w:h="16838"/>
      <w:pgMar w:top="1440" w:right="1531" w:bottom="1440"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Courier New"/>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304F8">
    <w:pPr>
      <w:pStyle w:val="2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4B87FC1">
                          <w:pPr>
                            <w:pStyle w:val="22"/>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74B87FC1">
                    <w:pPr>
                      <w:pStyle w:val="2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578E7">
    <w:pPr>
      <w:pStyle w:val="2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12CCA6">
                          <w:pPr>
                            <w:pStyle w:val="2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2712CCA6">
                    <w:pPr>
                      <w:pStyle w:val="2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BD0D1">
    <w:pPr>
      <w:pStyle w:val="22"/>
      <w:framePr w:wrap="around" w:vAnchor="text" w:hAnchor="margin" w:xAlign="center" w:y="1"/>
      <w:rPr>
        <w:rStyle w:val="41"/>
      </w:rPr>
    </w:pPr>
    <w:r>
      <w:rPr>
        <w:rStyle w:val="41"/>
      </w:rPr>
      <w:fldChar w:fldCharType="begin"/>
    </w:r>
    <w:r>
      <w:rPr>
        <w:rStyle w:val="41"/>
      </w:rPr>
      <w:instrText xml:space="preserve">PAGE  </w:instrText>
    </w:r>
    <w:r>
      <w:rPr>
        <w:rStyle w:val="41"/>
      </w:rPr>
      <w:fldChar w:fldCharType="end"/>
    </w:r>
  </w:p>
  <w:p w14:paraId="614AE1A8">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916C9B">
    <w:pPr>
      <w:pStyle w:val="2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C9B4C">
    <w:pPr>
      <w:pStyle w:val="2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AA99C">
    <w:pPr>
      <w:pStyle w:val="23"/>
      <w:framePr w:wrap="around" w:vAnchor="text" w:hAnchor="margin" w:xAlign="right" w:y="1"/>
      <w:rPr>
        <w:rStyle w:val="41"/>
      </w:rPr>
    </w:pPr>
    <w:r>
      <w:rPr>
        <w:rStyle w:val="41"/>
      </w:rPr>
      <w:fldChar w:fldCharType="begin"/>
    </w:r>
    <w:r>
      <w:rPr>
        <w:rStyle w:val="41"/>
      </w:rPr>
      <w:instrText xml:space="preserve">PAGE  </w:instrText>
    </w:r>
    <w:r>
      <w:rPr>
        <w:rStyle w:val="41"/>
      </w:rPr>
      <w:fldChar w:fldCharType="end"/>
    </w:r>
  </w:p>
  <w:p w14:paraId="43871D88">
    <w:pPr>
      <w:pStyle w:val="2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pStyle w:val="69"/>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NiYmRmNDdhZjY0ZjMyZjEyODNmNDgzNjAxNjAyYzYifQ=="/>
    <w:docVar w:name="KSO_WPS_MARK_KEY" w:val="6d5b85fa-2104-46a8-95ff-8be6d43741d3"/>
  </w:docVars>
  <w:rsids>
    <w:rsidRoot w:val="00172A27"/>
    <w:rsid w:val="0000457F"/>
    <w:rsid w:val="00004DDF"/>
    <w:rsid w:val="000145D1"/>
    <w:rsid w:val="00015C71"/>
    <w:rsid w:val="00017CF2"/>
    <w:rsid w:val="00020147"/>
    <w:rsid w:val="000353D2"/>
    <w:rsid w:val="00036C36"/>
    <w:rsid w:val="00042454"/>
    <w:rsid w:val="0004247B"/>
    <w:rsid w:val="00054BA6"/>
    <w:rsid w:val="00057B34"/>
    <w:rsid w:val="00066473"/>
    <w:rsid w:val="00066BCF"/>
    <w:rsid w:val="00071873"/>
    <w:rsid w:val="000813B9"/>
    <w:rsid w:val="00083A3D"/>
    <w:rsid w:val="00085013"/>
    <w:rsid w:val="0008734A"/>
    <w:rsid w:val="00090C43"/>
    <w:rsid w:val="00091912"/>
    <w:rsid w:val="00092365"/>
    <w:rsid w:val="00095459"/>
    <w:rsid w:val="000A3D75"/>
    <w:rsid w:val="000B0A7F"/>
    <w:rsid w:val="000B1F7E"/>
    <w:rsid w:val="000C2A18"/>
    <w:rsid w:val="000D2325"/>
    <w:rsid w:val="000D40DA"/>
    <w:rsid w:val="000E6F6E"/>
    <w:rsid w:val="0010048A"/>
    <w:rsid w:val="001055FC"/>
    <w:rsid w:val="0011125F"/>
    <w:rsid w:val="0011590D"/>
    <w:rsid w:val="001252D5"/>
    <w:rsid w:val="00125BEB"/>
    <w:rsid w:val="001260B2"/>
    <w:rsid w:val="00133776"/>
    <w:rsid w:val="00135355"/>
    <w:rsid w:val="00146758"/>
    <w:rsid w:val="00146D70"/>
    <w:rsid w:val="00156254"/>
    <w:rsid w:val="00163D99"/>
    <w:rsid w:val="001723C8"/>
    <w:rsid w:val="00184FCE"/>
    <w:rsid w:val="00185BC3"/>
    <w:rsid w:val="00194F7B"/>
    <w:rsid w:val="001A0CA9"/>
    <w:rsid w:val="001A3254"/>
    <w:rsid w:val="001A60C9"/>
    <w:rsid w:val="001B57E1"/>
    <w:rsid w:val="001C662F"/>
    <w:rsid w:val="001F0545"/>
    <w:rsid w:val="001F7548"/>
    <w:rsid w:val="00201BAF"/>
    <w:rsid w:val="00204BEE"/>
    <w:rsid w:val="00204ED9"/>
    <w:rsid w:val="0021447E"/>
    <w:rsid w:val="002175D2"/>
    <w:rsid w:val="00222133"/>
    <w:rsid w:val="00230806"/>
    <w:rsid w:val="00232B23"/>
    <w:rsid w:val="002656AE"/>
    <w:rsid w:val="00295D2C"/>
    <w:rsid w:val="002A5B98"/>
    <w:rsid w:val="002B39EE"/>
    <w:rsid w:val="002B475D"/>
    <w:rsid w:val="002B7BFC"/>
    <w:rsid w:val="002C3E11"/>
    <w:rsid w:val="002D4E2E"/>
    <w:rsid w:val="002D508E"/>
    <w:rsid w:val="002D677B"/>
    <w:rsid w:val="002E1A23"/>
    <w:rsid w:val="002F32E7"/>
    <w:rsid w:val="002F3B9A"/>
    <w:rsid w:val="002F5374"/>
    <w:rsid w:val="002F5CAB"/>
    <w:rsid w:val="003124C3"/>
    <w:rsid w:val="003342EF"/>
    <w:rsid w:val="00341CB0"/>
    <w:rsid w:val="003452C5"/>
    <w:rsid w:val="00356109"/>
    <w:rsid w:val="00360D12"/>
    <w:rsid w:val="00364313"/>
    <w:rsid w:val="00372C51"/>
    <w:rsid w:val="003808D6"/>
    <w:rsid w:val="00384281"/>
    <w:rsid w:val="00387848"/>
    <w:rsid w:val="003A03AB"/>
    <w:rsid w:val="003B3183"/>
    <w:rsid w:val="003D04C4"/>
    <w:rsid w:val="003D7A8F"/>
    <w:rsid w:val="003E0B3C"/>
    <w:rsid w:val="003E7C3B"/>
    <w:rsid w:val="003F6E20"/>
    <w:rsid w:val="00424DA5"/>
    <w:rsid w:val="004413B4"/>
    <w:rsid w:val="00443BAF"/>
    <w:rsid w:val="00453F7D"/>
    <w:rsid w:val="00456571"/>
    <w:rsid w:val="004577CD"/>
    <w:rsid w:val="00466DAC"/>
    <w:rsid w:val="00470ABC"/>
    <w:rsid w:val="004835F8"/>
    <w:rsid w:val="004A0CE4"/>
    <w:rsid w:val="004C30F6"/>
    <w:rsid w:val="004C38E2"/>
    <w:rsid w:val="004C64FF"/>
    <w:rsid w:val="004D17B6"/>
    <w:rsid w:val="004D5F5D"/>
    <w:rsid w:val="004F5334"/>
    <w:rsid w:val="004F56C3"/>
    <w:rsid w:val="0050494E"/>
    <w:rsid w:val="0050639B"/>
    <w:rsid w:val="005075CD"/>
    <w:rsid w:val="00524605"/>
    <w:rsid w:val="00524A87"/>
    <w:rsid w:val="00533AAE"/>
    <w:rsid w:val="00554CE3"/>
    <w:rsid w:val="005654C3"/>
    <w:rsid w:val="005C2271"/>
    <w:rsid w:val="005D39D1"/>
    <w:rsid w:val="005E56CC"/>
    <w:rsid w:val="00600219"/>
    <w:rsid w:val="00603819"/>
    <w:rsid w:val="006128B9"/>
    <w:rsid w:val="00614518"/>
    <w:rsid w:val="00645DFC"/>
    <w:rsid w:val="00647F76"/>
    <w:rsid w:val="00654D2C"/>
    <w:rsid w:val="00661562"/>
    <w:rsid w:val="00671B50"/>
    <w:rsid w:val="00673CC0"/>
    <w:rsid w:val="006A2E5F"/>
    <w:rsid w:val="006B21E7"/>
    <w:rsid w:val="006D098B"/>
    <w:rsid w:val="006D3DB9"/>
    <w:rsid w:val="006F01D1"/>
    <w:rsid w:val="006F3D3E"/>
    <w:rsid w:val="00700B84"/>
    <w:rsid w:val="00703A7D"/>
    <w:rsid w:val="00732744"/>
    <w:rsid w:val="00736DF2"/>
    <w:rsid w:val="007400D8"/>
    <w:rsid w:val="007407E7"/>
    <w:rsid w:val="007462B9"/>
    <w:rsid w:val="00766A44"/>
    <w:rsid w:val="00767BB2"/>
    <w:rsid w:val="00777913"/>
    <w:rsid w:val="0079235B"/>
    <w:rsid w:val="00795808"/>
    <w:rsid w:val="007B00FB"/>
    <w:rsid w:val="007C7173"/>
    <w:rsid w:val="007D19ED"/>
    <w:rsid w:val="007E5141"/>
    <w:rsid w:val="007F2582"/>
    <w:rsid w:val="007F651E"/>
    <w:rsid w:val="00810784"/>
    <w:rsid w:val="00812112"/>
    <w:rsid w:val="008207A6"/>
    <w:rsid w:val="00821EE8"/>
    <w:rsid w:val="00833ADC"/>
    <w:rsid w:val="00846353"/>
    <w:rsid w:val="008538EB"/>
    <w:rsid w:val="0086536B"/>
    <w:rsid w:val="008A6D3D"/>
    <w:rsid w:val="008B0E3B"/>
    <w:rsid w:val="008C0ED2"/>
    <w:rsid w:val="008D216E"/>
    <w:rsid w:val="008D61A5"/>
    <w:rsid w:val="008D7F56"/>
    <w:rsid w:val="008E7E3B"/>
    <w:rsid w:val="00922A63"/>
    <w:rsid w:val="00925990"/>
    <w:rsid w:val="00927B9E"/>
    <w:rsid w:val="00934FDF"/>
    <w:rsid w:val="00940C0D"/>
    <w:rsid w:val="0094320A"/>
    <w:rsid w:val="00950DC5"/>
    <w:rsid w:val="00954BF2"/>
    <w:rsid w:val="00966C14"/>
    <w:rsid w:val="0097577C"/>
    <w:rsid w:val="00980525"/>
    <w:rsid w:val="009A43DC"/>
    <w:rsid w:val="009B32A9"/>
    <w:rsid w:val="009B5EF1"/>
    <w:rsid w:val="009C7264"/>
    <w:rsid w:val="00A17EB8"/>
    <w:rsid w:val="00A2462A"/>
    <w:rsid w:val="00A30C14"/>
    <w:rsid w:val="00A42929"/>
    <w:rsid w:val="00A5114C"/>
    <w:rsid w:val="00A52EA8"/>
    <w:rsid w:val="00A612D2"/>
    <w:rsid w:val="00A70D7B"/>
    <w:rsid w:val="00A74097"/>
    <w:rsid w:val="00A83F1C"/>
    <w:rsid w:val="00A85BA0"/>
    <w:rsid w:val="00A95755"/>
    <w:rsid w:val="00A957C6"/>
    <w:rsid w:val="00A961C3"/>
    <w:rsid w:val="00AB51D7"/>
    <w:rsid w:val="00AC4741"/>
    <w:rsid w:val="00AD19A2"/>
    <w:rsid w:val="00AD7B9F"/>
    <w:rsid w:val="00B27CFD"/>
    <w:rsid w:val="00B3083C"/>
    <w:rsid w:val="00B57818"/>
    <w:rsid w:val="00B6310C"/>
    <w:rsid w:val="00B80346"/>
    <w:rsid w:val="00BA10A8"/>
    <w:rsid w:val="00BA136D"/>
    <w:rsid w:val="00BA2F6F"/>
    <w:rsid w:val="00BA3764"/>
    <w:rsid w:val="00BA45BA"/>
    <w:rsid w:val="00BB7605"/>
    <w:rsid w:val="00BC5BFF"/>
    <w:rsid w:val="00C05EA8"/>
    <w:rsid w:val="00C23791"/>
    <w:rsid w:val="00C267D3"/>
    <w:rsid w:val="00C35B5F"/>
    <w:rsid w:val="00C500A9"/>
    <w:rsid w:val="00C5087F"/>
    <w:rsid w:val="00C734AB"/>
    <w:rsid w:val="00C73F2D"/>
    <w:rsid w:val="00C84AAC"/>
    <w:rsid w:val="00C9417F"/>
    <w:rsid w:val="00C97CD9"/>
    <w:rsid w:val="00CA3281"/>
    <w:rsid w:val="00CA32AE"/>
    <w:rsid w:val="00CA56DC"/>
    <w:rsid w:val="00CA60CE"/>
    <w:rsid w:val="00CA6A84"/>
    <w:rsid w:val="00CC1FE3"/>
    <w:rsid w:val="00CC5D49"/>
    <w:rsid w:val="00CC7E33"/>
    <w:rsid w:val="00CE0AAD"/>
    <w:rsid w:val="00CE1386"/>
    <w:rsid w:val="00CE28E9"/>
    <w:rsid w:val="00CE3588"/>
    <w:rsid w:val="00CE64A3"/>
    <w:rsid w:val="00CF10C1"/>
    <w:rsid w:val="00CF3743"/>
    <w:rsid w:val="00D027C9"/>
    <w:rsid w:val="00D0689A"/>
    <w:rsid w:val="00D11B5E"/>
    <w:rsid w:val="00D13AEE"/>
    <w:rsid w:val="00D16453"/>
    <w:rsid w:val="00D175FB"/>
    <w:rsid w:val="00D2682E"/>
    <w:rsid w:val="00D3100A"/>
    <w:rsid w:val="00D33ECF"/>
    <w:rsid w:val="00D51A54"/>
    <w:rsid w:val="00D542F1"/>
    <w:rsid w:val="00D6083A"/>
    <w:rsid w:val="00D614F5"/>
    <w:rsid w:val="00D877FD"/>
    <w:rsid w:val="00DA2209"/>
    <w:rsid w:val="00DA2977"/>
    <w:rsid w:val="00DB4369"/>
    <w:rsid w:val="00DD1C54"/>
    <w:rsid w:val="00DD2C6C"/>
    <w:rsid w:val="00DE18CD"/>
    <w:rsid w:val="00E016F6"/>
    <w:rsid w:val="00E20914"/>
    <w:rsid w:val="00E650AD"/>
    <w:rsid w:val="00E70F0C"/>
    <w:rsid w:val="00E7612C"/>
    <w:rsid w:val="00E912B4"/>
    <w:rsid w:val="00E912EA"/>
    <w:rsid w:val="00E94A0B"/>
    <w:rsid w:val="00EA19D4"/>
    <w:rsid w:val="00EB3AB2"/>
    <w:rsid w:val="00EC5C35"/>
    <w:rsid w:val="00EC5C8C"/>
    <w:rsid w:val="00EC71D2"/>
    <w:rsid w:val="00EE4358"/>
    <w:rsid w:val="00EE5630"/>
    <w:rsid w:val="00EF2195"/>
    <w:rsid w:val="00EF3C5F"/>
    <w:rsid w:val="00EF550D"/>
    <w:rsid w:val="00F01414"/>
    <w:rsid w:val="00F0597A"/>
    <w:rsid w:val="00F101C2"/>
    <w:rsid w:val="00F21948"/>
    <w:rsid w:val="00F22829"/>
    <w:rsid w:val="00F40445"/>
    <w:rsid w:val="00F44DDB"/>
    <w:rsid w:val="00F464A7"/>
    <w:rsid w:val="00F564DA"/>
    <w:rsid w:val="00F64830"/>
    <w:rsid w:val="00F679F6"/>
    <w:rsid w:val="00F74BC0"/>
    <w:rsid w:val="00F91C4B"/>
    <w:rsid w:val="00F927AF"/>
    <w:rsid w:val="00F961ED"/>
    <w:rsid w:val="00FA1EEE"/>
    <w:rsid w:val="00FA1F71"/>
    <w:rsid w:val="00FA35DA"/>
    <w:rsid w:val="00FC1D08"/>
    <w:rsid w:val="00FE7060"/>
    <w:rsid w:val="00FF1797"/>
    <w:rsid w:val="00FF1C7C"/>
    <w:rsid w:val="00FF23EE"/>
    <w:rsid w:val="01320FBC"/>
    <w:rsid w:val="014944FD"/>
    <w:rsid w:val="017E1B19"/>
    <w:rsid w:val="01C506B1"/>
    <w:rsid w:val="01DD0E32"/>
    <w:rsid w:val="01ED3B47"/>
    <w:rsid w:val="026B700F"/>
    <w:rsid w:val="02734D70"/>
    <w:rsid w:val="03052939"/>
    <w:rsid w:val="03062E20"/>
    <w:rsid w:val="0311396F"/>
    <w:rsid w:val="039C3B2E"/>
    <w:rsid w:val="03B22505"/>
    <w:rsid w:val="03D23972"/>
    <w:rsid w:val="03E602D7"/>
    <w:rsid w:val="03FE01E1"/>
    <w:rsid w:val="04067181"/>
    <w:rsid w:val="04350127"/>
    <w:rsid w:val="046E3E44"/>
    <w:rsid w:val="047F6792"/>
    <w:rsid w:val="04AB1DE0"/>
    <w:rsid w:val="04D344B6"/>
    <w:rsid w:val="04EE7346"/>
    <w:rsid w:val="05045387"/>
    <w:rsid w:val="05104E6D"/>
    <w:rsid w:val="053346E9"/>
    <w:rsid w:val="0573286F"/>
    <w:rsid w:val="05764F65"/>
    <w:rsid w:val="05CD4D4D"/>
    <w:rsid w:val="05ED76CD"/>
    <w:rsid w:val="06047263"/>
    <w:rsid w:val="06262FF6"/>
    <w:rsid w:val="062766E1"/>
    <w:rsid w:val="065F13E0"/>
    <w:rsid w:val="068A111A"/>
    <w:rsid w:val="06B306D8"/>
    <w:rsid w:val="071329B1"/>
    <w:rsid w:val="07267565"/>
    <w:rsid w:val="074A602C"/>
    <w:rsid w:val="075F2ABA"/>
    <w:rsid w:val="07893F2F"/>
    <w:rsid w:val="078C18B4"/>
    <w:rsid w:val="07A060FF"/>
    <w:rsid w:val="07A20F5E"/>
    <w:rsid w:val="07B3302C"/>
    <w:rsid w:val="07B56B19"/>
    <w:rsid w:val="08316AA1"/>
    <w:rsid w:val="0834567D"/>
    <w:rsid w:val="08427C75"/>
    <w:rsid w:val="085E5B1B"/>
    <w:rsid w:val="08B903E4"/>
    <w:rsid w:val="08B975E0"/>
    <w:rsid w:val="08D76796"/>
    <w:rsid w:val="094A1A48"/>
    <w:rsid w:val="094F0FF2"/>
    <w:rsid w:val="095F7F4C"/>
    <w:rsid w:val="09A60123"/>
    <w:rsid w:val="09AE75F4"/>
    <w:rsid w:val="09B95F2A"/>
    <w:rsid w:val="0A051F93"/>
    <w:rsid w:val="0A0C7574"/>
    <w:rsid w:val="0A424E4D"/>
    <w:rsid w:val="0AB47D8E"/>
    <w:rsid w:val="0AC00A68"/>
    <w:rsid w:val="0AF82AC1"/>
    <w:rsid w:val="0B297F03"/>
    <w:rsid w:val="0B66533A"/>
    <w:rsid w:val="0B84414D"/>
    <w:rsid w:val="0BD46BAD"/>
    <w:rsid w:val="0BE120B2"/>
    <w:rsid w:val="0BE80418"/>
    <w:rsid w:val="0CAA47CE"/>
    <w:rsid w:val="0CEC43CA"/>
    <w:rsid w:val="0D0B67CA"/>
    <w:rsid w:val="0D50431A"/>
    <w:rsid w:val="0D5878A3"/>
    <w:rsid w:val="0D6921B0"/>
    <w:rsid w:val="0DA77430"/>
    <w:rsid w:val="0DD74F5A"/>
    <w:rsid w:val="0DEB2D61"/>
    <w:rsid w:val="0DF624E0"/>
    <w:rsid w:val="0E050A19"/>
    <w:rsid w:val="0E21417E"/>
    <w:rsid w:val="0E346850"/>
    <w:rsid w:val="0E404088"/>
    <w:rsid w:val="0EA113FA"/>
    <w:rsid w:val="0ECA11CC"/>
    <w:rsid w:val="0EE028AD"/>
    <w:rsid w:val="0EE7610B"/>
    <w:rsid w:val="0F0019B5"/>
    <w:rsid w:val="0F390E8E"/>
    <w:rsid w:val="0F574044"/>
    <w:rsid w:val="0F8F57EF"/>
    <w:rsid w:val="0FF97625"/>
    <w:rsid w:val="0FFA6300"/>
    <w:rsid w:val="10044E18"/>
    <w:rsid w:val="1018304A"/>
    <w:rsid w:val="10527F30"/>
    <w:rsid w:val="10722611"/>
    <w:rsid w:val="10765998"/>
    <w:rsid w:val="10A85300"/>
    <w:rsid w:val="10C761F4"/>
    <w:rsid w:val="110475FD"/>
    <w:rsid w:val="11200448"/>
    <w:rsid w:val="112E0021"/>
    <w:rsid w:val="1169216B"/>
    <w:rsid w:val="11790C6E"/>
    <w:rsid w:val="11845080"/>
    <w:rsid w:val="119066D9"/>
    <w:rsid w:val="11A335B5"/>
    <w:rsid w:val="11AE35E8"/>
    <w:rsid w:val="11DD1222"/>
    <w:rsid w:val="11FC4CE3"/>
    <w:rsid w:val="1219428E"/>
    <w:rsid w:val="129C720C"/>
    <w:rsid w:val="12C42FA9"/>
    <w:rsid w:val="1303465D"/>
    <w:rsid w:val="13267A75"/>
    <w:rsid w:val="13490C7D"/>
    <w:rsid w:val="135C3D02"/>
    <w:rsid w:val="137115CA"/>
    <w:rsid w:val="13C5790E"/>
    <w:rsid w:val="147E599E"/>
    <w:rsid w:val="14CF422A"/>
    <w:rsid w:val="14D507B4"/>
    <w:rsid w:val="14E27C21"/>
    <w:rsid w:val="14FE3340"/>
    <w:rsid w:val="151770AE"/>
    <w:rsid w:val="153136E9"/>
    <w:rsid w:val="153B2049"/>
    <w:rsid w:val="15602773"/>
    <w:rsid w:val="15614DA8"/>
    <w:rsid w:val="159F5E97"/>
    <w:rsid w:val="15AD79BC"/>
    <w:rsid w:val="15B565F2"/>
    <w:rsid w:val="16066864"/>
    <w:rsid w:val="163D0A87"/>
    <w:rsid w:val="16907088"/>
    <w:rsid w:val="16991EF7"/>
    <w:rsid w:val="16AD096A"/>
    <w:rsid w:val="16E766AD"/>
    <w:rsid w:val="170F0CFF"/>
    <w:rsid w:val="173850A7"/>
    <w:rsid w:val="173B6FF4"/>
    <w:rsid w:val="174C0AC9"/>
    <w:rsid w:val="175D6D93"/>
    <w:rsid w:val="177B4CDC"/>
    <w:rsid w:val="17BA7FA6"/>
    <w:rsid w:val="184A679B"/>
    <w:rsid w:val="18623721"/>
    <w:rsid w:val="18B1448A"/>
    <w:rsid w:val="18C878F2"/>
    <w:rsid w:val="18CE5F64"/>
    <w:rsid w:val="18D31697"/>
    <w:rsid w:val="18FB18A3"/>
    <w:rsid w:val="19102702"/>
    <w:rsid w:val="192B2CC7"/>
    <w:rsid w:val="193D1BF5"/>
    <w:rsid w:val="1945415A"/>
    <w:rsid w:val="197509D7"/>
    <w:rsid w:val="197D3E49"/>
    <w:rsid w:val="198B1495"/>
    <w:rsid w:val="1A0725B2"/>
    <w:rsid w:val="1A630ED2"/>
    <w:rsid w:val="1A6C248D"/>
    <w:rsid w:val="1AD23FC4"/>
    <w:rsid w:val="1AE747FC"/>
    <w:rsid w:val="1AEF51E0"/>
    <w:rsid w:val="1AF45622"/>
    <w:rsid w:val="1B001A74"/>
    <w:rsid w:val="1B087292"/>
    <w:rsid w:val="1B23671D"/>
    <w:rsid w:val="1B5A7D5C"/>
    <w:rsid w:val="1B7B26E1"/>
    <w:rsid w:val="1B8A33D7"/>
    <w:rsid w:val="1BBE2ACB"/>
    <w:rsid w:val="1C1A0C17"/>
    <w:rsid w:val="1C32741A"/>
    <w:rsid w:val="1C405AE5"/>
    <w:rsid w:val="1C577EAD"/>
    <w:rsid w:val="1CBE60B1"/>
    <w:rsid w:val="1CF87A2F"/>
    <w:rsid w:val="1D0C75F3"/>
    <w:rsid w:val="1D413C00"/>
    <w:rsid w:val="1D960483"/>
    <w:rsid w:val="1DB65026"/>
    <w:rsid w:val="1DC13400"/>
    <w:rsid w:val="1DC817B3"/>
    <w:rsid w:val="1DE5157B"/>
    <w:rsid w:val="1DF15284"/>
    <w:rsid w:val="1E071163"/>
    <w:rsid w:val="1E0A2DCB"/>
    <w:rsid w:val="1E0E3958"/>
    <w:rsid w:val="1E5F77E6"/>
    <w:rsid w:val="1E6746D1"/>
    <w:rsid w:val="1E8B72FC"/>
    <w:rsid w:val="1EB83F2D"/>
    <w:rsid w:val="1ED653AA"/>
    <w:rsid w:val="1F0C54A8"/>
    <w:rsid w:val="1F171CFB"/>
    <w:rsid w:val="1F3C13B6"/>
    <w:rsid w:val="1F463063"/>
    <w:rsid w:val="1F4B49D6"/>
    <w:rsid w:val="1F831049"/>
    <w:rsid w:val="1FBE5091"/>
    <w:rsid w:val="1FCB070D"/>
    <w:rsid w:val="1FD06805"/>
    <w:rsid w:val="1FF85069"/>
    <w:rsid w:val="1FFD162B"/>
    <w:rsid w:val="200E7FC4"/>
    <w:rsid w:val="20123E9E"/>
    <w:rsid w:val="20D81D57"/>
    <w:rsid w:val="20E916A5"/>
    <w:rsid w:val="20F41885"/>
    <w:rsid w:val="214F03C1"/>
    <w:rsid w:val="2163607F"/>
    <w:rsid w:val="21993B18"/>
    <w:rsid w:val="21F7620D"/>
    <w:rsid w:val="22230DB0"/>
    <w:rsid w:val="22464B8D"/>
    <w:rsid w:val="22477A9E"/>
    <w:rsid w:val="22760E1C"/>
    <w:rsid w:val="229A201B"/>
    <w:rsid w:val="22AF6AE8"/>
    <w:rsid w:val="22B26978"/>
    <w:rsid w:val="22B67E76"/>
    <w:rsid w:val="231625F1"/>
    <w:rsid w:val="233A2855"/>
    <w:rsid w:val="23771CF3"/>
    <w:rsid w:val="239974D6"/>
    <w:rsid w:val="23E266D0"/>
    <w:rsid w:val="23E4618A"/>
    <w:rsid w:val="23F2091A"/>
    <w:rsid w:val="244E3D8C"/>
    <w:rsid w:val="24880227"/>
    <w:rsid w:val="249B20D5"/>
    <w:rsid w:val="24B335CE"/>
    <w:rsid w:val="24B70063"/>
    <w:rsid w:val="24F009A8"/>
    <w:rsid w:val="2542194B"/>
    <w:rsid w:val="25642815"/>
    <w:rsid w:val="25965543"/>
    <w:rsid w:val="259E42F0"/>
    <w:rsid w:val="25EF0E4B"/>
    <w:rsid w:val="26326C48"/>
    <w:rsid w:val="26675422"/>
    <w:rsid w:val="26690388"/>
    <w:rsid w:val="26784054"/>
    <w:rsid w:val="269C26E3"/>
    <w:rsid w:val="26E065DB"/>
    <w:rsid w:val="26E70ADE"/>
    <w:rsid w:val="26F97002"/>
    <w:rsid w:val="270D6E87"/>
    <w:rsid w:val="272E2D63"/>
    <w:rsid w:val="27410CB9"/>
    <w:rsid w:val="276D441A"/>
    <w:rsid w:val="27704503"/>
    <w:rsid w:val="27C348A0"/>
    <w:rsid w:val="27D63CEB"/>
    <w:rsid w:val="27DA63B5"/>
    <w:rsid w:val="27DC212D"/>
    <w:rsid w:val="281F2D40"/>
    <w:rsid w:val="284E2B9A"/>
    <w:rsid w:val="2861396F"/>
    <w:rsid w:val="28AF6A0B"/>
    <w:rsid w:val="28B44010"/>
    <w:rsid w:val="28DE1233"/>
    <w:rsid w:val="29044E0B"/>
    <w:rsid w:val="29384EA8"/>
    <w:rsid w:val="295039A3"/>
    <w:rsid w:val="296F3EFA"/>
    <w:rsid w:val="298A5BB9"/>
    <w:rsid w:val="29917294"/>
    <w:rsid w:val="29CE019B"/>
    <w:rsid w:val="29E26463"/>
    <w:rsid w:val="29F00BBE"/>
    <w:rsid w:val="2A07065D"/>
    <w:rsid w:val="2A0A08C3"/>
    <w:rsid w:val="2A534564"/>
    <w:rsid w:val="2A573A70"/>
    <w:rsid w:val="2B404B09"/>
    <w:rsid w:val="2B487A3E"/>
    <w:rsid w:val="2B6C37C8"/>
    <w:rsid w:val="2B930796"/>
    <w:rsid w:val="2BB0697B"/>
    <w:rsid w:val="2BFA65A3"/>
    <w:rsid w:val="2C101F53"/>
    <w:rsid w:val="2C2D2785"/>
    <w:rsid w:val="2C8F0922"/>
    <w:rsid w:val="2CBD48CE"/>
    <w:rsid w:val="2CC6399E"/>
    <w:rsid w:val="2CE211B2"/>
    <w:rsid w:val="2CF46C54"/>
    <w:rsid w:val="2D1E497A"/>
    <w:rsid w:val="2D345082"/>
    <w:rsid w:val="2D4227EC"/>
    <w:rsid w:val="2D657944"/>
    <w:rsid w:val="2D855015"/>
    <w:rsid w:val="2DB21269"/>
    <w:rsid w:val="2DB6370B"/>
    <w:rsid w:val="2DCE3DB2"/>
    <w:rsid w:val="2DEB0970"/>
    <w:rsid w:val="2E006793"/>
    <w:rsid w:val="2E015B36"/>
    <w:rsid w:val="2E275F81"/>
    <w:rsid w:val="2E28730F"/>
    <w:rsid w:val="2E2F7FD3"/>
    <w:rsid w:val="2E4E51C2"/>
    <w:rsid w:val="2E520EAC"/>
    <w:rsid w:val="2E77681E"/>
    <w:rsid w:val="2F2F1519"/>
    <w:rsid w:val="2F4B2B19"/>
    <w:rsid w:val="2F603644"/>
    <w:rsid w:val="2F6246CC"/>
    <w:rsid w:val="2F912348"/>
    <w:rsid w:val="2F9F5447"/>
    <w:rsid w:val="2FBB6ACC"/>
    <w:rsid w:val="2FC53683"/>
    <w:rsid w:val="2FD00460"/>
    <w:rsid w:val="2FD8767E"/>
    <w:rsid w:val="2FE97A5F"/>
    <w:rsid w:val="2FFE4B1D"/>
    <w:rsid w:val="300B44EE"/>
    <w:rsid w:val="304E6BFA"/>
    <w:rsid w:val="305A47DE"/>
    <w:rsid w:val="30626A70"/>
    <w:rsid w:val="30671D75"/>
    <w:rsid w:val="30734F38"/>
    <w:rsid w:val="309E348C"/>
    <w:rsid w:val="30B8643A"/>
    <w:rsid w:val="30CB35CF"/>
    <w:rsid w:val="30E31097"/>
    <w:rsid w:val="30EB7C3C"/>
    <w:rsid w:val="31394322"/>
    <w:rsid w:val="3184082E"/>
    <w:rsid w:val="31992E3D"/>
    <w:rsid w:val="319C0EA4"/>
    <w:rsid w:val="31A92FFC"/>
    <w:rsid w:val="31D2634F"/>
    <w:rsid w:val="31FF4854"/>
    <w:rsid w:val="32214672"/>
    <w:rsid w:val="32583B43"/>
    <w:rsid w:val="32617B06"/>
    <w:rsid w:val="32643E8E"/>
    <w:rsid w:val="328304A8"/>
    <w:rsid w:val="32B44920"/>
    <w:rsid w:val="32BC5F4D"/>
    <w:rsid w:val="32BD0DBE"/>
    <w:rsid w:val="32DE3B6E"/>
    <w:rsid w:val="330A3963"/>
    <w:rsid w:val="33154A22"/>
    <w:rsid w:val="337A4526"/>
    <w:rsid w:val="33AB6F9A"/>
    <w:rsid w:val="33FE364D"/>
    <w:rsid w:val="3420079D"/>
    <w:rsid w:val="3429115A"/>
    <w:rsid w:val="34CE3CA3"/>
    <w:rsid w:val="34F2580B"/>
    <w:rsid w:val="353059E1"/>
    <w:rsid w:val="35346A34"/>
    <w:rsid w:val="354A5F40"/>
    <w:rsid w:val="357B0EFD"/>
    <w:rsid w:val="35803C3D"/>
    <w:rsid w:val="35C92D11"/>
    <w:rsid w:val="35F42A51"/>
    <w:rsid w:val="35FFEC5E"/>
    <w:rsid w:val="36024564"/>
    <w:rsid w:val="3619232D"/>
    <w:rsid w:val="361F260A"/>
    <w:rsid w:val="36276335"/>
    <w:rsid w:val="36981B5D"/>
    <w:rsid w:val="36A73428"/>
    <w:rsid w:val="36A9634B"/>
    <w:rsid w:val="36D079C8"/>
    <w:rsid w:val="36EB7CE0"/>
    <w:rsid w:val="36FD3E6E"/>
    <w:rsid w:val="37354DE5"/>
    <w:rsid w:val="377D1279"/>
    <w:rsid w:val="37D716E7"/>
    <w:rsid w:val="38631B53"/>
    <w:rsid w:val="386D5472"/>
    <w:rsid w:val="38C904AC"/>
    <w:rsid w:val="390327BB"/>
    <w:rsid w:val="394E33E8"/>
    <w:rsid w:val="396C6CF4"/>
    <w:rsid w:val="398E6F62"/>
    <w:rsid w:val="39B36A66"/>
    <w:rsid w:val="3A290002"/>
    <w:rsid w:val="3A2E128F"/>
    <w:rsid w:val="3A5A6801"/>
    <w:rsid w:val="3A5B63A2"/>
    <w:rsid w:val="3A667F7C"/>
    <w:rsid w:val="3A880372"/>
    <w:rsid w:val="3A8F3EBA"/>
    <w:rsid w:val="3A972C22"/>
    <w:rsid w:val="3AB10259"/>
    <w:rsid w:val="3ABA6222"/>
    <w:rsid w:val="3AD674BD"/>
    <w:rsid w:val="3B1B510F"/>
    <w:rsid w:val="3B241CDC"/>
    <w:rsid w:val="3B301F44"/>
    <w:rsid w:val="3B3716DA"/>
    <w:rsid w:val="3B9373E6"/>
    <w:rsid w:val="3BAE4829"/>
    <w:rsid w:val="3BD30179"/>
    <w:rsid w:val="3BDF73C5"/>
    <w:rsid w:val="3BFA6208"/>
    <w:rsid w:val="3C001A0F"/>
    <w:rsid w:val="3C05453A"/>
    <w:rsid w:val="3C34130B"/>
    <w:rsid w:val="3C4A6F5A"/>
    <w:rsid w:val="3C4C39CC"/>
    <w:rsid w:val="3C8856A4"/>
    <w:rsid w:val="3C9B215F"/>
    <w:rsid w:val="3CE75062"/>
    <w:rsid w:val="3D2748D8"/>
    <w:rsid w:val="3D743CDB"/>
    <w:rsid w:val="3D766728"/>
    <w:rsid w:val="3D902D22"/>
    <w:rsid w:val="3DD405AF"/>
    <w:rsid w:val="3DF4021A"/>
    <w:rsid w:val="3E047963"/>
    <w:rsid w:val="3E7132AB"/>
    <w:rsid w:val="3E8E5BBA"/>
    <w:rsid w:val="3E9E25CB"/>
    <w:rsid w:val="3EDC10FF"/>
    <w:rsid w:val="3EF01892"/>
    <w:rsid w:val="3EFA42ED"/>
    <w:rsid w:val="3F0A5E23"/>
    <w:rsid w:val="3F3F2FD1"/>
    <w:rsid w:val="3F520FBF"/>
    <w:rsid w:val="3F9803DD"/>
    <w:rsid w:val="3FE57CA4"/>
    <w:rsid w:val="402E1B38"/>
    <w:rsid w:val="40384169"/>
    <w:rsid w:val="405A4873"/>
    <w:rsid w:val="406022E2"/>
    <w:rsid w:val="40730975"/>
    <w:rsid w:val="407B3EBF"/>
    <w:rsid w:val="40905D53"/>
    <w:rsid w:val="40C6655A"/>
    <w:rsid w:val="40D64F73"/>
    <w:rsid w:val="40DF693D"/>
    <w:rsid w:val="40F16A8E"/>
    <w:rsid w:val="41055B30"/>
    <w:rsid w:val="411C5418"/>
    <w:rsid w:val="412545BE"/>
    <w:rsid w:val="4184340D"/>
    <w:rsid w:val="41C77552"/>
    <w:rsid w:val="41DD75D9"/>
    <w:rsid w:val="41E21275"/>
    <w:rsid w:val="41EC3DB8"/>
    <w:rsid w:val="42B85782"/>
    <w:rsid w:val="42F6152E"/>
    <w:rsid w:val="42FF6CFF"/>
    <w:rsid w:val="43075E6E"/>
    <w:rsid w:val="436B1A1A"/>
    <w:rsid w:val="43771108"/>
    <w:rsid w:val="438C4E1A"/>
    <w:rsid w:val="44174028"/>
    <w:rsid w:val="441746B8"/>
    <w:rsid w:val="446523D2"/>
    <w:rsid w:val="44765180"/>
    <w:rsid w:val="447A7A51"/>
    <w:rsid w:val="44BB500C"/>
    <w:rsid w:val="44DA0696"/>
    <w:rsid w:val="44E45943"/>
    <w:rsid w:val="453C4349"/>
    <w:rsid w:val="454E7037"/>
    <w:rsid w:val="4583380E"/>
    <w:rsid w:val="45993146"/>
    <w:rsid w:val="459E79F0"/>
    <w:rsid w:val="459F1E37"/>
    <w:rsid w:val="45AF27D7"/>
    <w:rsid w:val="45EB3538"/>
    <w:rsid w:val="463E0DC4"/>
    <w:rsid w:val="46440499"/>
    <w:rsid w:val="466F03AF"/>
    <w:rsid w:val="46771AC0"/>
    <w:rsid w:val="46B62A3C"/>
    <w:rsid w:val="47347438"/>
    <w:rsid w:val="47867C8A"/>
    <w:rsid w:val="479B001B"/>
    <w:rsid w:val="47A55E85"/>
    <w:rsid w:val="47AC531D"/>
    <w:rsid w:val="47B36253"/>
    <w:rsid w:val="47D21CE6"/>
    <w:rsid w:val="47F70466"/>
    <w:rsid w:val="4820145E"/>
    <w:rsid w:val="48313978"/>
    <w:rsid w:val="486274F2"/>
    <w:rsid w:val="48876507"/>
    <w:rsid w:val="48A14890"/>
    <w:rsid w:val="48BD0CBA"/>
    <w:rsid w:val="48C37CC6"/>
    <w:rsid w:val="492F6EEB"/>
    <w:rsid w:val="4A4C0CEF"/>
    <w:rsid w:val="4A67403B"/>
    <w:rsid w:val="4A734E79"/>
    <w:rsid w:val="4A8F4985"/>
    <w:rsid w:val="4A9C275A"/>
    <w:rsid w:val="4AB85DCA"/>
    <w:rsid w:val="4AD27698"/>
    <w:rsid w:val="4AF07B1A"/>
    <w:rsid w:val="4AF45F45"/>
    <w:rsid w:val="4B0A12D5"/>
    <w:rsid w:val="4B1B114F"/>
    <w:rsid w:val="4B250368"/>
    <w:rsid w:val="4B4022CA"/>
    <w:rsid w:val="4B7F6C9B"/>
    <w:rsid w:val="4B857DCA"/>
    <w:rsid w:val="4BB01238"/>
    <w:rsid w:val="4BCF404D"/>
    <w:rsid w:val="4BEC2AE1"/>
    <w:rsid w:val="4C2F1AF1"/>
    <w:rsid w:val="4C3F1A69"/>
    <w:rsid w:val="4C4C7D4D"/>
    <w:rsid w:val="4C503838"/>
    <w:rsid w:val="4C692E82"/>
    <w:rsid w:val="4C8E6053"/>
    <w:rsid w:val="4C9B795E"/>
    <w:rsid w:val="4CA216B0"/>
    <w:rsid w:val="4CA7336B"/>
    <w:rsid w:val="4CEF5BAF"/>
    <w:rsid w:val="4D001539"/>
    <w:rsid w:val="4D060FF1"/>
    <w:rsid w:val="4D714797"/>
    <w:rsid w:val="4D9F0EEA"/>
    <w:rsid w:val="4DA60964"/>
    <w:rsid w:val="4E07637B"/>
    <w:rsid w:val="4E1A59EE"/>
    <w:rsid w:val="4E3A46A9"/>
    <w:rsid w:val="4E3B2CE7"/>
    <w:rsid w:val="4E3C703C"/>
    <w:rsid w:val="4E92026E"/>
    <w:rsid w:val="4EB726FD"/>
    <w:rsid w:val="4EDA0894"/>
    <w:rsid w:val="4F095D32"/>
    <w:rsid w:val="4F1A4882"/>
    <w:rsid w:val="4F2B3557"/>
    <w:rsid w:val="4F2F71CE"/>
    <w:rsid w:val="4F3B1580"/>
    <w:rsid w:val="4F3C4DEC"/>
    <w:rsid w:val="4F585C8E"/>
    <w:rsid w:val="4F7C5051"/>
    <w:rsid w:val="4FDB2778"/>
    <w:rsid w:val="504900D3"/>
    <w:rsid w:val="50653B4A"/>
    <w:rsid w:val="50A3118B"/>
    <w:rsid w:val="50AA1BE6"/>
    <w:rsid w:val="50D77373"/>
    <w:rsid w:val="50EA2B95"/>
    <w:rsid w:val="50EA66B3"/>
    <w:rsid w:val="510F4A72"/>
    <w:rsid w:val="516620A8"/>
    <w:rsid w:val="516C10E4"/>
    <w:rsid w:val="5175589A"/>
    <w:rsid w:val="51BA74ED"/>
    <w:rsid w:val="51D952A2"/>
    <w:rsid w:val="51E919B2"/>
    <w:rsid w:val="51EB103B"/>
    <w:rsid w:val="52331CAF"/>
    <w:rsid w:val="52892F5B"/>
    <w:rsid w:val="52F61709"/>
    <w:rsid w:val="54073585"/>
    <w:rsid w:val="543453A5"/>
    <w:rsid w:val="54843BCA"/>
    <w:rsid w:val="54D275F5"/>
    <w:rsid w:val="54DB7C79"/>
    <w:rsid w:val="54E74E26"/>
    <w:rsid w:val="54F93A6F"/>
    <w:rsid w:val="55580A4D"/>
    <w:rsid w:val="55627866"/>
    <w:rsid w:val="556F1F83"/>
    <w:rsid w:val="558B7070"/>
    <w:rsid w:val="55B45B96"/>
    <w:rsid w:val="55CC1AA1"/>
    <w:rsid w:val="55DA38A0"/>
    <w:rsid w:val="55DC1770"/>
    <w:rsid w:val="55EB22AC"/>
    <w:rsid w:val="561133F2"/>
    <w:rsid w:val="561F5757"/>
    <w:rsid w:val="56401CD5"/>
    <w:rsid w:val="56454BF1"/>
    <w:rsid w:val="56571FFA"/>
    <w:rsid w:val="56660C90"/>
    <w:rsid w:val="56A92CC7"/>
    <w:rsid w:val="56D204E6"/>
    <w:rsid w:val="571E77BD"/>
    <w:rsid w:val="57441969"/>
    <w:rsid w:val="57476652"/>
    <w:rsid w:val="5772766D"/>
    <w:rsid w:val="579F5F84"/>
    <w:rsid w:val="57C70491"/>
    <w:rsid w:val="57E010B8"/>
    <w:rsid w:val="57EB50BF"/>
    <w:rsid w:val="580405EF"/>
    <w:rsid w:val="581D5AED"/>
    <w:rsid w:val="586D09FC"/>
    <w:rsid w:val="58BD10F2"/>
    <w:rsid w:val="58CB127E"/>
    <w:rsid w:val="58CD33C2"/>
    <w:rsid w:val="592A2449"/>
    <w:rsid w:val="594A0687"/>
    <w:rsid w:val="595A3D47"/>
    <w:rsid w:val="596469D4"/>
    <w:rsid w:val="59BD375F"/>
    <w:rsid w:val="59E85E60"/>
    <w:rsid w:val="59ED3476"/>
    <w:rsid w:val="5A435D8A"/>
    <w:rsid w:val="5A51252E"/>
    <w:rsid w:val="5A5F13E7"/>
    <w:rsid w:val="5AA173D8"/>
    <w:rsid w:val="5AAF4888"/>
    <w:rsid w:val="5B3E258D"/>
    <w:rsid w:val="5B7F45A2"/>
    <w:rsid w:val="5BB71F8E"/>
    <w:rsid w:val="5BBC1D09"/>
    <w:rsid w:val="5BDB3215"/>
    <w:rsid w:val="5C34380B"/>
    <w:rsid w:val="5C441E45"/>
    <w:rsid w:val="5C6C09AA"/>
    <w:rsid w:val="5CBA4C19"/>
    <w:rsid w:val="5D194289"/>
    <w:rsid w:val="5D55190E"/>
    <w:rsid w:val="5D852344"/>
    <w:rsid w:val="5D8C2B4C"/>
    <w:rsid w:val="5DC32E71"/>
    <w:rsid w:val="5DDB4E6C"/>
    <w:rsid w:val="5DE448ED"/>
    <w:rsid w:val="5DF70E54"/>
    <w:rsid w:val="5E402B64"/>
    <w:rsid w:val="5E94654C"/>
    <w:rsid w:val="5EB01642"/>
    <w:rsid w:val="5F001951"/>
    <w:rsid w:val="5F006759"/>
    <w:rsid w:val="5F061262"/>
    <w:rsid w:val="5F207449"/>
    <w:rsid w:val="5F225A0F"/>
    <w:rsid w:val="5F4C3A7F"/>
    <w:rsid w:val="5F64242D"/>
    <w:rsid w:val="5F7417D6"/>
    <w:rsid w:val="5F912AC4"/>
    <w:rsid w:val="5FA35FE5"/>
    <w:rsid w:val="5FCE4F4E"/>
    <w:rsid w:val="5FD14724"/>
    <w:rsid w:val="600C4824"/>
    <w:rsid w:val="600D0710"/>
    <w:rsid w:val="60153D3C"/>
    <w:rsid w:val="602F50D5"/>
    <w:rsid w:val="60700F30"/>
    <w:rsid w:val="607B7DDA"/>
    <w:rsid w:val="60B62E5B"/>
    <w:rsid w:val="60E87B88"/>
    <w:rsid w:val="60F36AC5"/>
    <w:rsid w:val="613A3445"/>
    <w:rsid w:val="61A76748"/>
    <w:rsid w:val="61D91A2E"/>
    <w:rsid w:val="627209F2"/>
    <w:rsid w:val="62900431"/>
    <w:rsid w:val="62941A3C"/>
    <w:rsid w:val="62B731FE"/>
    <w:rsid w:val="62C52E85"/>
    <w:rsid w:val="62CB22F4"/>
    <w:rsid w:val="62DC368C"/>
    <w:rsid w:val="62E8177E"/>
    <w:rsid w:val="62F87114"/>
    <w:rsid w:val="63023C80"/>
    <w:rsid w:val="630C0161"/>
    <w:rsid w:val="63685D38"/>
    <w:rsid w:val="636D3AA1"/>
    <w:rsid w:val="63A31776"/>
    <w:rsid w:val="640A6AA4"/>
    <w:rsid w:val="642A1415"/>
    <w:rsid w:val="649B203D"/>
    <w:rsid w:val="64D851A1"/>
    <w:rsid w:val="64F22548"/>
    <w:rsid w:val="65033676"/>
    <w:rsid w:val="65442BCD"/>
    <w:rsid w:val="655C29BA"/>
    <w:rsid w:val="65610558"/>
    <w:rsid w:val="65804820"/>
    <w:rsid w:val="659106E2"/>
    <w:rsid w:val="65A2780B"/>
    <w:rsid w:val="65AB236D"/>
    <w:rsid w:val="65B8080F"/>
    <w:rsid w:val="65D03BC6"/>
    <w:rsid w:val="65E46075"/>
    <w:rsid w:val="66032238"/>
    <w:rsid w:val="662276B1"/>
    <w:rsid w:val="66483EC5"/>
    <w:rsid w:val="66700206"/>
    <w:rsid w:val="66704DB4"/>
    <w:rsid w:val="66A04F95"/>
    <w:rsid w:val="66B26720"/>
    <w:rsid w:val="67102453"/>
    <w:rsid w:val="67120A9E"/>
    <w:rsid w:val="6734799D"/>
    <w:rsid w:val="673E4038"/>
    <w:rsid w:val="67500178"/>
    <w:rsid w:val="679F3CC8"/>
    <w:rsid w:val="67D201EB"/>
    <w:rsid w:val="67E01163"/>
    <w:rsid w:val="680622D3"/>
    <w:rsid w:val="681168A6"/>
    <w:rsid w:val="681E28FF"/>
    <w:rsid w:val="68222C9E"/>
    <w:rsid w:val="686C2F70"/>
    <w:rsid w:val="688573AD"/>
    <w:rsid w:val="688651C2"/>
    <w:rsid w:val="68A67F29"/>
    <w:rsid w:val="68AF6DA4"/>
    <w:rsid w:val="68C15CCA"/>
    <w:rsid w:val="68D118F1"/>
    <w:rsid w:val="68DA2BC3"/>
    <w:rsid w:val="68DC7567"/>
    <w:rsid w:val="68EC6B14"/>
    <w:rsid w:val="68F62689"/>
    <w:rsid w:val="69001944"/>
    <w:rsid w:val="69350DCE"/>
    <w:rsid w:val="697D619C"/>
    <w:rsid w:val="697E5CFD"/>
    <w:rsid w:val="69EE3D79"/>
    <w:rsid w:val="69F96694"/>
    <w:rsid w:val="6A0E091D"/>
    <w:rsid w:val="6A260A0B"/>
    <w:rsid w:val="6A807108"/>
    <w:rsid w:val="6A901E6F"/>
    <w:rsid w:val="6ABA50AD"/>
    <w:rsid w:val="6ABC175A"/>
    <w:rsid w:val="6AC33DB7"/>
    <w:rsid w:val="6B006918"/>
    <w:rsid w:val="6B58725B"/>
    <w:rsid w:val="6BA94127"/>
    <w:rsid w:val="6BD909CC"/>
    <w:rsid w:val="6BE57EBD"/>
    <w:rsid w:val="6BFE46EA"/>
    <w:rsid w:val="6C407AB9"/>
    <w:rsid w:val="6C7F53F2"/>
    <w:rsid w:val="6C8B20CC"/>
    <w:rsid w:val="6D1927C4"/>
    <w:rsid w:val="6D616AB2"/>
    <w:rsid w:val="6D6D0FF6"/>
    <w:rsid w:val="6DD54955"/>
    <w:rsid w:val="6DE4548A"/>
    <w:rsid w:val="6E2958EC"/>
    <w:rsid w:val="6E2D5373"/>
    <w:rsid w:val="6E3E2D5D"/>
    <w:rsid w:val="6E8F400F"/>
    <w:rsid w:val="6EB71B5D"/>
    <w:rsid w:val="6F447A17"/>
    <w:rsid w:val="6F773253"/>
    <w:rsid w:val="703B4AE4"/>
    <w:rsid w:val="704217E5"/>
    <w:rsid w:val="7076354C"/>
    <w:rsid w:val="707E56F3"/>
    <w:rsid w:val="7084648B"/>
    <w:rsid w:val="70F6444B"/>
    <w:rsid w:val="71152000"/>
    <w:rsid w:val="7121017E"/>
    <w:rsid w:val="71951D13"/>
    <w:rsid w:val="719A3A8C"/>
    <w:rsid w:val="71CD3A0B"/>
    <w:rsid w:val="71DD22F7"/>
    <w:rsid w:val="721376E2"/>
    <w:rsid w:val="721756F7"/>
    <w:rsid w:val="721A607D"/>
    <w:rsid w:val="72224ADC"/>
    <w:rsid w:val="7231680E"/>
    <w:rsid w:val="726C7C5A"/>
    <w:rsid w:val="72731B2F"/>
    <w:rsid w:val="727B38BE"/>
    <w:rsid w:val="727E77FD"/>
    <w:rsid w:val="72924529"/>
    <w:rsid w:val="72BD5AD1"/>
    <w:rsid w:val="72C87BB3"/>
    <w:rsid w:val="735465E8"/>
    <w:rsid w:val="735F6117"/>
    <w:rsid w:val="73897E02"/>
    <w:rsid w:val="73A40AD9"/>
    <w:rsid w:val="73BC3875"/>
    <w:rsid w:val="73FC40C7"/>
    <w:rsid w:val="745D4D21"/>
    <w:rsid w:val="7466563C"/>
    <w:rsid w:val="74C01B01"/>
    <w:rsid w:val="74DB6895"/>
    <w:rsid w:val="7521496B"/>
    <w:rsid w:val="752F342A"/>
    <w:rsid w:val="75501EA7"/>
    <w:rsid w:val="75843304"/>
    <w:rsid w:val="759E66FC"/>
    <w:rsid w:val="75C509F0"/>
    <w:rsid w:val="760C31AA"/>
    <w:rsid w:val="7632763C"/>
    <w:rsid w:val="766034F6"/>
    <w:rsid w:val="76682B4F"/>
    <w:rsid w:val="76C41357"/>
    <w:rsid w:val="76CB6D18"/>
    <w:rsid w:val="76E41A31"/>
    <w:rsid w:val="76ED37EF"/>
    <w:rsid w:val="770F21D1"/>
    <w:rsid w:val="77833970"/>
    <w:rsid w:val="77BF7315"/>
    <w:rsid w:val="77DD3234"/>
    <w:rsid w:val="782E1286"/>
    <w:rsid w:val="782E3442"/>
    <w:rsid w:val="78532959"/>
    <w:rsid w:val="786C5C4B"/>
    <w:rsid w:val="78871402"/>
    <w:rsid w:val="78A7019A"/>
    <w:rsid w:val="78C163A4"/>
    <w:rsid w:val="78CA1834"/>
    <w:rsid w:val="78D56A00"/>
    <w:rsid w:val="78DF6F7C"/>
    <w:rsid w:val="790A6E9A"/>
    <w:rsid w:val="791870B6"/>
    <w:rsid w:val="791F4899"/>
    <w:rsid w:val="796D5B63"/>
    <w:rsid w:val="798D055E"/>
    <w:rsid w:val="79B2097F"/>
    <w:rsid w:val="79BA3B0E"/>
    <w:rsid w:val="7A287679"/>
    <w:rsid w:val="7A390B78"/>
    <w:rsid w:val="7A4C5018"/>
    <w:rsid w:val="7AB618B1"/>
    <w:rsid w:val="7ABB6962"/>
    <w:rsid w:val="7AC940EF"/>
    <w:rsid w:val="7AF4539C"/>
    <w:rsid w:val="7B2867E1"/>
    <w:rsid w:val="7B4F7695"/>
    <w:rsid w:val="7B9C6D7F"/>
    <w:rsid w:val="7BBFE36C"/>
    <w:rsid w:val="7BFE17E7"/>
    <w:rsid w:val="7C013D85"/>
    <w:rsid w:val="7C182650"/>
    <w:rsid w:val="7C426179"/>
    <w:rsid w:val="7C662C4B"/>
    <w:rsid w:val="7CB32C8C"/>
    <w:rsid w:val="7D1B3671"/>
    <w:rsid w:val="7D241628"/>
    <w:rsid w:val="7D5C3335"/>
    <w:rsid w:val="7D733ECF"/>
    <w:rsid w:val="7DB40A20"/>
    <w:rsid w:val="7DC2451F"/>
    <w:rsid w:val="7DCA13D1"/>
    <w:rsid w:val="7DE7143A"/>
    <w:rsid w:val="7E136A50"/>
    <w:rsid w:val="7E49765A"/>
    <w:rsid w:val="7E4C0FEB"/>
    <w:rsid w:val="7E7654DB"/>
    <w:rsid w:val="7EA857C5"/>
    <w:rsid w:val="7EBE0C5A"/>
    <w:rsid w:val="7EFB3C47"/>
    <w:rsid w:val="7F150DF6"/>
    <w:rsid w:val="7F5876EB"/>
    <w:rsid w:val="7F6271D2"/>
    <w:rsid w:val="7F850ECB"/>
    <w:rsid w:val="7F9E2999"/>
    <w:rsid w:val="7FAA2F0C"/>
    <w:rsid w:val="7FFD1637"/>
    <w:rsid w:val="A7CFE651"/>
    <w:rsid w:val="BEDBD596"/>
    <w:rsid w:val="CEB62A15"/>
    <w:rsid w:val="DCFD2C93"/>
    <w:rsid w:val="DDFF371E"/>
    <w:rsid w:val="DF77DDF5"/>
    <w:rsid w:val="DF7FC15B"/>
    <w:rsid w:val="E3FDFAD4"/>
    <w:rsid w:val="F6EFA82F"/>
    <w:rsid w:val="FB33D45F"/>
    <w:rsid w:val="FFE560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30"/>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1"/>
    <w:autoRedefine/>
    <w:qFormat/>
    <w:uiPriority w:val="0"/>
    <w:pPr>
      <w:keepNext/>
      <w:outlineLvl w:val="0"/>
    </w:pPr>
    <w:rPr>
      <w:sz w:val="28"/>
      <w:szCs w:val="24"/>
    </w:rPr>
  </w:style>
  <w:style w:type="paragraph" w:styleId="3">
    <w:name w:val="heading 2"/>
    <w:basedOn w:val="1"/>
    <w:next w:val="1"/>
    <w:link w:val="117"/>
    <w:autoRedefine/>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63"/>
    <w:autoRedefine/>
    <w:qFormat/>
    <w:uiPriority w:val="0"/>
    <w:pPr>
      <w:keepNext/>
      <w:keepLines/>
      <w:spacing w:before="260" w:after="260" w:line="416" w:lineRule="auto"/>
      <w:outlineLvl w:val="2"/>
    </w:pPr>
    <w:rPr>
      <w:b/>
      <w:bCs/>
      <w:sz w:val="32"/>
      <w:szCs w:val="32"/>
      <w:lang w:val="zh-CN"/>
    </w:rPr>
  </w:style>
  <w:style w:type="paragraph" w:styleId="5">
    <w:name w:val="heading 4"/>
    <w:basedOn w:val="1"/>
    <w:next w:val="1"/>
    <w:link w:val="64"/>
    <w:autoRedefine/>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9">
    <w:name w:val="Default Paragraph Font"/>
    <w:autoRedefine/>
    <w:semiHidden/>
    <w:unhideWhenUsed/>
    <w:qFormat/>
    <w:uiPriority w:val="1"/>
  </w:style>
  <w:style w:type="table" w:default="1" w:styleId="37">
    <w:name w:val="Normal Table"/>
    <w:autoRedefine/>
    <w:semiHidden/>
    <w:unhideWhenUsed/>
    <w:qFormat/>
    <w:uiPriority w:val="99"/>
    <w:tblPr>
      <w:tblCellMar>
        <w:top w:w="0" w:type="dxa"/>
        <w:left w:w="108" w:type="dxa"/>
        <w:bottom w:w="0" w:type="dxa"/>
        <w:right w:w="108" w:type="dxa"/>
      </w:tblCellMar>
    </w:tblPr>
  </w:style>
  <w:style w:type="paragraph" w:styleId="6">
    <w:name w:val="toc 7"/>
    <w:basedOn w:val="1"/>
    <w:next w:val="1"/>
    <w:autoRedefine/>
    <w:qFormat/>
    <w:uiPriority w:val="0"/>
    <w:pPr>
      <w:ind w:left="2520" w:leftChars="1200"/>
    </w:pPr>
  </w:style>
  <w:style w:type="paragraph" w:styleId="7">
    <w:name w:val="Document Map"/>
    <w:basedOn w:val="1"/>
    <w:link w:val="88"/>
    <w:autoRedefine/>
    <w:qFormat/>
    <w:uiPriority w:val="0"/>
    <w:pPr>
      <w:shd w:val="clear" w:color="auto" w:fill="000080"/>
    </w:pPr>
  </w:style>
  <w:style w:type="paragraph" w:styleId="8">
    <w:name w:val="annotation text"/>
    <w:basedOn w:val="1"/>
    <w:link w:val="82"/>
    <w:autoRedefine/>
    <w:semiHidden/>
    <w:qFormat/>
    <w:uiPriority w:val="99"/>
    <w:pPr>
      <w:jc w:val="left"/>
    </w:pPr>
  </w:style>
  <w:style w:type="paragraph" w:styleId="9">
    <w:name w:val="Body Text 3"/>
    <w:basedOn w:val="1"/>
    <w:link w:val="102"/>
    <w:autoRedefine/>
    <w:unhideWhenUsed/>
    <w:qFormat/>
    <w:uiPriority w:val="99"/>
    <w:pPr>
      <w:spacing w:after="120"/>
    </w:pPr>
    <w:rPr>
      <w:rFonts w:ascii="Calibri" w:hAnsi="Calibri"/>
      <w:sz w:val="16"/>
      <w:szCs w:val="16"/>
      <w:lang w:val="zh-CN"/>
    </w:rPr>
  </w:style>
  <w:style w:type="paragraph" w:styleId="10">
    <w:name w:val="Body Text"/>
    <w:basedOn w:val="1"/>
    <w:next w:val="11"/>
    <w:link w:val="77"/>
    <w:autoRedefine/>
    <w:qFormat/>
    <w:uiPriority w:val="0"/>
    <w:pPr>
      <w:spacing w:after="120"/>
    </w:pPr>
    <w:rPr>
      <w:szCs w:val="24"/>
    </w:rPr>
  </w:style>
  <w:style w:type="paragraph" w:customStyle="1" w:styleId="11">
    <w:name w:val="Default"/>
    <w:next w:val="12"/>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12">
    <w:name w:val="表格文字"/>
    <w:basedOn w:val="1"/>
    <w:autoRedefine/>
    <w:qFormat/>
    <w:uiPriority w:val="0"/>
    <w:pPr>
      <w:spacing w:line="360" w:lineRule="exact"/>
      <w:jc w:val="center"/>
    </w:pPr>
    <w:rPr>
      <w:szCs w:val="20"/>
    </w:rPr>
  </w:style>
  <w:style w:type="paragraph" w:styleId="13">
    <w:name w:val="Body Text Indent"/>
    <w:basedOn w:val="1"/>
    <w:next w:val="14"/>
    <w:link w:val="66"/>
    <w:autoRedefine/>
    <w:qFormat/>
    <w:uiPriority w:val="0"/>
    <w:pPr>
      <w:ind w:firstLine="540"/>
    </w:pPr>
    <w:rPr>
      <w:rFonts w:eastAsia="仿宋_GB2312"/>
      <w:sz w:val="28"/>
    </w:rPr>
  </w:style>
  <w:style w:type="paragraph" w:styleId="14">
    <w:name w:val="envelope return"/>
    <w:basedOn w:val="1"/>
    <w:autoRedefine/>
    <w:unhideWhenUsed/>
    <w:qFormat/>
    <w:uiPriority w:val="99"/>
    <w:pPr>
      <w:snapToGrid w:val="0"/>
      <w:spacing w:line="360" w:lineRule="auto"/>
    </w:pPr>
    <w:rPr>
      <w:rFonts w:ascii="Arial" w:hAnsi="Arial" w:cs="Arial"/>
    </w:rPr>
  </w:style>
  <w:style w:type="paragraph" w:styleId="15">
    <w:name w:val="toc 5"/>
    <w:basedOn w:val="1"/>
    <w:next w:val="1"/>
    <w:autoRedefine/>
    <w:qFormat/>
    <w:uiPriority w:val="0"/>
    <w:pPr>
      <w:ind w:left="1680" w:leftChars="800"/>
    </w:pPr>
  </w:style>
  <w:style w:type="paragraph" w:styleId="16">
    <w:name w:val="toc 3"/>
    <w:basedOn w:val="1"/>
    <w:next w:val="1"/>
    <w:autoRedefine/>
    <w:qFormat/>
    <w:uiPriority w:val="39"/>
    <w:pPr>
      <w:ind w:left="840" w:leftChars="400"/>
    </w:pPr>
  </w:style>
  <w:style w:type="paragraph" w:styleId="17">
    <w:name w:val="Plain Text"/>
    <w:basedOn w:val="1"/>
    <w:link w:val="85"/>
    <w:autoRedefine/>
    <w:qFormat/>
    <w:uiPriority w:val="0"/>
    <w:rPr>
      <w:rFonts w:ascii="宋体" w:hAnsi="Courier New" w:cstheme="minorBidi"/>
      <w:szCs w:val="22"/>
    </w:rPr>
  </w:style>
  <w:style w:type="paragraph" w:styleId="18">
    <w:name w:val="toc 8"/>
    <w:basedOn w:val="1"/>
    <w:next w:val="1"/>
    <w:autoRedefine/>
    <w:qFormat/>
    <w:uiPriority w:val="0"/>
    <w:pPr>
      <w:ind w:left="2940" w:leftChars="1400"/>
    </w:pPr>
  </w:style>
  <w:style w:type="paragraph" w:styleId="19">
    <w:name w:val="Date"/>
    <w:basedOn w:val="1"/>
    <w:next w:val="1"/>
    <w:link w:val="65"/>
    <w:autoRedefine/>
    <w:qFormat/>
    <w:uiPriority w:val="0"/>
    <w:rPr>
      <w:rFonts w:ascii="Arial" w:hAnsi="Arial" w:eastAsia="楷体_GB2312"/>
      <w:sz w:val="28"/>
    </w:rPr>
  </w:style>
  <w:style w:type="paragraph" w:styleId="20">
    <w:name w:val="Body Text Indent 2"/>
    <w:basedOn w:val="1"/>
    <w:link w:val="68"/>
    <w:autoRedefine/>
    <w:qFormat/>
    <w:uiPriority w:val="0"/>
    <w:pPr>
      <w:tabs>
        <w:tab w:val="left" w:pos="720"/>
      </w:tabs>
      <w:ind w:right="-506" w:rightChars="-241" w:firstLine="538" w:firstLineChars="192"/>
    </w:pPr>
    <w:rPr>
      <w:rFonts w:eastAsia="仿宋_GB2312"/>
      <w:sz w:val="28"/>
    </w:rPr>
  </w:style>
  <w:style w:type="paragraph" w:styleId="21">
    <w:name w:val="Balloon Text"/>
    <w:basedOn w:val="1"/>
    <w:link w:val="79"/>
    <w:autoRedefine/>
    <w:qFormat/>
    <w:uiPriority w:val="0"/>
    <w:rPr>
      <w:sz w:val="18"/>
      <w:szCs w:val="18"/>
    </w:rPr>
  </w:style>
  <w:style w:type="paragraph" w:styleId="22">
    <w:name w:val="footer"/>
    <w:basedOn w:val="1"/>
    <w:link w:val="60"/>
    <w:autoRedefine/>
    <w:unhideWhenUsed/>
    <w:qFormat/>
    <w:uiPriority w:val="99"/>
    <w:pPr>
      <w:tabs>
        <w:tab w:val="center" w:pos="4153"/>
        <w:tab w:val="right" w:pos="8306"/>
      </w:tabs>
      <w:snapToGrid w:val="0"/>
      <w:jc w:val="left"/>
    </w:pPr>
    <w:rPr>
      <w:sz w:val="18"/>
      <w:szCs w:val="18"/>
    </w:rPr>
  </w:style>
  <w:style w:type="paragraph" w:styleId="23">
    <w:name w:val="header"/>
    <w:basedOn w:val="1"/>
    <w:link w:val="5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autoRedefine/>
    <w:qFormat/>
    <w:uiPriority w:val="0"/>
  </w:style>
  <w:style w:type="paragraph" w:styleId="25">
    <w:name w:val="toc 4"/>
    <w:basedOn w:val="1"/>
    <w:next w:val="1"/>
    <w:autoRedefine/>
    <w:qFormat/>
    <w:uiPriority w:val="0"/>
    <w:pPr>
      <w:ind w:left="1260" w:leftChars="600"/>
    </w:pPr>
  </w:style>
  <w:style w:type="paragraph" w:styleId="26">
    <w:name w:val="toc 6"/>
    <w:basedOn w:val="1"/>
    <w:next w:val="1"/>
    <w:autoRedefine/>
    <w:qFormat/>
    <w:uiPriority w:val="0"/>
    <w:pPr>
      <w:ind w:left="2100" w:leftChars="1000"/>
    </w:pPr>
  </w:style>
  <w:style w:type="paragraph" w:styleId="27">
    <w:name w:val="Body Text Indent 3"/>
    <w:basedOn w:val="1"/>
    <w:link w:val="74"/>
    <w:autoRedefine/>
    <w:qFormat/>
    <w:uiPriority w:val="0"/>
    <w:pPr>
      <w:ind w:left="178" w:leftChars="85" w:firstLine="560" w:firstLineChars="200"/>
    </w:pPr>
    <w:rPr>
      <w:rFonts w:ascii="仿宋_GB2312" w:hAnsi="Arial" w:eastAsia="仿宋_GB2312"/>
      <w:sz w:val="28"/>
      <w:szCs w:val="24"/>
    </w:rPr>
  </w:style>
  <w:style w:type="paragraph" w:styleId="28">
    <w:name w:val="toc 2"/>
    <w:basedOn w:val="1"/>
    <w:next w:val="1"/>
    <w:autoRedefine/>
    <w:qFormat/>
    <w:uiPriority w:val="39"/>
    <w:pPr>
      <w:ind w:left="420" w:leftChars="200"/>
    </w:pPr>
  </w:style>
  <w:style w:type="paragraph" w:styleId="29">
    <w:name w:val="toc 9"/>
    <w:basedOn w:val="1"/>
    <w:next w:val="1"/>
    <w:autoRedefine/>
    <w:qFormat/>
    <w:uiPriority w:val="0"/>
    <w:pPr>
      <w:ind w:left="3360" w:leftChars="1600"/>
    </w:pPr>
  </w:style>
  <w:style w:type="paragraph" w:styleId="30">
    <w:name w:val="Body Text 2"/>
    <w:basedOn w:val="1"/>
    <w:autoRedefine/>
    <w:qFormat/>
    <w:uiPriority w:val="0"/>
    <w:pPr>
      <w:spacing w:after="120" w:line="480" w:lineRule="auto"/>
    </w:pPr>
  </w:style>
  <w:style w:type="paragraph" w:styleId="31">
    <w:name w:val="HTML Preformatted"/>
    <w:basedOn w:val="1"/>
    <w:autoRedefine/>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2">
    <w:name w:val="Normal (Web)"/>
    <w:basedOn w:val="1"/>
    <w:autoRedefine/>
    <w:unhideWhenUsed/>
    <w:qFormat/>
    <w:uiPriority w:val="99"/>
    <w:pPr>
      <w:jc w:val="left"/>
    </w:pPr>
    <w:rPr>
      <w:kern w:val="0"/>
      <w:sz w:val="24"/>
    </w:rPr>
  </w:style>
  <w:style w:type="paragraph" w:styleId="33">
    <w:name w:val="index 1"/>
    <w:basedOn w:val="1"/>
    <w:next w:val="1"/>
    <w:autoRedefine/>
    <w:semiHidden/>
    <w:qFormat/>
    <w:uiPriority w:val="0"/>
    <w:pPr>
      <w:jc w:val="center"/>
    </w:pPr>
    <w:rPr>
      <w:rFonts w:ascii="仿宋_GB2312" w:eastAsia="仿宋_GB2312"/>
      <w:b/>
      <w:bCs/>
      <w:sz w:val="28"/>
    </w:rPr>
  </w:style>
  <w:style w:type="paragraph" w:styleId="34">
    <w:name w:val="annotation subject"/>
    <w:basedOn w:val="8"/>
    <w:next w:val="8"/>
    <w:link w:val="83"/>
    <w:autoRedefine/>
    <w:semiHidden/>
    <w:qFormat/>
    <w:uiPriority w:val="99"/>
    <w:rPr>
      <w:b/>
      <w:bCs/>
    </w:rPr>
  </w:style>
  <w:style w:type="paragraph" w:styleId="35">
    <w:name w:val="Body Text First Indent"/>
    <w:basedOn w:val="10"/>
    <w:next w:val="26"/>
    <w:autoRedefine/>
    <w:unhideWhenUsed/>
    <w:qFormat/>
    <w:uiPriority w:val="99"/>
    <w:pPr>
      <w:spacing w:line="400" w:lineRule="atLeast"/>
      <w:ind w:firstLine="426"/>
    </w:pPr>
    <w:rPr>
      <w:sz w:val="24"/>
      <w:szCs w:val="20"/>
    </w:rPr>
  </w:style>
  <w:style w:type="paragraph" w:styleId="36">
    <w:name w:val="Body Text First Indent 2"/>
    <w:basedOn w:val="13"/>
    <w:autoRedefine/>
    <w:qFormat/>
    <w:uiPriority w:val="0"/>
    <w:pPr>
      <w:spacing w:line="360" w:lineRule="auto"/>
      <w:jc w:val="left"/>
    </w:pPr>
    <w:rPr>
      <w:rFonts w:cs="宋体"/>
      <w:sz w:val="28"/>
      <w:szCs w:val="28"/>
    </w:rPr>
  </w:style>
  <w:style w:type="table" w:styleId="38">
    <w:name w:val="Table Grid"/>
    <w:basedOn w:val="3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basedOn w:val="39"/>
    <w:autoRedefine/>
    <w:qFormat/>
    <w:uiPriority w:val="0"/>
    <w:rPr>
      <w:b/>
      <w:bCs/>
    </w:rPr>
  </w:style>
  <w:style w:type="character" w:styleId="41">
    <w:name w:val="page number"/>
    <w:basedOn w:val="39"/>
    <w:autoRedefine/>
    <w:qFormat/>
    <w:uiPriority w:val="0"/>
  </w:style>
  <w:style w:type="character" w:styleId="42">
    <w:name w:val="FollowedHyperlink"/>
    <w:basedOn w:val="39"/>
    <w:autoRedefine/>
    <w:unhideWhenUsed/>
    <w:qFormat/>
    <w:uiPriority w:val="99"/>
    <w:rPr>
      <w:color w:val="954F72" w:themeColor="followedHyperlink"/>
      <w:u w:val="single"/>
      <w14:textFill>
        <w14:solidFill>
          <w14:schemeClr w14:val="folHlink"/>
        </w14:solidFill>
      </w14:textFill>
    </w:rPr>
  </w:style>
  <w:style w:type="character" w:styleId="43">
    <w:name w:val="Emphasis"/>
    <w:basedOn w:val="39"/>
    <w:autoRedefine/>
    <w:qFormat/>
    <w:uiPriority w:val="20"/>
    <w:rPr>
      <w:b/>
      <w:bCs/>
    </w:rPr>
  </w:style>
  <w:style w:type="character" w:styleId="44">
    <w:name w:val="HTML Definition"/>
    <w:basedOn w:val="39"/>
    <w:autoRedefine/>
    <w:semiHidden/>
    <w:unhideWhenUsed/>
    <w:qFormat/>
    <w:uiPriority w:val="99"/>
  </w:style>
  <w:style w:type="character" w:styleId="45">
    <w:name w:val="HTML Typewriter"/>
    <w:basedOn w:val="39"/>
    <w:autoRedefine/>
    <w:semiHidden/>
    <w:unhideWhenUsed/>
    <w:qFormat/>
    <w:uiPriority w:val="99"/>
    <w:rPr>
      <w:rFonts w:hint="default" w:ascii="monospace" w:hAnsi="monospace" w:eastAsia="monospace" w:cs="monospace"/>
      <w:sz w:val="20"/>
    </w:rPr>
  </w:style>
  <w:style w:type="character" w:styleId="46">
    <w:name w:val="HTML Acronym"/>
    <w:basedOn w:val="39"/>
    <w:autoRedefine/>
    <w:semiHidden/>
    <w:unhideWhenUsed/>
    <w:qFormat/>
    <w:uiPriority w:val="99"/>
  </w:style>
  <w:style w:type="character" w:styleId="47">
    <w:name w:val="HTML Variable"/>
    <w:basedOn w:val="39"/>
    <w:autoRedefine/>
    <w:semiHidden/>
    <w:unhideWhenUsed/>
    <w:qFormat/>
    <w:uiPriority w:val="99"/>
  </w:style>
  <w:style w:type="character" w:styleId="48">
    <w:name w:val="Hyperlink"/>
    <w:basedOn w:val="39"/>
    <w:autoRedefine/>
    <w:qFormat/>
    <w:uiPriority w:val="99"/>
    <w:rPr>
      <w:color w:val="333333"/>
      <w:u w:val="none"/>
    </w:rPr>
  </w:style>
  <w:style w:type="character" w:styleId="49">
    <w:name w:val="HTML Code"/>
    <w:basedOn w:val="39"/>
    <w:autoRedefine/>
    <w:semiHidden/>
    <w:unhideWhenUsed/>
    <w:qFormat/>
    <w:uiPriority w:val="99"/>
    <w:rPr>
      <w:rFonts w:hint="default" w:ascii="monospace" w:hAnsi="monospace" w:eastAsia="monospace" w:cs="monospace"/>
      <w:sz w:val="20"/>
    </w:rPr>
  </w:style>
  <w:style w:type="character" w:styleId="50">
    <w:name w:val="annotation reference"/>
    <w:autoRedefine/>
    <w:semiHidden/>
    <w:qFormat/>
    <w:uiPriority w:val="99"/>
    <w:rPr>
      <w:sz w:val="21"/>
      <w:szCs w:val="21"/>
    </w:rPr>
  </w:style>
  <w:style w:type="character" w:styleId="51">
    <w:name w:val="HTML Cite"/>
    <w:basedOn w:val="39"/>
    <w:autoRedefine/>
    <w:semiHidden/>
    <w:unhideWhenUsed/>
    <w:qFormat/>
    <w:uiPriority w:val="99"/>
  </w:style>
  <w:style w:type="character" w:styleId="52">
    <w:name w:val="HTML Keyboard"/>
    <w:basedOn w:val="39"/>
    <w:autoRedefine/>
    <w:semiHidden/>
    <w:unhideWhenUsed/>
    <w:qFormat/>
    <w:uiPriority w:val="99"/>
    <w:rPr>
      <w:rFonts w:ascii="monospace" w:hAnsi="monospace" w:eastAsia="monospace" w:cs="monospace"/>
      <w:sz w:val="20"/>
    </w:rPr>
  </w:style>
  <w:style w:type="character" w:styleId="53">
    <w:name w:val="HTML Sample"/>
    <w:basedOn w:val="39"/>
    <w:autoRedefine/>
    <w:semiHidden/>
    <w:unhideWhenUsed/>
    <w:qFormat/>
    <w:uiPriority w:val="99"/>
    <w:rPr>
      <w:rFonts w:hint="default" w:ascii="monospace" w:hAnsi="monospace" w:eastAsia="monospace" w:cs="monospace"/>
    </w:rPr>
  </w:style>
  <w:style w:type="paragraph" w:customStyle="1" w:styleId="54">
    <w:name w:val="_Style 2"/>
    <w:basedOn w:val="1"/>
    <w:next w:val="1"/>
    <w:autoRedefine/>
    <w:qFormat/>
    <w:uiPriority w:val="0"/>
    <w:pPr>
      <w:ind w:firstLine="420" w:firstLineChars="200"/>
    </w:pPr>
    <w:rPr>
      <w:rFonts w:ascii="Times New Roman" w:hAnsi="Times New Roman" w:eastAsia="宋体" w:cs="Times New Roman"/>
      <w:szCs w:val="24"/>
    </w:rPr>
  </w:style>
  <w:style w:type="paragraph" w:customStyle="1" w:styleId="55">
    <w:name w:val="style4"/>
    <w:basedOn w:val="1"/>
    <w:next w:val="56"/>
    <w:autoRedefine/>
    <w:qFormat/>
    <w:uiPriority w:val="0"/>
    <w:pPr>
      <w:widowControl/>
      <w:spacing w:before="280" w:after="280"/>
    </w:pPr>
    <w:rPr>
      <w:rFonts w:ascii="宋体"/>
      <w:sz w:val="18"/>
    </w:rPr>
  </w:style>
  <w:style w:type="paragraph" w:customStyle="1" w:styleId="56">
    <w:name w:val="2"/>
    <w:next w:val="1"/>
    <w:autoRedefine/>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57">
    <w:name w:val="列出段落1"/>
    <w:basedOn w:val="1"/>
    <w:autoRedefine/>
    <w:qFormat/>
    <w:uiPriority w:val="0"/>
    <w:pPr>
      <w:ind w:firstLine="420" w:firstLineChars="200"/>
    </w:pPr>
    <w:rPr>
      <w:rFonts w:ascii="Calibri" w:hAnsi="Calibri"/>
      <w:szCs w:val="22"/>
    </w:rPr>
  </w:style>
  <w:style w:type="paragraph" w:customStyle="1" w:styleId="58">
    <w:name w:val="目录 71"/>
    <w:basedOn w:val="1"/>
    <w:next w:val="1"/>
    <w:autoRedefine/>
    <w:qFormat/>
    <w:uiPriority w:val="0"/>
    <w:pPr>
      <w:ind w:left="2520"/>
    </w:pPr>
    <w:rPr>
      <w:rFonts w:ascii="Calibri"/>
    </w:rPr>
  </w:style>
  <w:style w:type="character" w:customStyle="1" w:styleId="59">
    <w:name w:val="页眉 字符"/>
    <w:basedOn w:val="39"/>
    <w:link w:val="23"/>
    <w:autoRedefine/>
    <w:qFormat/>
    <w:uiPriority w:val="0"/>
    <w:rPr>
      <w:sz w:val="18"/>
      <w:szCs w:val="18"/>
    </w:rPr>
  </w:style>
  <w:style w:type="character" w:customStyle="1" w:styleId="60">
    <w:name w:val="页脚 字符"/>
    <w:basedOn w:val="39"/>
    <w:link w:val="22"/>
    <w:autoRedefine/>
    <w:qFormat/>
    <w:uiPriority w:val="0"/>
    <w:rPr>
      <w:sz w:val="18"/>
      <w:szCs w:val="18"/>
    </w:rPr>
  </w:style>
  <w:style w:type="character" w:customStyle="1" w:styleId="61">
    <w:name w:val="标题 1 字符"/>
    <w:basedOn w:val="39"/>
    <w:link w:val="2"/>
    <w:autoRedefine/>
    <w:qFormat/>
    <w:uiPriority w:val="0"/>
    <w:rPr>
      <w:rFonts w:ascii="Times New Roman" w:hAnsi="Times New Roman" w:eastAsia="宋体" w:cs="Times New Roman"/>
      <w:sz w:val="28"/>
      <w:szCs w:val="24"/>
    </w:rPr>
  </w:style>
  <w:style w:type="character" w:customStyle="1" w:styleId="62">
    <w:name w:val="标题 2 Char"/>
    <w:basedOn w:val="39"/>
    <w:link w:val="3"/>
    <w:autoRedefine/>
    <w:qFormat/>
    <w:uiPriority w:val="0"/>
    <w:rPr>
      <w:rFonts w:ascii="Arial" w:hAnsi="Arial" w:eastAsia="黑体" w:cs="Times New Roman"/>
      <w:b/>
      <w:kern w:val="0"/>
      <w:sz w:val="32"/>
      <w:szCs w:val="20"/>
    </w:rPr>
  </w:style>
  <w:style w:type="character" w:customStyle="1" w:styleId="63">
    <w:name w:val="标题 3 字符"/>
    <w:basedOn w:val="39"/>
    <w:link w:val="4"/>
    <w:autoRedefine/>
    <w:qFormat/>
    <w:uiPriority w:val="0"/>
    <w:rPr>
      <w:rFonts w:ascii="Times New Roman" w:hAnsi="Times New Roman" w:eastAsia="宋体" w:cs="Times New Roman"/>
      <w:b/>
      <w:bCs/>
      <w:sz w:val="32"/>
      <w:szCs w:val="32"/>
      <w:lang w:val="zh-CN" w:eastAsia="zh-CN"/>
    </w:rPr>
  </w:style>
  <w:style w:type="character" w:customStyle="1" w:styleId="64">
    <w:name w:val="标题 4 字符"/>
    <w:basedOn w:val="39"/>
    <w:link w:val="5"/>
    <w:autoRedefine/>
    <w:qFormat/>
    <w:uiPriority w:val="0"/>
    <w:rPr>
      <w:rFonts w:ascii="Arial" w:hAnsi="Arial" w:eastAsia="黑体" w:cs="Times New Roman"/>
      <w:b/>
      <w:kern w:val="0"/>
      <w:sz w:val="28"/>
      <w:szCs w:val="20"/>
    </w:rPr>
  </w:style>
  <w:style w:type="character" w:customStyle="1" w:styleId="65">
    <w:name w:val="日期 字符"/>
    <w:basedOn w:val="39"/>
    <w:link w:val="19"/>
    <w:autoRedefine/>
    <w:qFormat/>
    <w:uiPriority w:val="0"/>
    <w:rPr>
      <w:rFonts w:ascii="Arial" w:hAnsi="Arial" w:eastAsia="楷体_GB2312" w:cs="Times New Roman"/>
      <w:sz w:val="28"/>
      <w:szCs w:val="20"/>
    </w:rPr>
  </w:style>
  <w:style w:type="character" w:customStyle="1" w:styleId="66">
    <w:name w:val="正文文本缩进 字符"/>
    <w:basedOn w:val="39"/>
    <w:link w:val="13"/>
    <w:autoRedefine/>
    <w:qFormat/>
    <w:uiPriority w:val="0"/>
    <w:rPr>
      <w:rFonts w:ascii="Times New Roman" w:hAnsi="Times New Roman" w:eastAsia="仿宋_GB2312" w:cs="Times New Roman"/>
      <w:sz w:val="28"/>
      <w:szCs w:val="20"/>
    </w:rPr>
  </w:style>
  <w:style w:type="paragraph" w:customStyle="1" w:styleId="67">
    <w:name w:val="_Style 2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8">
    <w:name w:val="正文文本缩进 2 字符"/>
    <w:basedOn w:val="39"/>
    <w:link w:val="20"/>
    <w:autoRedefine/>
    <w:qFormat/>
    <w:uiPriority w:val="0"/>
    <w:rPr>
      <w:rFonts w:ascii="Times New Roman" w:hAnsi="Times New Roman" w:eastAsia="仿宋_GB2312" w:cs="Times New Roman"/>
      <w:sz w:val="28"/>
      <w:szCs w:val="20"/>
    </w:rPr>
  </w:style>
  <w:style w:type="paragraph" w:customStyle="1" w:styleId="69">
    <w:name w:val="样式1"/>
    <w:basedOn w:val="1"/>
    <w:autoRedefine/>
    <w:qFormat/>
    <w:uiPriority w:val="0"/>
    <w:pPr>
      <w:numPr>
        <w:ilvl w:val="0"/>
        <w:numId w:val="1"/>
      </w:numPr>
      <w:adjustRightInd w:val="0"/>
      <w:textAlignment w:val="baseline"/>
    </w:pPr>
    <w:rPr>
      <w:rFonts w:ascii="宋体" w:hAnsi="宋体"/>
      <w:kern w:val="0"/>
    </w:rPr>
  </w:style>
  <w:style w:type="paragraph" w:customStyle="1" w:styleId="70">
    <w:name w:val="样式 宋体 五号 行距: 单倍行距"/>
    <w:basedOn w:val="1"/>
    <w:autoRedefine/>
    <w:qFormat/>
    <w:uiPriority w:val="0"/>
    <w:pPr>
      <w:adjustRightInd w:val="0"/>
      <w:jc w:val="left"/>
      <w:textAlignment w:val="baseline"/>
    </w:pPr>
    <w:rPr>
      <w:rFonts w:ascii="宋体" w:hAnsi="宋体"/>
      <w:kern w:val="0"/>
    </w:rPr>
  </w:style>
  <w:style w:type="paragraph" w:customStyle="1" w:styleId="71">
    <w:name w:val="样式 标题 2 + 宋体 五号 行距: 单倍行距"/>
    <w:basedOn w:val="3"/>
    <w:autoRedefine/>
    <w:qFormat/>
    <w:uiPriority w:val="0"/>
    <w:pPr>
      <w:spacing w:line="240" w:lineRule="auto"/>
    </w:pPr>
    <w:rPr>
      <w:rFonts w:ascii="宋体" w:hAnsi="宋体" w:eastAsia="宋体"/>
      <w:sz w:val="21"/>
    </w:rPr>
  </w:style>
  <w:style w:type="paragraph" w:customStyle="1" w:styleId="72">
    <w:name w:val="Char Char Char Char Char"/>
    <w:basedOn w:val="1"/>
    <w:autoRedefine/>
    <w:qFormat/>
    <w:uiPriority w:val="0"/>
    <w:rPr>
      <w:rFonts w:ascii="Tahoma" w:hAnsi="Tahoma"/>
      <w:sz w:val="24"/>
    </w:rPr>
  </w:style>
  <w:style w:type="paragraph" w:customStyle="1" w:styleId="73">
    <w:name w:val="Char"/>
    <w:basedOn w:val="1"/>
    <w:autoRedefine/>
    <w:qFormat/>
    <w:uiPriority w:val="0"/>
    <w:rPr>
      <w:rFonts w:ascii="Tahoma" w:hAnsi="Tahoma"/>
      <w:sz w:val="24"/>
    </w:rPr>
  </w:style>
  <w:style w:type="character" w:customStyle="1" w:styleId="74">
    <w:name w:val="正文文本缩进 3 字符"/>
    <w:basedOn w:val="39"/>
    <w:link w:val="27"/>
    <w:autoRedefine/>
    <w:qFormat/>
    <w:uiPriority w:val="0"/>
    <w:rPr>
      <w:rFonts w:ascii="仿宋_GB2312" w:hAnsi="Arial" w:eastAsia="仿宋_GB2312" w:cs="Times New Roman"/>
      <w:sz w:val="28"/>
      <w:szCs w:val="24"/>
    </w:rPr>
  </w:style>
  <w:style w:type="paragraph" w:customStyle="1" w:styleId="75">
    <w:name w:val="Char1"/>
    <w:basedOn w:val="1"/>
    <w:autoRedefine/>
    <w:qFormat/>
    <w:uiPriority w:val="0"/>
    <w:rPr>
      <w:rFonts w:ascii="Tahoma" w:hAnsi="Tahoma" w:eastAsia="仿宋_GB2312"/>
      <w:sz w:val="24"/>
    </w:rPr>
  </w:style>
  <w:style w:type="paragraph" w:customStyle="1" w:styleId="76">
    <w:name w:val="Char Char Char Char Char Char Char1 Char"/>
    <w:basedOn w:val="1"/>
    <w:autoRedefine/>
    <w:qFormat/>
    <w:uiPriority w:val="0"/>
    <w:rPr>
      <w:rFonts w:ascii="Tahoma" w:hAnsi="Tahoma"/>
      <w:sz w:val="24"/>
    </w:rPr>
  </w:style>
  <w:style w:type="character" w:customStyle="1" w:styleId="77">
    <w:name w:val="正文文本 字符"/>
    <w:basedOn w:val="39"/>
    <w:link w:val="10"/>
    <w:autoRedefine/>
    <w:qFormat/>
    <w:uiPriority w:val="0"/>
    <w:rPr>
      <w:rFonts w:ascii="Times New Roman" w:hAnsi="Times New Roman" w:eastAsia="宋体" w:cs="Times New Roman"/>
      <w:szCs w:val="24"/>
    </w:rPr>
  </w:style>
  <w:style w:type="paragraph" w:customStyle="1" w:styleId="78">
    <w:name w:val="Char Char Char Char"/>
    <w:basedOn w:val="1"/>
    <w:next w:val="1"/>
    <w:autoRedefine/>
    <w:qFormat/>
    <w:uiPriority w:val="0"/>
    <w:pPr>
      <w:widowControl/>
      <w:spacing w:line="360" w:lineRule="auto"/>
      <w:jc w:val="left"/>
    </w:pPr>
  </w:style>
  <w:style w:type="character" w:customStyle="1" w:styleId="79">
    <w:name w:val="批注框文本 字符"/>
    <w:basedOn w:val="39"/>
    <w:link w:val="21"/>
    <w:autoRedefine/>
    <w:qFormat/>
    <w:uiPriority w:val="0"/>
    <w:rPr>
      <w:rFonts w:ascii="Times New Roman" w:hAnsi="Times New Roman" w:eastAsia="宋体" w:cs="Times New Roman"/>
      <w:sz w:val="18"/>
      <w:szCs w:val="18"/>
    </w:rPr>
  </w:style>
  <w:style w:type="paragraph" w:customStyle="1" w:styleId="80">
    <w:name w:val="Char Char Char"/>
    <w:basedOn w:val="1"/>
    <w:autoRedefine/>
    <w:qFormat/>
    <w:uiPriority w:val="0"/>
    <w:rPr>
      <w:rFonts w:ascii="Tahoma" w:hAnsi="Tahoma"/>
      <w:sz w:val="24"/>
    </w:rPr>
  </w:style>
  <w:style w:type="paragraph" w:customStyle="1" w:styleId="81">
    <w:name w:val="Char Char Char Char Char Char Char Char Char Char"/>
    <w:basedOn w:val="1"/>
    <w:autoRedefine/>
    <w:qFormat/>
    <w:uiPriority w:val="0"/>
    <w:rPr>
      <w:rFonts w:ascii="Tahoma" w:hAnsi="Tahoma" w:cs="仿宋_GB2312"/>
      <w:sz w:val="24"/>
    </w:rPr>
  </w:style>
  <w:style w:type="character" w:customStyle="1" w:styleId="82">
    <w:name w:val="批注文字 字符"/>
    <w:basedOn w:val="39"/>
    <w:link w:val="8"/>
    <w:autoRedefine/>
    <w:semiHidden/>
    <w:qFormat/>
    <w:uiPriority w:val="99"/>
    <w:rPr>
      <w:rFonts w:ascii="Times New Roman" w:hAnsi="Times New Roman" w:eastAsia="宋体" w:cs="Times New Roman"/>
      <w:szCs w:val="20"/>
    </w:rPr>
  </w:style>
  <w:style w:type="character" w:customStyle="1" w:styleId="83">
    <w:name w:val="批注主题 字符"/>
    <w:basedOn w:val="82"/>
    <w:link w:val="34"/>
    <w:autoRedefine/>
    <w:semiHidden/>
    <w:qFormat/>
    <w:uiPriority w:val="99"/>
    <w:rPr>
      <w:rFonts w:ascii="Times New Roman" w:hAnsi="Times New Roman" w:eastAsia="宋体" w:cs="Times New Roman"/>
      <w:b/>
      <w:bCs/>
      <w:szCs w:val="20"/>
    </w:rPr>
  </w:style>
  <w:style w:type="paragraph" w:customStyle="1" w:styleId="84">
    <w:name w:val="Char Char Char Char Char Char"/>
    <w:basedOn w:val="1"/>
    <w:autoRedefine/>
    <w:qFormat/>
    <w:uiPriority w:val="0"/>
  </w:style>
  <w:style w:type="character" w:customStyle="1" w:styleId="85">
    <w:name w:val="纯文本 字符"/>
    <w:link w:val="17"/>
    <w:autoRedefine/>
    <w:qFormat/>
    <w:uiPriority w:val="0"/>
    <w:rPr>
      <w:rFonts w:ascii="宋体" w:hAnsi="Courier New" w:eastAsia="宋体"/>
    </w:rPr>
  </w:style>
  <w:style w:type="character" w:customStyle="1" w:styleId="86">
    <w:name w:val="纯文本 Char1"/>
    <w:basedOn w:val="39"/>
    <w:autoRedefine/>
    <w:semiHidden/>
    <w:qFormat/>
    <w:uiPriority w:val="99"/>
    <w:rPr>
      <w:rFonts w:ascii="宋体" w:hAnsi="Courier New" w:eastAsia="宋体" w:cs="Courier New"/>
      <w:szCs w:val="21"/>
    </w:rPr>
  </w:style>
  <w:style w:type="paragraph" w:customStyle="1" w:styleId="87">
    <w:name w:val="Char12 Char Char Char"/>
    <w:basedOn w:val="1"/>
    <w:autoRedefine/>
    <w:qFormat/>
    <w:uiPriority w:val="0"/>
  </w:style>
  <w:style w:type="character" w:customStyle="1" w:styleId="88">
    <w:name w:val="文档结构图 字符"/>
    <w:basedOn w:val="39"/>
    <w:link w:val="7"/>
    <w:autoRedefine/>
    <w:qFormat/>
    <w:uiPriority w:val="0"/>
    <w:rPr>
      <w:rFonts w:ascii="Times New Roman" w:hAnsi="Times New Roman" w:eastAsia="宋体" w:cs="Times New Roman"/>
      <w:szCs w:val="20"/>
      <w:shd w:val="clear" w:color="auto" w:fill="000080"/>
    </w:rPr>
  </w:style>
  <w:style w:type="character" w:customStyle="1" w:styleId="89">
    <w:name w:val="style29"/>
    <w:autoRedefine/>
    <w:qFormat/>
    <w:uiPriority w:val="0"/>
  </w:style>
  <w:style w:type="character" w:customStyle="1" w:styleId="90">
    <w:name w:val="正文1"/>
    <w:autoRedefine/>
    <w:qFormat/>
    <w:uiPriority w:val="0"/>
  </w:style>
  <w:style w:type="character" w:customStyle="1" w:styleId="91">
    <w:name w:val="font11"/>
    <w:autoRedefine/>
    <w:qFormat/>
    <w:uiPriority w:val="0"/>
    <w:rPr>
      <w:rFonts w:hint="default" w:ascii="Times New Roman" w:hAnsi="Times New Roman" w:cs="Times New Roman"/>
      <w:color w:val="3366FF"/>
      <w:sz w:val="24"/>
      <w:szCs w:val="24"/>
      <w:u w:val="none"/>
    </w:rPr>
  </w:style>
  <w:style w:type="character" w:customStyle="1" w:styleId="92">
    <w:name w:val="font21"/>
    <w:autoRedefine/>
    <w:qFormat/>
    <w:uiPriority w:val="0"/>
    <w:rPr>
      <w:rFonts w:hint="eastAsia" w:ascii="宋体" w:hAnsi="宋体" w:eastAsia="宋体"/>
      <w:color w:val="3366FF"/>
      <w:sz w:val="24"/>
      <w:szCs w:val="24"/>
      <w:u w:val="none"/>
    </w:rPr>
  </w:style>
  <w:style w:type="paragraph" w:customStyle="1" w:styleId="93">
    <w:name w:val="Char Char15"/>
    <w:basedOn w:val="1"/>
    <w:autoRedefine/>
    <w:qFormat/>
    <w:uiPriority w:val="0"/>
    <w:rPr>
      <w:rFonts w:ascii="Tahoma" w:hAnsi="Tahoma" w:eastAsia="仿宋_GB2312"/>
      <w:sz w:val="24"/>
    </w:rPr>
  </w:style>
  <w:style w:type="paragraph" w:customStyle="1" w:styleId="94">
    <w:name w:val="Char2"/>
    <w:basedOn w:val="1"/>
    <w:autoRedefine/>
    <w:qFormat/>
    <w:uiPriority w:val="0"/>
    <w:pPr>
      <w:tabs>
        <w:tab w:val="left" w:pos="360"/>
      </w:tabs>
    </w:pPr>
    <w:rPr>
      <w:sz w:val="24"/>
      <w:szCs w:val="24"/>
    </w:rPr>
  </w:style>
  <w:style w:type="paragraph" w:customStyle="1" w:styleId="95">
    <w:name w:val="Char16"/>
    <w:basedOn w:val="1"/>
    <w:autoRedefine/>
    <w:qFormat/>
    <w:uiPriority w:val="0"/>
    <w:rPr>
      <w:rFonts w:ascii="Tahoma" w:hAnsi="Tahoma" w:eastAsia="仿宋_GB2312"/>
      <w:sz w:val="24"/>
    </w:rPr>
  </w:style>
  <w:style w:type="paragraph" w:customStyle="1" w:styleId="96">
    <w:name w:val="Char Char1"/>
    <w:basedOn w:val="1"/>
    <w:autoRedefine/>
    <w:qFormat/>
    <w:uiPriority w:val="0"/>
    <w:rPr>
      <w:rFonts w:ascii="Tahoma" w:hAnsi="Tahoma"/>
      <w:sz w:val="24"/>
    </w:rPr>
  </w:style>
  <w:style w:type="paragraph" w:customStyle="1" w:styleId="97">
    <w:name w:val="Char Char Char Char Char Char Char"/>
    <w:basedOn w:val="1"/>
    <w:autoRedefine/>
    <w:qFormat/>
    <w:uiPriority w:val="0"/>
    <w:rPr>
      <w:szCs w:val="24"/>
    </w:rPr>
  </w:style>
  <w:style w:type="paragraph" w:customStyle="1" w:styleId="98">
    <w:name w:val="Char Char"/>
    <w:basedOn w:val="1"/>
    <w:autoRedefine/>
    <w:qFormat/>
    <w:uiPriority w:val="0"/>
    <w:rPr>
      <w:rFonts w:ascii="Tahoma" w:hAnsi="Tahoma" w:cs="仿宋_GB2312"/>
      <w:sz w:val="24"/>
    </w:rPr>
  </w:style>
  <w:style w:type="paragraph" w:customStyle="1" w:styleId="99">
    <w:name w:val="Char Char2"/>
    <w:basedOn w:val="1"/>
    <w:autoRedefine/>
    <w:qFormat/>
    <w:uiPriority w:val="0"/>
    <w:rPr>
      <w:rFonts w:ascii="Tahoma" w:hAnsi="Tahoma" w:cs="仿宋_GB2312"/>
      <w:sz w:val="24"/>
    </w:rPr>
  </w:style>
  <w:style w:type="paragraph" w:customStyle="1" w:styleId="100">
    <w:name w:val="Char Char Char1"/>
    <w:basedOn w:val="1"/>
    <w:autoRedefine/>
    <w:qFormat/>
    <w:uiPriority w:val="0"/>
    <w:rPr>
      <w:rFonts w:ascii="Tahoma" w:hAnsi="Tahoma"/>
      <w:sz w:val="24"/>
    </w:rPr>
  </w:style>
  <w:style w:type="paragraph" w:customStyle="1" w:styleId="101">
    <w:name w:val="D&amp;L"/>
    <w:basedOn w:val="23"/>
    <w:autoRedefine/>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102">
    <w:name w:val="正文文本 3 字符"/>
    <w:basedOn w:val="39"/>
    <w:link w:val="9"/>
    <w:autoRedefine/>
    <w:qFormat/>
    <w:uiPriority w:val="99"/>
    <w:rPr>
      <w:rFonts w:ascii="Calibri" w:hAnsi="Calibri" w:eastAsia="宋体" w:cs="Times New Roman"/>
      <w:sz w:val="16"/>
      <w:szCs w:val="16"/>
      <w:lang w:val="zh-CN" w:eastAsia="zh-CN"/>
    </w:rPr>
  </w:style>
  <w:style w:type="paragraph" w:customStyle="1" w:styleId="103">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104">
    <w:name w:val="正文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5">
    <w:name w:val="style23"/>
    <w:autoRedefine/>
    <w:qFormat/>
    <w:uiPriority w:val="0"/>
    <w:rPr>
      <w:rFonts w:ascii="Times New Roman" w:hAnsi="Times New Roman" w:eastAsia="宋体"/>
    </w:rPr>
  </w:style>
  <w:style w:type="paragraph" w:customStyle="1" w:styleId="106">
    <w:name w:val="p0"/>
    <w:basedOn w:val="1"/>
    <w:autoRedefine/>
    <w:qFormat/>
    <w:uiPriority w:val="0"/>
    <w:pPr>
      <w:widowControl/>
      <w:jc w:val="left"/>
    </w:pPr>
    <w:rPr>
      <w:rFonts w:ascii="等线" w:hAnsi="等线" w:eastAsia="等线" w:cs="等线"/>
      <w:kern w:val="0"/>
      <w:sz w:val="20"/>
      <w:szCs w:val="22"/>
    </w:rPr>
  </w:style>
  <w:style w:type="paragraph" w:customStyle="1" w:styleId="107">
    <w:name w:val="列表段落1"/>
    <w:basedOn w:val="1"/>
    <w:autoRedefine/>
    <w:qFormat/>
    <w:uiPriority w:val="34"/>
    <w:pPr>
      <w:ind w:firstLine="420" w:firstLineChars="200"/>
    </w:pPr>
    <w:rPr>
      <w:szCs w:val="24"/>
    </w:rPr>
  </w:style>
  <w:style w:type="paragraph" w:customStyle="1" w:styleId="108">
    <w:name w:val="y-正文"/>
    <w:basedOn w:val="1"/>
    <w:autoRedefine/>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styleId="109">
    <w:name w:val="List Paragraph"/>
    <w:basedOn w:val="1"/>
    <w:autoRedefine/>
    <w:qFormat/>
    <w:uiPriority w:val="99"/>
    <w:pPr>
      <w:ind w:firstLine="420" w:firstLineChars="200"/>
    </w:pPr>
  </w:style>
  <w:style w:type="table" w:customStyle="1" w:styleId="110">
    <w:name w:val="Table Normal"/>
    <w:autoRedefine/>
    <w:semiHidden/>
    <w:unhideWhenUsed/>
    <w:qFormat/>
    <w:uiPriority w:val="0"/>
    <w:rPr>
      <w:rFonts w:ascii="Arial" w:hAnsi="Arial" w:cs="Arial" w:eastAsiaTheme="minorEastAsia"/>
    </w:rPr>
    <w:tblPr>
      <w:tblCellMar>
        <w:top w:w="0" w:type="dxa"/>
        <w:left w:w="0" w:type="dxa"/>
        <w:bottom w:w="0" w:type="dxa"/>
        <w:right w:w="0" w:type="dxa"/>
      </w:tblCellMar>
    </w:tblPr>
  </w:style>
  <w:style w:type="character" w:customStyle="1" w:styleId="111">
    <w:name w:val="first-child3"/>
    <w:basedOn w:val="39"/>
    <w:autoRedefine/>
    <w:qFormat/>
    <w:uiPriority w:val="0"/>
  </w:style>
  <w:style w:type="character" w:customStyle="1" w:styleId="112">
    <w:name w:val="layui-this"/>
    <w:basedOn w:val="39"/>
    <w:autoRedefine/>
    <w:qFormat/>
    <w:uiPriority w:val="0"/>
    <w:rPr>
      <w:bdr w:val="single" w:color="EEEEEE" w:sz="4" w:space="0"/>
      <w:shd w:val="clear" w:color="auto" w:fill="FFFFFF"/>
    </w:rPr>
  </w:style>
  <w:style w:type="character" w:customStyle="1" w:styleId="113">
    <w:name w:val="first-child2"/>
    <w:basedOn w:val="39"/>
    <w:autoRedefine/>
    <w:qFormat/>
    <w:uiPriority w:val="0"/>
  </w:style>
  <w:style w:type="character" w:customStyle="1" w:styleId="114">
    <w:name w:val="first-child"/>
    <w:basedOn w:val="39"/>
    <w:autoRedefine/>
    <w:qFormat/>
    <w:uiPriority w:val="0"/>
  </w:style>
  <w:style w:type="character" w:customStyle="1" w:styleId="115">
    <w:name w:val="first-child1"/>
    <w:basedOn w:val="39"/>
    <w:autoRedefine/>
    <w:qFormat/>
    <w:uiPriority w:val="0"/>
  </w:style>
  <w:style w:type="paragraph" w:customStyle="1" w:styleId="116">
    <w:name w:val="Table Paragraph"/>
    <w:basedOn w:val="1"/>
    <w:autoRedefine/>
    <w:qFormat/>
    <w:uiPriority w:val="99"/>
    <w:pPr>
      <w:jc w:val="left"/>
    </w:pPr>
    <w:rPr>
      <w:rFonts w:ascii="宋体" w:hAnsi="宋体" w:cs="宋体"/>
      <w:kern w:val="0"/>
      <w:sz w:val="22"/>
      <w:szCs w:val="22"/>
      <w:lang w:eastAsia="en-US"/>
    </w:rPr>
  </w:style>
  <w:style w:type="character" w:customStyle="1" w:styleId="117">
    <w:name w:val="标题 2 字符"/>
    <w:link w:val="3"/>
    <w:autoRedefine/>
    <w:qFormat/>
    <w:uiPriority w:val="0"/>
    <w:rPr>
      <w:rFonts w:ascii="Arial" w:hAnsi="Arial" w:eastAsia="黑体"/>
      <w:b/>
      <w:bCs/>
      <w:sz w:val="32"/>
      <w:szCs w:val="32"/>
    </w:rPr>
  </w:style>
  <w:style w:type="character" w:customStyle="1" w:styleId="118">
    <w:name w:val="place"/>
    <w:basedOn w:val="39"/>
    <w:autoRedefine/>
    <w:qFormat/>
    <w:uiPriority w:val="0"/>
  </w:style>
  <w:style w:type="character" w:customStyle="1" w:styleId="119">
    <w:name w:val="place1"/>
    <w:basedOn w:val="39"/>
    <w:autoRedefine/>
    <w:qFormat/>
    <w:uiPriority w:val="0"/>
  </w:style>
  <w:style w:type="character" w:customStyle="1" w:styleId="120">
    <w:name w:val="place2"/>
    <w:basedOn w:val="39"/>
    <w:autoRedefine/>
    <w:qFormat/>
    <w:uiPriority w:val="0"/>
    <w:rPr>
      <w:rFonts w:ascii="微软雅黑" w:hAnsi="微软雅黑" w:eastAsia="微软雅黑" w:cs="微软雅黑"/>
      <w:color w:val="888888"/>
      <w:sz w:val="20"/>
      <w:szCs w:val="20"/>
    </w:rPr>
  </w:style>
  <w:style w:type="character" w:customStyle="1" w:styleId="121">
    <w:name w:val="place3"/>
    <w:basedOn w:val="39"/>
    <w:autoRedefine/>
    <w:qFormat/>
    <w:uiPriority w:val="0"/>
  </w:style>
  <w:style w:type="character" w:customStyle="1" w:styleId="122">
    <w:name w:val="font"/>
    <w:basedOn w:val="39"/>
    <w:autoRedefine/>
    <w:qFormat/>
    <w:uiPriority w:val="0"/>
  </w:style>
  <w:style w:type="character" w:customStyle="1" w:styleId="123">
    <w:name w:val="font1"/>
    <w:basedOn w:val="39"/>
    <w:autoRedefine/>
    <w:qFormat/>
    <w:uiPriority w:val="0"/>
  </w:style>
  <w:style w:type="character" w:customStyle="1" w:styleId="124">
    <w:name w:val="gwds_nopic"/>
    <w:basedOn w:val="39"/>
    <w:autoRedefine/>
    <w:qFormat/>
    <w:uiPriority w:val="0"/>
  </w:style>
  <w:style w:type="character" w:customStyle="1" w:styleId="125">
    <w:name w:val="gwds_nopic1"/>
    <w:basedOn w:val="39"/>
    <w:autoRedefine/>
    <w:qFormat/>
    <w:uiPriority w:val="0"/>
  </w:style>
  <w:style w:type="character" w:customStyle="1" w:styleId="126">
    <w:name w:val="gwds_nopic2"/>
    <w:basedOn w:val="39"/>
    <w:autoRedefine/>
    <w:qFormat/>
    <w:uiPriority w:val="0"/>
  </w:style>
  <w:style w:type="character" w:customStyle="1" w:styleId="127">
    <w:name w:val="noline"/>
    <w:basedOn w:val="39"/>
    <w:autoRedefine/>
    <w:qFormat/>
    <w:uiPriority w:val="0"/>
  </w:style>
  <w:style w:type="character" w:customStyle="1" w:styleId="128">
    <w:name w:val="hover17"/>
    <w:basedOn w:val="39"/>
    <w:autoRedefine/>
    <w:qFormat/>
    <w:uiPriority w:val="0"/>
    <w:rPr>
      <w:color w:val="025291"/>
    </w:rPr>
  </w:style>
  <w:style w:type="character" w:customStyle="1" w:styleId="129">
    <w:name w:val="Unresolved Mention"/>
    <w:basedOn w:val="39"/>
    <w:autoRedefine/>
    <w:semiHidden/>
    <w:unhideWhenUsed/>
    <w:qFormat/>
    <w:uiPriority w:val="99"/>
    <w:rPr>
      <w:color w:val="605E5C"/>
      <w:shd w:val="clear" w:color="auto" w:fill="E1DFDD"/>
    </w:rPr>
  </w:style>
  <w:style w:type="character" w:customStyle="1" w:styleId="130">
    <w:name w:val="NormalCharacter"/>
    <w:link w:val="1"/>
    <w:autoRedefine/>
    <w:qFormat/>
    <w:uiPriority w:val="0"/>
    <w:rPr>
      <w:rFonts w:ascii="Times New Roman" w:hAnsi="Times New Roman" w:eastAsia="宋体" w:cs="Times New Roman"/>
      <w:kern w:val="2"/>
      <w:sz w:val="21"/>
      <w:lang w:val="en-US" w:eastAsia="zh-CN" w:bidi="ar-SA"/>
    </w:rPr>
  </w:style>
  <w:style w:type="character" w:customStyle="1" w:styleId="131">
    <w:name w:val="hover1"/>
    <w:basedOn w:val="39"/>
    <w:autoRedefine/>
    <w:qFormat/>
    <w:uiPriority w:val="0"/>
    <w:rPr>
      <w:color w:val="2590EB"/>
      <w:shd w:val="clear" w:fill="E9F4FD"/>
    </w:rPr>
  </w:style>
  <w:style w:type="character" w:customStyle="1" w:styleId="132">
    <w:name w:val="hover2"/>
    <w:basedOn w:val="39"/>
    <w:autoRedefine/>
    <w:qFormat/>
    <w:uiPriority w:val="0"/>
    <w:rPr>
      <w:color w:val="2590EB"/>
    </w:rPr>
  </w:style>
  <w:style w:type="character" w:customStyle="1" w:styleId="133">
    <w:name w:val="hover3"/>
    <w:basedOn w:val="39"/>
    <w:autoRedefine/>
    <w:qFormat/>
    <w:uiPriority w:val="0"/>
    <w:rPr>
      <w:color w:val="2590EB"/>
    </w:rPr>
  </w:style>
  <w:style w:type="character" w:customStyle="1" w:styleId="134">
    <w:name w:val="hover4"/>
    <w:basedOn w:val="39"/>
    <w:autoRedefine/>
    <w:qFormat/>
    <w:uiPriority w:val="0"/>
  </w:style>
  <w:style w:type="character" w:customStyle="1" w:styleId="135">
    <w:name w:val="hover"/>
    <w:basedOn w:val="39"/>
    <w:autoRedefine/>
    <w:qFormat/>
    <w:uiPriority w:val="0"/>
  </w:style>
  <w:style w:type="paragraph" w:customStyle="1" w:styleId="136">
    <w:name w:val="WPSOffice手动目录 1"/>
    <w:autoRedefine/>
    <w:qFormat/>
    <w:uiPriority w:val="0"/>
    <w:pPr>
      <w:ind w:leftChars="0"/>
    </w:pPr>
    <w:rPr>
      <w:rFonts w:ascii="Times New Roman" w:hAnsi="Times New Roman" w:eastAsia="宋体" w:cs="Times New Roman"/>
      <w:sz w:val="20"/>
      <w:szCs w:val="20"/>
    </w:rPr>
  </w:style>
  <w:style w:type="paragraph" w:customStyle="1" w:styleId="137">
    <w:name w:val="TOC1"/>
    <w:basedOn w:val="1"/>
    <w:next w:val="1"/>
    <w:autoRedefine/>
    <w:qFormat/>
    <w:uiPriority w:val="0"/>
    <w:pPr>
      <w:spacing w:before="120" w:after="120" w:line="360" w:lineRule="auto"/>
      <w:ind w:left="200" w:hanging="200" w:hangingChars="200"/>
      <w:jc w:val="left"/>
      <w:textAlignment w:val="baseline"/>
    </w:pPr>
    <w:rPr>
      <w:rFonts w:ascii="宋体" w:hAnsi="宋体" w:eastAsia="宋体" w:cs="宋体"/>
      <w:bCs/>
      <w:caps/>
      <w:sz w:val="20"/>
      <w:lang w:val="en-US" w:eastAsia="zh-CN" w:bidi="ar-SA"/>
    </w:rPr>
  </w:style>
  <w:style w:type="paragraph" w:customStyle="1" w:styleId="138">
    <w:name w:val="BodyText2"/>
    <w:basedOn w:val="1"/>
    <w:autoRedefine/>
    <w:qFormat/>
    <w:uiPriority w:val="0"/>
    <w:pPr>
      <w:jc w:val="both"/>
      <w:textAlignment w:val="baseline"/>
    </w:pPr>
    <w:rPr>
      <w:rFonts w:ascii="仿宋_GB2312" w:hAnsi="Times New Roman" w:eastAsia="仿宋_GB2312"/>
      <w:b/>
      <w:kern w:val="2"/>
      <w:sz w:val="24"/>
      <w:szCs w:val="20"/>
      <w:lang w:val="en-US" w:eastAsia="zh-CN" w:bidi="ar-SA"/>
    </w:rPr>
  </w:style>
  <w:style w:type="paragraph" w:customStyle="1" w:styleId="139">
    <w:name w:val="首行缩进"/>
    <w:autoRedefine/>
    <w:qFormat/>
    <w:uiPriority w:val="0"/>
    <w:pPr>
      <w:widowControl w:val="0"/>
      <w:ind w:firstLine="480" w:firstLineChars="200"/>
      <w:jc w:val="both"/>
    </w:pPr>
    <w:rPr>
      <w:rFonts w:ascii="宋体" w:hAnsi="宋体" w:eastAsia="宋体" w:cs="Times New Roman"/>
      <w:kern w:val="2"/>
      <w:sz w:val="21"/>
      <w:szCs w:val="22"/>
      <w:lang w:val="zh-CN" w:eastAsia="zh-CN" w:bidi="ar-SA"/>
    </w:rPr>
  </w:style>
  <w:style w:type="paragraph" w:customStyle="1" w:styleId="140">
    <w:name w:val="模板普通正文"/>
    <w:basedOn w:val="13"/>
    <w:qFormat/>
    <w:uiPriority w:val="0"/>
    <w:pPr>
      <w:spacing w:beforeLines="50" w:after="10"/>
      <w:ind w:left="0" w:leftChars="0" w:firstLine="490" w:firstLineChars="175"/>
      <w:jc w:val="left"/>
    </w:pPr>
    <w:rPr>
      <w:sz w:val="20"/>
    </w:rPr>
  </w:style>
  <w:style w:type="paragraph" w:customStyle="1" w:styleId="141">
    <w:name w:val="Table Text"/>
    <w:basedOn w:val="1"/>
    <w:semiHidden/>
    <w:qFormat/>
    <w:uiPriority w:val="0"/>
    <w:rPr>
      <w:rFonts w:ascii="宋体" w:hAnsi="宋体" w:eastAsia="宋体" w:cs="宋体"/>
      <w:sz w:val="21"/>
      <w:szCs w:val="21"/>
      <w:lang w:val="en-US" w:eastAsia="en-US" w:bidi="ar-SA"/>
    </w:rPr>
  </w:style>
  <w:style w:type="character" w:customStyle="1" w:styleId="142">
    <w:name w:val="font31"/>
    <w:basedOn w:val="39"/>
    <w:qFormat/>
    <w:uiPriority w:val="0"/>
    <w:rPr>
      <w:rFonts w:hint="default" w:ascii="Times New Roman" w:hAnsi="Times New Roman" w:cs="Times New Roman"/>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30</Pages>
  <Words>12482</Words>
  <Characters>13074</Characters>
  <Lines>294</Lines>
  <Paragraphs>82</Paragraphs>
  <TotalTime>9</TotalTime>
  <ScaleCrop>false</ScaleCrop>
  <LinksUpToDate>false</LinksUpToDate>
  <CharactersWithSpaces>13377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2022-10-27T12:50:00Z</dcterms:created>
  <dc:creator>朱少尉</dc:creator>
  <cp:lastModifiedBy>徐雷</cp:lastModifiedBy>
  <cp:lastPrinted>2025-11-11T02:54:00Z</cp:lastPrinted>
  <dcterms:modified xsi:type="dcterms:W3CDTF">2025-12-08T07:40:36Z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237710C527244F4B938CDFB676871171_13</vt:lpwstr>
  </property>
  <property fmtid="{D5CDD505-2E9C-101B-9397-08002B2CF9AE}" pid="4" name="KSOTemplateDocerSaveRecord">
    <vt:lpwstr>eyJoZGlkIjoiMDY3ZWYyYWYzNjE1ODE5NTgxNWViODAxMDFkNTNkYmIiLCJ1c2VySWQiOiIxNjczNTA4MTc2In0=</vt:lpwstr>
  </property>
</Properties>
</file>