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5"/>
        <w:ind w:firstLine="0"/>
        <w:rPr>
          <w:highlight w:val="none"/>
        </w:rPr>
      </w:pPr>
    </w:p>
    <w:p w14:paraId="29985288">
      <w:pPr>
        <w:pStyle w:val="25"/>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11"/>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霍山县2026年度政务公开提升咨询委托服务</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DBSCG-2026-036</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霍山县人民政府办公室</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21"/>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21"/>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霍山县人民政府办公室</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霍山县2026年度政务公开提升咨询委托服务</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w:t>
      </w:r>
      <w:r>
        <w:rPr>
          <w:rFonts w:hint="eastAsia" w:ascii="宋体" w:hAnsi="宋体" w:cs="宋体"/>
          <w:kern w:val="2"/>
          <w:sz w:val="21"/>
          <w:szCs w:val="21"/>
          <w:highlight w:val="none"/>
          <w:lang w:val="en-US" w:eastAsia="zh-CN"/>
        </w:rPr>
        <w:t>6</w:t>
      </w:r>
      <w:r>
        <w:rPr>
          <w:rFonts w:hint="eastAsia" w:ascii="宋体" w:hAnsi="宋体" w:cs="宋体"/>
          <w:kern w:val="2"/>
          <w:sz w:val="21"/>
          <w:szCs w:val="21"/>
          <w:highlight w:val="none"/>
        </w:rPr>
        <w:t>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方式采购，并对推荐单位发布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推荐函，推荐单位为</w:t>
      </w:r>
      <w:r>
        <w:rPr>
          <w:rFonts w:hint="eastAsia" w:ascii="宋体" w:hAnsi="宋体" w:cs="宋体"/>
          <w:kern w:val="2"/>
          <w:sz w:val="21"/>
          <w:szCs w:val="21"/>
          <w:highlight w:val="none"/>
          <w:u w:val="single"/>
          <w:lang w:eastAsia="zh-CN"/>
        </w:rPr>
        <w:t>安徽长正管理咨询有限公司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安徽省安策智库咨询有限公司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合肥业宏信息科技有限公司</w:t>
      </w:r>
      <w:r>
        <w:rPr>
          <w:rFonts w:hint="eastAsia" w:ascii="宋体" w:hAnsi="宋体" w:cs="宋体"/>
          <w:kern w:val="2"/>
          <w:sz w:val="21"/>
          <w:szCs w:val="21"/>
          <w:highlight w:val="none"/>
        </w:rPr>
        <w:t>，推荐单位之外的供应商响应无效。</w:t>
      </w:r>
    </w:p>
    <w:p w14:paraId="3B555BE1">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霍山县2026年度政务公开提升咨询委托服务</w:t>
      </w:r>
    </w:p>
    <w:p w14:paraId="0960E403">
      <w:pPr>
        <w:pStyle w:val="24"/>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DBSCG-2026-036</w:t>
      </w:r>
    </w:p>
    <w:p w14:paraId="25F68A91">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霍山县人民政府办公室</w:t>
      </w:r>
    </w:p>
    <w:p w14:paraId="20BBED30">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105000.00</w:t>
      </w:r>
      <w:r>
        <w:rPr>
          <w:rFonts w:hint="eastAsia" w:ascii="宋体" w:hAnsi="宋体" w:cs="宋体"/>
          <w:sz w:val="21"/>
          <w:szCs w:val="21"/>
          <w:highlight w:val="none"/>
          <w:shd w:val="clear" w:color="auto" w:fill="FFFFFF"/>
        </w:rPr>
        <w:t>元</w:t>
      </w:r>
    </w:p>
    <w:p w14:paraId="6369AFA3">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105000.00</w:t>
      </w:r>
      <w:r>
        <w:rPr>
          <w:rFonts w:hint="eastAsia" w:ascii="宋体" w:hAnsi="宋体" w:cs="宋体"/>
          <w:sz w:val="21"/>
          <w:szCs w:val="21"/>
          <w:highlight w:val="none"/>
          <w:shd w:val="clear" w:color="auto" w:fill="FFFFFF"/>
        </w:rPr>
        <w:t>元</w:t>
      </w:r>
    </w:p>
    <w:p w14:paraId="0CB1A8B1">
      <w:pPr>
        <w:pStyle w:val="24"/>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自合同签订之日起至2026年12月31日。</w:t>
      </w:r>
    </w:p>
    <w:p w14:paraId="6AA6096B">
      <w:pPr>
        <w:pStyle w:val="24"/>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霍山县2026年度政务公开提升咨询委托服务，</w:t>
      </w:r>
      <w:r>
        <w:rPr>
          <w:rFonts w:hint="eastAsia" w:ascii="宋体" w:hAnsi="宋体"/>
          <w:color w:val="000000"/>
          <w:sz w:val="21"/>
          <w:szCs w:val="21"/>
          <w:highlight w:val="none"/>
          <w:lang w:val="en-US" w:eastAsia="zh-CN"/>
        </w:rPr>
        <w:t>具体内容</w:t>
      </w:r>
      <w:r>
        <w:rPr>
          <w:rFonts w:hint="eastAsia" w:ascii="宋体" w:hAnsi="宋体"/>
          <w:color w:val="000000"/>
          <w:sz w:val="21"/>
          <w:szCs w:val="21"/>
          <w:highlight w:val="none"/>
          <w:lang w:eastAsia="zh-CN"/>
        </w:rPr>
        <w:t>详见采购需求。</w:t>
      </w:r>
    </w:p>
    <w:p w14:paraId="3C3A84E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4"/>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4"/>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2026年5月15日</w:t>
      </w:r>
    </w:p>
    <w:p w14:paraId="341DCDC6">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2026年5月20日09时00分</w:t>
      </w:r>
      <w:r>
        <w:rPr>
          <w:rFonts w:hint="eastAsia" w:ascii="宋体" w:hAnsi="宋体" w:cs="宋体"/>
          <w:sz w:val="21"/>
          <w:szCs w:val="21"/>
          <w:highlight w:val="none"/>
          <w:shd w:val="clear" w:color="auto" w:fill="FFFFFF"/>
        </w:rPr>
        <w:t>。</w:t>
      </w:r>
    </w:p>
    <w:p w14:paraId="5A746F44">
      <w:pPr>
        <w:pStyle w:val="24"/>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2026年5月20日09时00分</w:t>
      </w:r>
      <w:r>
        <w:rPr>
          <w:rFonts w:hint="eastAsia" w:ascii="宋体" w:hAnsi="宋体" w:cs="宋体"/>
          <w:sz w:val="21"/>
          <w:szCs w:val="21"/>
          <w:highlight w:val="none"/>
          <w:shd w:val="clear" w:color="auto" w:fill="FFFFFF"/>
        </w:rPr>
        <w:t>。</w:t>
      </w:r>
    </w:p>
    <w:p w14:paraId="4DE0EE91">
      <w:pPr>
        <w:pStyle w:val="24"/>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4"/>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霍山县人民政府办公室</w:t>
      </w:r>
    </w:p>
    <w:p w14:paraId="4B21EF5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14:paraId="5C9F30D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42A82D7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0564-5026063</w:t>
      </w:r>
    </w:p>
    <w:p w14:paraId="7D493512">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4"/>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4"/>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4"/>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霍山县人民政府办公室</w:t>
      </w:r>
    </w:p>
    <w:p w14:paraId="01BF823D">
      <w:pPr>
        <w:pStyle w:val="24"/>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4"/>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2026年5月15日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86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7"/>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霍山县人民政府办公室</w:t>
            </w:r>
          </w:p>
          <w:p w14:paraId="0C440AC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4"/>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2065C87D">
            <w:pPr>
              <w:pStyle w:val="24"/>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0564-5026063</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4"/>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4"/>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霍山县2026年度政务公开提升咨询委托服务</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bookmarkStart w:id="76" w:name="_GoBack"/>
            <w:r>
              <w:rPr>
                <w:rFonts w:hint="eastAsia" w:cs="宋体"/>
                <w:b w:val="0"/>
                <w:bCs/>
                <w:kern w:val="2"/>
                <w:sz w:val="21"/>
                <w:szCs w:val="21"/>
                <w:highlight w:val="none"/>
                <w:lang w:eastAsia="zh-CN"/>
              </w:rPr>
              <w:t>DBSCG-2026-036</w:t>
            </w:r>
            <w:bookmarkEnd w:id="76"/>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壹拾万零伍仟元整</w:t>
            </w:r>
            <w:r>
              <w:rPr>
                <w:rFonts w:hint="eastAsia" w:cs="宋体"/>
                <w:b w:val="0"/>
                <w:bCs w:val="0"/>
                <w:sz w:val="21"/>
                <w:szCs w:val="21"/>
                <w:highlight w:val="none"/>
              </w:rPr>
              <w:t>（￥</w:t>
            </w:r>
            <w:r>
              <w:rPr>
                <w:rFonts w:hint="eastAsia" w:cs="宋体"/>
                <w:b w:val="0"/>
                <w:bCs w:val="0"/>
                <w:sz w:val="21"/>
                <w:szCs w:val="21"/>
                <w:highlight w:val="none"/>
                <w:lang w:val="en-US" w:eastAsia="zh-CN"/>
              </w:rPr>
              <w:t>105000.00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合同签订后30个工作日内支付合同价的50%，完成所有服务内容后后支付剩余的50%。</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自合同签订之日起至2026年12月31日。</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2026年5月20日09时00分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6"/>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5"/>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备注一</w:t>
            </w:r>
          </w:p>
        </w:tc>
        <w:tc>
          <w:tcPr>
            <w:tcW w:w="7568" w:type="dxa"/>
            <w:vAlign w:val="center"/>
          </w:tcPr>
          <w:p w14:paraId="1C380A00">
            <w:pPr>
              <w:pStyle w:val="48"/>
              <w:adjustRightInd w:val="0"/>
              <w:snapToGrid w:val="0"/>
              <w:spacing w:line="320" w:lineRule="exact"/>
              <w:rPr>
                <w:rFonts w:hint="eastAsia" w:asciiTheme="minorEastAsia" w:hAnsiTheme="minorEastAsia" w:eastAsiaTheme="minorEastAsia" w:cstheme="minorEastAsia"/>
                <w:b/>
                <w:bCs/>
                <w:kern w:val="0"/>
                <w:sz w:val="21"/>
                <w:szCs w:val="21"/>
                <w:highlight w:val="none"/>
                <w:shd w:val="clear" w:color="auto" w:fill="FFFFFF"/>
              </w:rPr>
            </w:pPr>
            <w:r>
              <w:rPr>
                <w:rFonts w:hint="eastAsia" w:asciiTheme="minorEastAsia" w:hAnsiTheme="minorEastAsia" w:eastAsiaTheme="minorEastAsia" w:cstheme="minorEastAsia"/>
                <w:b/>
                <w:sz w:val="21"/>
                <w:szCs w:val="21"/>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7C275D5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代理费缴纳账户：</w:t>
            </w:r>
          </w:p>
          <w:p w14:paraId="30EBE3B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户名：安徽大别山工程咨询有限公司</w:t>
            </w:r>
          </w:p>
          <w:p w14:paraId="028871B4">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开户行：安徽霍山农村商业银行股份有限公司营业部</w:t>
            </w:r>
          </w:p>
          <w:p w14:paraId="7546695C">
            <w:pPr>
              <w:pStyle w:val="48"/>
              <w:adjustRightInd w:val="0"/>
              <w:snapToGrid w:val="0"/>
              <w:spacing w:line="32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账号：20010048352066600000012</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0437B071">
            <w:pPr>
              <w:adjustRightInd w:val="0"/>
              <w:snapToGrid w:val="0"/>
              <w:spacing w:line="360" w:lineRule="exact"/>
              <w:jc w:val="center"/>
              <w:rPr>
                <w:rFonts w:ascii="宋体" w:hAnsi="宋体" w:cs="宋体"/>
                <w:szCs w:val="21"/>
                <w:highlight w:val="none"/>
              </w:rPr>
            </w:pPr>
          </w:p>
        </w:tc>
        <w:tc>
          <w:tcPr>
            <w:tcW w:w="1825" w:type="dxa"/>
            <w:vAlign w:val="center"/>
          </w:tcPr>
          <w:p w14:paraId="139EB0D2">
            <w:pPr>
              <w:adjustRightInd w:val="0"/>
              <w:snapToGrid w:val="0"/>
              <w:spacing w:line="32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备注</w:t>
            </w:r>
            <w:r>
              <w:rPr>
                <w:rFonts w:hint="eastAsia" w:asciiTheme="minorEastAsia" w:hAnsiTheme="minorEastAsia" w:eastAsiaTheme="minorEastAsia" w:cstheme="minorEastAsia"/>
                <w:sz w:val="21"/>
                <w:szCs w:val="21"/>
                <w:highlight w:val="none"/>
                <w:lang w:val="en-US" w:eastAsia="zh-CN"/>
              </w:rPr>
              <w:t>三</w:t>
            </w:r>
          </w:p>
        </w:tc>
        <w:tc>
          <w:tcPr>
            <w:tcW w:w="7568" w:type="dxa"/>
            <w:vAlign w:val="center"/>
          </w:tcPr>
          <w:p w14:paraId="27E310A2">
            <w:pPr>
              <w:pStyle w:val="48"/>
              <w:adjustRightInd w:val="0"/>
              <w:snapToGrid w:val="0"/>
              <w:spacing w:line="32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w:t>
            </w:r>
          </w:p>
        </w:tc>
      </w:tr>
    </w:tbl>
    <w:p w14:paraId="2DA142CE">
      <w:pPr>
        <w:pStyle w:val="7"/>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1ADEBB9">
      <w:pPr>
        <w:adjustRightInd w:val="0"/>
        <w:snapToGrid w:val="0"/>
        <w:spacing w:line="260" w:lineRule="exact"/>
        <w:rPr>
          <w:rFonts w:hint="eastAsia" w:ascii="宋体" w:hAnsi="宋体" w:eastAsia="宋体" w:cs="宋体"/>
          <w:color w:val="000000"/>
          <w:szCs w:val="21"/>
          <w:highlight w:val="none"/>
        </w:rPr>
      </w:pPr>
    </w:p>
    <w:p w14:paraId="70859781">
      <w:pPr>
        <w:pStyle w:val="2"/>
        <w:rPr>
          <w:rFonts w:hint="eastAsia"/>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7"/>
        <w:snapToGrid w:val="0"/>
        <w:spacing w:before="100" w:after="100" w:line="360" w:lineRule="exact"/>
        <w:jc w:val="center"/>
        <w:rPr>
          <w:rFonts w:ascii="宋体" w:hAnsi="宋体" w:cs="宋体"/>
          <w:szCs w:val="21"/>
          <w:highlight w:val="none"/>
        </w:rPr>
      </w:pPr>
      <w:bookmarkStart w:id="12" w:name="_Toc12806"/>
      <w:bookmarkStart w:id="13" w:name="_Toc363199266"/>
      <w:bookmarkStart w:id="14" w:name="_Toc438648662"/>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7"/>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7"/>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7"/>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3"/>
        <w:rPr>
          <w:highlight w:val="none"/>
        </w:rPr>
      </w:pPr>
    </w:p>
    <w:p w14:paraId="7DF7A81F">
      <w:pPr>
        <w:pStyle w:val="7"/>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7"/>
        <w:snapToGrid w:val="0"/>
        <w:spacing w:before="100" w:after="100" w:line="360" w:lineRule="exact"/>
        <w:jc w:val="center"/>
        <w:rPr>
          <w:rFonts w:ascii="宋体" w:hAnsi="宋体" w:eastAsia="宋体" w:cs="宋体"/>
          <w:bCs/>
          <w:sz w:val="28"/>
          <w:szCs w:val="28"/>
          <w:highlight w:val="none"/>
        </w:rPr>
      </w:pPr>
      <w:bookmarkStart w:id="23" w:name="_Toc471299094"/>
      <w:bookmarkStart w:id="24" w:name="_Toc1065"/>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7"/>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7"/>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7"/>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霍山县人民政府办公室</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5"/>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eastAsia="宋体" w:cs="宋体"/>
          <w:color w:val="000000"/>
          <w:spacing w:val="-6"/>
          <w:sz w:val="24"/>
          <w:szCs w:val="24"/>
          <w:lang w:val="en-US" w:eastAsia="zh-CN"/>
        </w:rPr>
      </w:pPr>
    </w:p>
    <w:p w14:paraId="2E79D922">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cs="宋体"/>
          <w:color w:val="000000"/>
          <w:spacing w:val="-6"/>
          <w:sz w:val="30"/>
          <w:szCs w:val="30"/>
          <w:lang w:val="en-US" w:eastAsia="zh-CN"/>
        </w:rPr>
        <w:t>1、</w:t>
      </w:r>
      <w:r>
        <w:rPr>
          <w:rFonts w:hint="eastAsia" w:ascii="宋体" w:hAnsi="宋体" w:eastAsia="宋体" w:cs="宋体"/>
          <w:color w:val="000000"/>
          <w:spacing w:val="-6"/>
          <w:sz w:val="30"/>
          <w:szCs w:val="30"/>
          <w:lang w:val="en-US" w:eastAsia="zh-CN"/>
        </w:rPr>
        <w:t>结合2026年度国办、省市政务公开工作要点要求，制定霍山县政务公开提质增效技术咨询服务方案。</w:t>
      </w:r>
    </w:p>
    <w:p w14:paraId="105276F0">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cs="宋体"/>
          <w:color w:val="000000"/>
          <w:spacing w:val="-6"/>
          <w:sz w:val="30"/>
          <w:szCs w:val="30"/>
          <w:lang w:val="en-US" w:eastAsia="zh-CN"/>
        </w:rPr>
        <w:t>2、</w:t>
      </w:r>
      <w:r>
        <w:rPr>
          <w:rFonts w:hint="eastAsia" w:ascii="宋体" w:hAnsi="宋体" w:eastAsia="宋体" w:cs="宋体"/>
          <w:color w:val="000000"/>
          <w:spacing w:val="-6"/>
          <w:sz w:val="30"/>
          <w:szCs w:val="30"/>
          <w:lang w:val="en-US" w:eastAsia="zh-CN"/>
        </w:rPr>
        <w:t>每季度按照政务公开提质增效技术咨询服务方案，采用异地在线监测方式，对霍山县及县级以下相关主体网站（县本级、35家县直部门、16个乡镇）开展常态化评估4次。</w:t>
      </w:r>
    </w:p>
    <w:p w14:paraId="6D229EE4">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cs="宋体"/>
          <w:color w:val="000000"/>
          <w:spacing w:val="-6"/>
          <w:sz w:val="30"/>
          <w:szCs w:val="30"/>
          <w:lang w:val="en-US" w:eastAsia="zh-CN"/>
        </w:rPr>
        <w:t>3、</w:t>
      </w:r>
      <w:r>
        <w:rPr>
          <w:rFonts w:hint="eastAsia" w:ascii="宋体" w:hAnsi="宋体" w:eastAsia="宋体" w:cs="宋体"/>
          <w:color w:val="000000"/>
          <w:spacing w:val="-6"/>
          <w:sz w:val="30"/>
          <w:szCs w:val="30"/>
          <w:lang w:val="en-US" w:eastAsia="zh-CN"/>
        </w:rPr>
        <w:t>全部评估、答疑结束后，出具相应的分析报告，分析报告包含前述各主体的分数、名次、问题明细及建议等。</w:t>
      </w:r>
    </w:p>
    <w:p w14:paraId="270C47D1">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cs="宋体"/>
          <w:color w:val="000000"/>
          <w:spacing w:val="-6"/>
          <w:sz w:val="30"/>
          <w:szCs w:val="30"/>
          <w:lang w:val="en-US" w:eastAsia="zh-CN"/>
        </w:rPr>
        <w:t>4、</w:t>
      </w:r>
      <w:r>
        <w:rPr>
          <w:rFonts w:hint="eastAsia" w:ascii="宋体" w:hAnsi="宋体" w:eastAsia="宋体" w:cs="宋体"/>
          <w:color w:val="000000"/>
          <w:spacing w:val="-6"/>
          <w:sz w:val="30"/>
          <w:szCs w:val="30"/>
          <w:lang w:val="en-US" w:eastAsia="zh-CN"/>
        </w:rPr>
        <w:t>每季度监测结束后，提供不少于3天的现场咨询答疑服务。</w:t>
      </w:r>
    </w:p>
    <w:p w14:paraId="233193C5">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cs="宋体"/>
          <w:color w:val="000000"/>
          <w:spacing w:val="-6"/>
          <w:sz w:val="30"/>
          <w:szCs w:val="30"/>
          <w:lang w:val="en-US" w:eastAsia="zh-CN"/>
        </w:rPr>
        <w:t>5、</w:t>
      </w:r>
      <w:r>
        <w:rPr>
          <w:rFonts w:hint="eastAsia" w:ascii="宋体" w:hAnsi="宋体" w:eastAsia="宋体" w:cs="宋体"/>
          <w:color w:val="000000"/>
          <w:spacing w:val="-6"/>
          <w:sz w:val="30"/>
          <w:szCs w:val="30"/>
          <w:lang w:val="en-US" w:eastAsia="zh-CN"/>
        </w:rPr>
        <w:t>开展县本级政务公开运维服务1次，提供运维问题清单及问题整改建议。</w:t>
      </w:r>
    </w:p>
    <w:p w14:paraId="066887DC">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sz w:val="30"/>
          <w:szCs w:val="30"/>
        </w:rPr>
      </w:pPr>
      <w:r>
        <w:rPr>
          <w:rFonts w:hint="eastAsia" w:ascii="宋体" w:hAnsi="宋体" w:cs="宋体"/>
          <w:color w:val="000000"/>
          <w:spacing w:val="-6"/>
          <w:sz w:val="30"/>
          <w:szCs w:val="30"/>
          <w:lang w:val="en-US" w:eastAsia="zh-CN"/>
        </w:rPr>
        <w:t>6、</w:t>
      </w:r>
      <w:r>
        <w:rPr>
          <w:rFonts w:hint="eastAsia" w:ascii="宋体" w:hAnsi="宋体" w:eastAsia="宋体" w:cs="宋体"/>
          <w:color w:val="000000"/>
          <w:spacing w:val="-6"/>
          <w:sz w:val="30"/>
          <w:szCs w:val="30"/>
          <w:lang w:val="en-US" w:eastAsia="zh-CN"/>
        </w:rPr>
        <w:t>协助制作30份普通图片政策解读及2份90秒视频解读。</w:t>
      </w:r>
    </w:p>
    <w:p w14:paraId="091EDB5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kern w:val="2"/>
          <w:sz w:val="24"/>
          <w:szCs w:val="24"/>
          <w:lang w:val="en-US" w:eastAsia="zh-CN" w:bidi="ar-SA"/>
        </w:rPr>
      </w:pP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lang w:val="en-US" w:eastAsia="zh-CN"/>
        </w:rPr>
        <w:br w:type="page"/>
      </w:r>
    </w:p>
    <w:p w14:paraId="41DD6AD1">
      <w:pPr>
        <w:pStyle w:val="6"/>
        <w:ind w:left="0" w:leftChars="0" w:firstLine="0" w:firstLineChars="0"/>
        <w:jc w:val="center"/>
        <w:outlineLvl w:val="0"/>
        <w:rPr>
          <w:highlight w:val="none"/>
        </w:rPr>
      </w:pPr>
      <w:bookmarkStart w:id="36" w:name="_Toc11297"/>
      <w:bookmarkStart w:id="37" w:name="_Toc4288_WPSOffice_Level1"/>
      <w:bookmarkStart w:id="38" w:name="_Toc18622"/>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11"/>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2BC4F0BB">
      <w:pPr>
        <w:pStyle w:val="25"/>
        <w:jc w:val="center"/>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营业执照（正本或副本）等其他相关证明材料复印件加盖公章</w:t>
      </w:r>
      <w:bookmarkStart w:id="53" w:name="_Toc5936_WPSOffice_Level1"/>
      <w:r>
        <w:rPr>
          <w:rFonts w:hint="eastAsia" w:ascii="宋体" w:hAnsi="宋体" w:eastAsia="宋体" w:cs="宋体"/>
          <w:i w:val="0"/>
          <w:caps w:val="0"/>
          <w:color w:val="auto"/>
          <w:spacing w:val="0"/>
          <w:sz w:val="21"/>
          <w:szCs w:val="21"/>
          <w:highlight w:val="none"/>
          <w:shd w:val="clear" w:color="auto" w:fill="FFFFFF"/>
          <w:lang w:val="en-US" w:eastAsia="zh-CN"/>
        </w:rPr>
        <w:t>，格式自拟</w:t>
      </w:r>
      <w:bookmarkEnd w:id="53"/>
      <w:r>
        <w:rPr>
          <w:rFonts w:hint="eastAsia" w:ascii="宋体" w:hAnsi="宋体" w:eastAsia="宋体" w:cs="宋体"/>
          <w:i w:val="0"/>
          <w:caps w:val="0"/>
          <w:color w:val="auto"/>
          <w:spacing w:val="0"/>
          <w:sz w:val="21"/>
          <w:szCs w:val="21"/>
          <w:highlight w:val="none"/>
          <w:shd w:val="clear" w:color="auto" w:fill="FFFFFF"/>
          <w:lang w:val="en-US" w:eastAsia="zh-CN"/>
        </w:rPr>
        <w:t>。</w:t>
      </w:r>
    </w:p>
    <w:p w14:paraId="49FEA165">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31656"/>
      <w:bookmarkStart w:id="55"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148501698"/>
      <w:bookmarkStart w:id="59" w:name="_Toc516969098"/>
      <w:bookmarkStart w:id="60" w:name="_Toc3858_WPSOffice_Level1"/>
      <w:r>
        <w:rPr>
          <w:rFonts w:hint="eastAsia"/>
          <w:b/>
          <w:bCs/>
          <w:color w:val="auto"/>
          <w:sz w:val="28"/>
          <w:szCs w:val="28"/>
          <w:highlight w:val="none"/>
        </w:rPr>
        <w:t>响应函</w:t>
      </w:r>
      <w:bookmarkEnd w:id="58"/>
      <w:bookmarkEnd w:id="59"/>
      <w:bookmarkEnd w:id="60"/>
    </w:p>
    <w:p w14:paraId="49F9C3D3">
      <w:pPr>
        <w:pStyle w:val="16"/>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5"/>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17045478"/>
      <w:bookmarkStart w:id="62" w:name="_Toc30711"/>
      <w:bookmarkStart w:id="63"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18402"/>
      <w:bookmarkStart w:id="70" w:name="_Toc25238"/>
      <w:bookmarkStart w:id="71" w:name="_Toc30075"/>
      <w:bookmarkStart w:id="72" w:name="_Toc471299110"/>
      <w:bookmarkStart w:id="73"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
              <w:rPr>
                <w:rFonts w:hint="eastAsia"/>
                <w:sz w:val="10"/>
                <w:szCs w:val="10"/>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color w:val="auto"/>
                <w:szCs w:val="21"/>
                <w:highlight w:val="none"/>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w:t>
      </w:r>
      <w:r>
        <w:rPr>
          <w:rFonts w:hint="eastAsia" w:ascii="宋体" w:hAnsi="宋体" w:cs="宋体"/>
          <w:bCs/>
          <w:color w:val="auto"/>
          <w:szCs w:val="21"/>
          <w:highlight w:val="none"/>
          <w:lang w:eastAsia="zh-CN"/>
        </w:rPr>
        <w:t>。</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9"/>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9"/>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9"/>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9"/>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CB63F6"/>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BD970C8"/>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CFF1B47"/>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2E01B8"/>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autoRedefine/>
    <w:qFormat/>
    <w:uiPriority w:val="0"/>
    <w:pPr>
      <w:spacing w:line="360" w:lineRule="auto"/>
      <w:jc w:val="left"/>
    </w:pPr>
    <w:rPr>
      <w:rFonts w:cs="宋体"/>
      <w:sz w:val="28"/>
      <w:szCs w:val="28"/>
    </w:rPr>
  </w:style>
  <w:style w:type="paragraph" w:styleId="3">
    <w:name w:val="Body Text Indent"/>
    <w:basedOn w:val="1"/>
    <w:next w:val="4"/>
    <w:autoRedefine/>
    <w:unhideWhenUsed/>
    <w:qFormat/>
    <w:uiPriority w:val="0"/>
    <w:pPr>
      <w:ind w:left="420" w:leftChars="200"/>
    </w:pPr>
  </w:style>
  <w:style w:type="paragraph" w:styleId="4">
    <w:name w:val="envelope return"/>
    <w:basedOn w:val="1"/>
    <w:autoRedefine/>
    <w:unhideWhenUsed/>
    <w:qFormat/>
    <w:uiPriority w:val="99"/>
    <w:pPr>
      <w:snapToGrid w:val="0"/>
      <w:spacing w:line="360" w:lineRule="auto"/>
    </w:pPr>
    <w:rPr>
      <w:rFonts w:ascii="Arial" w:hAnsi="Arial" w:cs="Arial"/>
    </w:rPr>
  </w:style>
  <w:style w:type="paragraph" w:styleId="5">
    <w:name w:val="List"/>
    <w:basedOn w:val="1"/>
    <w:qFormat/>
    <w:uiPriority w:val="0"/>
    <w:pPr>
      <w:widowControl w:val="0"/>
      <w:spacing w:line="240" w:lineRule="auto"/>
      <w:ind w:left="420" w:hanging="420"/>
    </w:pPr>
    <w:rPr>
      <w:rFonts w:ascii="Arial" w:hAnsi="Arial" w:eastAsia="楷体_GB2312"/>
    </w:rPr>
  </w:style>
  <w:style w:type="paragraph" w:styleId="10">
    <w:name w:val="Normal Indent"/>
    <w:basedOn w:val="1"/>
    <w:autoRedefine/>
    <w:qFormat/>
    <w:uiPriority w:val="0"/>
    <w:pPr>
      <w:ind w:firstLine="420"/>
    </w:pPr>
  </w:style>
  <w:style w:type="paragraph" w:styleId="11">
    <w:name w:val="Body Text"/>
    <w:basedOn w:val="1"/>
    <w:next w:val="12"/>
    <w:autoRedefine/>
    <w:qFormat/>
    <w:uiPriority w:val="99"/>
    <w:pPr>
      <w:spacing w:after="120"/>
    </w:pPr>
    <w:rPr>
      <w:szCs w:val="24"/>
    </w:rPr>
  </w:style>
  <w:style w:type="paragraph" w:customStyle="1" w:styleId="12">
    <w:name w:val="Default"/>
    <w:next w:val="13"/>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3">
    <w:name w:val="表格文字"/>
    <w:basedOn w:val="1"/>
    <w:autoRedefine/>
    <w:qFormat/>
    <w:uiPriority w:val="0"/>
    <w:pPr>
      <w:spacing w:line="360" w:lineRule="exact"/>
      <w:jc w:val="center"/>
    </w:pPr>
  </w:style>
  <w:style w:type="paragraph" w:styleId="14">
    <w:name w:val="Block Text"/>
    <w:basedOn w:val="1"/>
    <w:autoRedefine/>
    <w:qFormat/>
    <w:uiPriority w:val="0"/>
    <w:pPr>
      <w:spacing w:line="300" w:lineRule="auto"/>
      <w:ind w:left="29" w:leftChars="12" w:right="6" w:firstLine="560" w:firstLineChars="200"/>
    </w:pPr>
    <w:rPr>
      <w:sz w:val="28"/>
    </w:rPr>
  </w:style>
  <w:style w:type="paragraph" w:styleId="15">
    <w:name w:val="Plain Text"/>
    <w:basedOn w:val="1"/>
    <w:autoRedefine/>
    <w:qFormat/>
    <w:uiPriority w:val="99"/>
    <w:rPr>
      <w:rFonts w:ascii="宋体" w:hAnsi="Courier New"/>
      <w:szCs w:val="22"/>
    </w:rPr>
  </w:style>
  <w:style w:type="paragraph" w:styleId="16">
    <w:name w:val="Date"/>
    <w:basedOn w:val="1"/>
    <w:next w:val="1"/>
    <w:autoRedefine/>
    <w:qFormat/>
    <w:uiPriority w:val="99"/>
    <w:rPr>
      <w:rFonts w:ascii="Arial" w:hAnsi="Arial" w:eastAsia="楷体_GB2312"/>
      <w:sz w:val="28"/>
    </w:rPr>
  </w:style>
  <w:style w:type="paragraph" w:styleId="17">
    <w:name w:val="Body Text Indent 2"/>
    <w:basedOn w:val="1"/>
    <w:autoRedefine/>
    <w:qFormat/>
    <w:uiPriority w:val="0"/>
    <w:pPr>
      <w:spacing w:line="590" w:lineRule="exact"/>
      <w:ind w:firstLine="880" w:firstLineChars="200"/>
    </w:pPr>
    <w:rPr>
      <w:rFonts w:eastAsia="方正仿宋_GBK"/>
    </w:rPr>
  </w:style>
  <w:style w:type="paragraph" w:styleId="18">
    <w:name w:val="Balloon Text"/>
    <w:basedOn w:val="1"/>
    <w:link w:val="65"/>
    <w:autoRedefine/>
    <w:qFormat/>
    <w:uiPriority w:val="0"/>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0"/>
  </w:style>
  <w:style w:type="paragraph" w:styleId="22">
    <w:name w:val="toc 6"/>
    <w:basedOn w:val="1"/>
    <w:next w:val="1"/>
    <w:qFormat/>
    <w:uiPriority w:val="0"/>
    <w:pPr>
      <w:ind w:left="2100" w:leftChars="1000"/>
    </w:pPr>
  </w:style>
  <w:style w:type="paragraph" w:styleId="23">
    <w:name w:val="Body Text 2"/>
    <w:basedOn w:val="1"/>
    <w:autoRedefine/>
    <w:qFormat/>
    <w:uiPriority w:val="0"/>
    <w:pPr>
      <w:spacing w:line="280" w:lineRule="exact"/>
    </w:pPr>
    <w:rPr>
      <w:rFonts w:ascii="仿宋_GB2312" w:eastAsia="仿宋_GB2312"/>
      <w:b/>
      <w:sz w:val="24"/>
    </w:rPr>
  </w:style>
  <w:style w:type="paragraph" w:styleId="24">
    <w:name w:val="Normal (Web)"/>
    <w:basedOn w:val="1"/>
    <w:autoRedefine/>
    <w:qFormat/>
    <w:uiPriority w:val="0"/>
    <w:pPr>
      <w:spacing w:before="100" w:beforeAutospacing="1" w:after="100" w:afterAutospacing="1"/>
      <w:jc w:val="left"/>
    </w:pPr>
    <w:rPr>
      <w:kern w:val="0"/>
      <w:sz w:val="24"/>
    </w:rPr>
  </w:style>
  <w:style w:type="paragraph" w:styleId="25">
    <w:name w:val="Body Text First Indent"/>
    <w:basedOn w:val="11"/>
    <w:next w:val="22"/>
    <w:autoRedefine/>
    <w:qFormat/>
    <w:uiPriority w:val="0"/>
    <w:pPr>
      <w:spacing w:line="400" w:lineRule="atLeast"/>
      <w:ind w:firstLine="426"/>
    </w:pPr>
    <w:rPr>
      <w:sz w:val="24"/>
      <w:szCs w:val="20"/>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3"/>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20"/>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8"/>
    <w:autoRedefine/>
    <w:qFormat/>
    <w:uiPriority w:val="0"/>
    <w:rPr>
      <w:kern w:val="2"/>
      <w:sz w:val="18"/>
      <w:szCs w:val="18"/>
    </w:rPr>
  </w:style>
  <w:style w:type="character" w:customStyle="1" w:styleId="66">
    <w:name w:val="标题 4 Char"/>
    <w:basedOn w:val="28"/>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8722</Words>
  <Characters>9183</Characters>
  <Lines>118</Lines>
  <Paragraphs>33</Paragraphs>
  <TotalTime>2</TotalTime>
  <ScaleCrop>false</ScaleCrop>
  <LinksUpToDate>false</LinksUpToDate>
  <CharactersWithSpaces>9711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2026-05-15T06:52:00Z</cp:lastPrinted>
  <dcterms:modified xsi:type="dcterms:W3CDTF">2026-05-15T08:27:26Z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83BC9E8C0C594F33A9FBB421D31DC590_13</vt:lpwstr>
  </property>
  <property fmtid="{D5CDD505-2E9C-101B-9397-08002B2CF9AE}" pid="4" name="KSOTemplateDocerSaveRecord">
    <vt:lpwstr>eyJoZGlkIjoiM2ZhNjZjZjVlNjMwMDZlNmY4N2I5ZGIzODM5MTdhZjciLCJ1c2VySWQiOiIxNjczNTA4MTc2In0=</vt:lpwstr>
  </property>
</Properties>
</file>