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4"/>
        <w:ind w:firstLine="0"/>
        <w:rPr>
          <w:highlight w:val="none"/>
        </w:rPr>
      </w:pPr>
    </w:p>
    <w:p w14:paraId="29985288">
      <w:pPr>
        <w:pStyle w:val="24"/>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5"/>
        <w:jc w:val="center"/>
        <w:rPr>
          <w:rFonts w:ascii="宋体" w:hAnsi="等线" w:cs="Times New Roman"/>
          <w:b/>
          <w:bCs/>
          <w:spacing w:val="20"/>
          <w:kern w:val="0"/>
          <w:sz w:val="32"/>
          <w:szCs w:val="32"/>
          <w:highlight w:val="none"/>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国际生物多样性保护和可持续利用实践成果展览布展等服务采购</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DBSCG-2026-038</w:t>
      </w:r>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六安市霍山县生态环境分局</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6</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若有)应尽量提前汇入安徽大别山工程咨询有限公司指定账户，以保证开标前款能到达账户，否则将影响投标。</w:t>
      </w:r>
    </w:p>
    <w:p w14:paraId="1E6C6A2F">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若有)在确定成交单位后5个工作日内退至其账户。</w:t>
      </w:r>
    </w:p>
    <w:p w14:paraId="3019243B">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lang w:val="en-US" w:eastAsia="zh-CN" w:bidi="ar-SA"/>
        </w:rPr>
        <w:id w:val="147481529"/>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5BEEC9C5">
          <w:pPr>
            <w:pStyle w:val="19"/>
            <w:tabs>
              <w:tab w:val="right" w:leader="dot" w:pos="9040"/>
            </w:tabs>
            <w:rPr>
              <w:rFonts w:hint="eastAsia" w:ascii="宋体" w:hAnsi="宋体" w:eastAsia="宋体" w:cs="宋体"/>
              <w:sz w:val="28"/>
              <w:szCs w:val="28"/>
            </w:rPr>
          </w:pPr>
          <w:r>
            <w:fldChar w:fldCharType="begin"/>
          </w:r>
          <w:r>
            <w:instrText xml:space="preserve">TOC \o "1-1" \h \u </w:instrText>
          </w:r>
          <w: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_Toc28820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_Toc28820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4B0BAAB">
          <w:pPr>
            <w:pStyle w:val="19"/>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_Toc22869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_Toc22869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71BB334">
          <w:pPr>
            <w:pStyle w:val="19"/>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_Toc11525 </w:instrText>
          </w:r>
          <w:r>
            <w:rPr>
              <w:rFonts w:hint="eastAsia" w:ascii="宋体" w:hAnsi="宋体" w:eastAsia="宋体" w:cs="宋体"/>
              <w:sz w:val="28"/>
              <w:szCs w:val="28"/>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_Toc11525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8D4CA31">
          <w:pPr>
            <w:pStyle w:val="19"/>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_Toc17811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_Toc17811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50FE769">
          <w:pPr>
            <w:pStyle w:val="19"/>
            <w:tabs>
              <w:tab w:val="right" w:leader="dot" w:pos="9040"/>
            </w:tabs>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_Toc18622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_Toc18622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4F9F284">
          <w: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2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六安市霍山县生态环境分局</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国际生物多样性保护和可持续利用实践成果展览布展等服务采购</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none"/>
          <w:lang w:val="en-US" w:eastAsia="zh-CN"/>
        </w:rPr>
        <w:t>项目</w:t>
      </w:r>
      <w:r>
        <w:rPr>
          <w:rFonts w:hint="eastAsia" w:ascii="宋体" w:hAnsi="宋体" w:cs="宋体"/>
          <w:kern w:val="2"/>
          <w:sz w:val="21"/>
          <w:szCs w:val="21"/>
          <w:highlight w:val="none"/>
        </w:rPr>
        <w:t>，根据《安徽省政府集中采购目录及标准</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202</w:t>
      </w:r>
      <w:r>
        <w:rPr>
          <w:rFonts w:hint="eastAsia" w:ascii="宋体" w:hAnsi="宋体" w:cs="宋体"/>
          <w:kern w:val="2"/>
          <w:sz w:val="21"/>
          <w:szCs w:val="21"/>
          <w:highlight w:val="none"/>
          <w:lang w:val="en-US" w:eastAsia="zh-CN"/>
        </w:rPr>
        <w:t>6</w:t>
      </w:r>
      <w:r>
        <w:rPr>
          <w:rFonts w:hint="eastAsia" w:ascii="宋体" w:hAnsi="宋体" w:cs="宋体"/>
          <w:kern w:val="2"/>
          <w:sz w:val="21"/>
          <w:szCs w:val="21"/>
          <w:highlight w:val="none"/>
        </w:rPr>
        <w:t>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方式采购，并对推荐单位发布</w:t>
      </w:r>
      <w:r>
        <w:rPr>
          <w:rFonts w:hint="eastAsia" w:ascii="宋体" w:hAnsi="宋体" w:cs="宋体"/>
          <w:kern w:val="2"/>
          <w:sz w:val="21"/>
          <w:szCs w:val="21"/>
          <w:highlight w:val="none"/>
          <w:lang w:val="en-US" w:eastAsia="zh-CN"/>
        </w:rPr>
        <w:t>询价</w:t>
      </w:r>
      <w:r>
        <w:rPr>
          <w:rFonts w:hint="eastAsia" w:ascii="宋体" w:hAnsi="宋体" w:cs="宋体"/>
          <w:kern w:val="2"/>
          <w:sz w:val="21"/>
          <w:szCs w:val="21"/>
          <w:highlight w:val="none"/>
        </w:rPr>
        <w:t>推荐函，推荐单位</w:t>
      </w:r>
      <w:r>
        <w:rPr>
          <w:rFonts w:hint="eastAsia" w:ascii="宋体" w:hAnsi="宋体" w:cs="宋体"/>
          <w:kern w:val="2"/>
          <w:sz w:val="21"/>
          <w:szCs w:val="21"/>
          <w:highlight w:val="none"/>
          <w:u w:val="single"/>
          <w:lang w:eastAsia="zh-CN"/>
        </w:rPr>
        <w:t>霍山县文化传媒集团有限公司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霍山一凡智创广告传媒有限公司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霍山君美演艺文化传播有限公司</w:t>
      </w:r>
      <w:r>
        <w:rPr>
          <w:rFonts w:hint="eastAsia" w:ascii="宋体" w:hAnsi="宋体" w:cs="宋体"/>
          <w:kern w:val="2"/>
          <w:sz w:val="21"/>
          <w:szCs w:val="21"/>
          <w:highlight w:val="none"/>
        </w:rPr>
        <w:t>，推荐单位之外的供应商响应无效。</w:t>
      </w:r>
    </w:p>
    <w:p w14:paraId="3B555BE1">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23"/>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国际生物多样性保护和可持续利用实践成果展览布展等服务采购</w:t>
      </w:r>
    </w:p>
    <w:p w14:paraId="0960E403">
      <w:pPr>
        <w:pStyle w:val="23"/>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bookmarkStart w:id="76" w:name="_GoBack"/>
      <w:r>
        <w:rPr>
          <w:rFonts w:hint="eastAsia" w:ascii="宋体" w:hAnsi="宋体" w:cs="宋体"/>
          <w:sz w:val="21"/>
          <w:szCs w:val="21"/>
          <w:highlight w:val="none"/>
          <w:shd w:val="clear" w:color="auto" w:fill="FFFFFF"/>
          <w:lang w:eastAsia="zh-CN"/>
        </w:rPr>
        <w:t>DBSCG-2026-038</w:t>
      </w:r>
      <w:bookmarkEnd w:id="76"/>
    </w:p>
    <w:p w14:paraId="25F68A91">
      <w:pPr>
        <w:pStyle w:val="23"/>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服务类</w:t>
      </w:r>
    </w:p>
    <w:p w14:paraId="30C60237">
      <w:pPr>
        <w:pStyle w:val="23"/>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六安市霍山县生态环境分局</w:t>
      </w:r>
    </w:p>
    <w:p w14:paraId="20BBED30">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260000.00</w:t>
      </w:r>
      <w:r>
        <w:rPr>
          <w:rFonts w:hint="eastAsia" w:ascii="宋体" w:hAnsi="宋体" w:cs="宋体"/>
          <w:sz w:val="21"/>
          <w:szCs w:val="21"/>
          <w:highlight w:val="none"/>
          <w:shd w:val="clear" w:color="auto" w:fill="FFFFFF"/>
        </w:rPr>
        <w:t>元</w:t>
      </w:r>
    </w:p>
    <w:p w14:paraId="6369AFA3">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260000.00</w:t>
      </w:r>
      <w:r>
        <w:rPr>
          <w:rFonts w:hint="eastAsia" w:ascii="宋体" w:hAnsi="宋体" w:cs="宋体"/>
          <w:sz w:val="21"/>
          <w:szCs w:val="21"/>
          <w:highlight w:val="none"/>
          <w:shd w:val="clear" w:color="auto" w:fill="FFFFFF"/>
        </w:rPr>
        <w:t>元</w:t>
      </w:r>
    </w:p>
    <w:p w14:paraId="0CB1A8B1">
      <w:pPr>
        <w:pStyle w:val="23"/>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rPr>
        <w:t>期：</w:t>
      </w:r>
      <w:r>
        <w:rPr>
          <w:rFonts w:hint="eastAsia" w:ascii="宋体" w:hAnsi="宋体"/>
          <w:b w:val="0"/>
          <w:bCs w:val="0"/>
          <w:color w:val="auto"/>
          <w:sz w:val="21"/>
          <w:szCs w:val="21"/>
          <w:highlight w:val="none"/>
          <w:lang w:val="en-US" w:eastAsia="zh-CN"/>
        </w:rPr>
        <w:t>合同签订之日起至展览结束。</w:t>
      </w:r>
    </w:p>
    <w:p w14:paraId="6AA6096B">
      <w:pPr>
        <w:pStyle w:val="23"/>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国际生物多样性保护和可持续利用实践成果展览布展等服务采购，详见采购需求。</w:t>
      </w:r>
    </w:p>
    <w:p w14:paraId="3C3A84EF">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B479988">
      <w:pPr>
        <w:pStyle w:val="23"/>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w:t>
      </w:r>
      <w:r>
        <w:rPr>
          <w:rFonts w:hint="eastAsia" w:ascii="宋体" w:hAnsi="宋体"/>
          <w:color w:val="000000"/>
          <w:sz w:val="21"/>
          <w:szCs w:val="21"/>
          <w:highlight w:val="none"/>
          <w:lang w:val="en-US" w:eastAsia="zh-CN"/>
        </w:rPr>
        <w:t>供应商须具有有效的营业执照</w:t>
      </w:r>
      <w:r>
        <w:rPr>
          <w:rFonts w:hint="eastAsia" w:ascii="宋体" w:hAnsi="宋体"/>
          <w:color w:val="000000"/>
          <w:sz w:val="21"/>
          <w:szCs w:val="21"/>
          <w:highlight w:val="none"/>
        </w:rPr>
        <w:t>；</w:t>
      </w:r>
    </w:p>
    <w:p w14:paraId="53D45D8B">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w:t>
      </w:r>
      <w:r>
        <w:rPr>
          <w:rFonts w:hint="eastAsia" w:ascii="宋体" w:hAnsi="宋体"/>
          <w:color w:val="000000"/>
          <w:sz w:val="21"/>
          <w:szCs w:val="21"/>
          <w:highlight w:val="none"/>
          <w:lang w:val="en-US" w:eastAsia="zh-CN"/>
        </w:rPr>
        <w:t>市场监督</w:t>
      </w:r>
      <w:r>
        <w:rPr>
          <w:rFonts w:hint="eastAsia" w:ascii="宋体" w:hAnsi="宋体"/>
          <w:color w:val="000000"/>
          <w:sz w:val="21"/>
          <w:szCs w:val="21"/>
          <w:highlight w:val="none"/>
        </w:rPr>
        <w:t>管理部门列入企业经营异常名录的，</w:t>
      </w:r>
    </w:p>
    <w:p w14:paraId="1AFB2049">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4A59662">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23"/>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68D9BDD">
      <w:pPr>
        <w:pStyle w:val="23"/>
        <w:widowControl/>
        <w:shd w:val="clear" w:color="auto" w:fill="FFFFFF"/>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lang w:eastAsia="zh-CN"/>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2026年5月18日</w:t>
      </w:r>
    </w:p>
    <w:p w14:paraId="341DCDC6">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14:paraId="3746D24B">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7"/>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14:paraId="08747BED">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23"/>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lang w:eastAsia="zh-CN"/>
        </w:rPr>
        <w:t>2026年5月20日15时00分</w:t>
      </w:r>
      <w:r>
        <w:rPr>
          <w:rFonts w:hint="eastAsia" w:ascii="宋体" w:hAnsi="宋体" w:cs="宋体"/>
          <w:sz w:val="21"/>
          <w:szCs w:val="21"/>
          <w:highlight w:val="none"/>
          <w:shd w:val="clear" w:color="auto" w:fill="FFFFFF"/>
        </w:rPr>
        <w:t>。</w:t>
      </w:r>
    </w:p>
    <w:p w14:paraId="5A746F44">
      <w:pPr>
        <w:pStyle w:val="23"/>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23"/>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2026年5月20日15时00分</w:t>
      </w:r>
      <w:r>
        <w:rPr>
          <w:rFonts w:hint="eastAsia" w:ascii="宋体" w:hAnsi="宋体" w:cs="宋体"/>
          <w:sz w:val="21"/>
          <w:szCs w:val="21"/>
          <w:highlight w:val="none"/>
          <w:shd w:val="clear" w:color="auto" w:fill="FFFFFF"/>
        </w:rPr>
        <w:t>。</w:t>
      </w:r>
    </w:p>
    <w:p w14:paraId="4DE0EE91">
      <w:pPr>
        <w:pStyle w:val="23"/>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11DF9F9C">
      <w:pPr>
        <w:pStyle w:val="23"/>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六安市霍山县生态环境分局</w:t>
      </w:r>
    </w:p>
    <w:p w14:paraId="4B21EF55">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霍山县新政务区</w:t>
      </w:r>
    </w:p>
    <w:p w14:paraId="5C9F30D7">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张先生</w:t>
      </w:r>
    </w:p>
    <w:p w14:paraId="42A82D75">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13966247726</w:t>
      </w:r>
    </w:p>
    <w:p w14:paraId="7D493512">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23"/>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7192DECC">
      <w:pPr>
        <w:pStyle w:val="23"/>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14:paraId="16B5C791">
      <w:pPr>
        <w:pStyle w:val="23"/>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14:paraId="1BD46A57">
      <w:pPr>
        <w:pStyle w:val="23"/>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六安市霍山县生态环境分局</w:t>
      </w:r>
    </w:p>
    <w:p w14:paraId="01BF823D">
      <w:pPr>
        <w:pStyle w:val="23"/>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23"/>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2026年5月18日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5245_WPSOffice_Level1"/>
      <w:bookmarkStart w:id="6" w:name="_Toc22869"/>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6"/>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6"/>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23"/>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六安市霍山县生态环境分局</w:t>
            </w:r>
          </w:p>
          <w:p w14:paraId="0C440AC5">
            <w:pPr>
              <w:pStyle w:val="23"/>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霍山县新政务区</w:t>
            </w:r>
          </w:p>
          <w:p w14:paraId="3BFDFCDC">
            <w:pPr>
              <w:pStyle w:val="23"/>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张先生</w:t>
            </w:r>
          </w:p>
          <w:p w14:paraId="2065C87D">
            <w:pPr>
              <w:pStyle w:val="23"/>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13966247726</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23"/>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23"/>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23"/>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7"/>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国际生物多样性保护和可持续利用实践成果展览布展等服务采购</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7"/>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DBSCG-2026-038</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7"/>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贰拾陆万元整</w:t>
            </w:r>
            <w:r>
              <w:rPr>
                <w:rFonts w:hint="eastAsia" w:cs="宋体"/>
                <w:b w:val="0"/>
                <w:bCs w:val="0"/>
                <w:sz w:val="21"/>
                <w:szCs w:val="21"/>
                <w:highlight w:val="none"/>
              </w:rPr>
              <w:t>（￥</w:t>
            </w:r>
            <w:r>
              <w:rPr>
                <w:rFonts w:hint="eastAsia" w:cs="宋体"/>
                <w:b w:val="0"/>
                <w:bCs w:val="0"/>
                <w:sz w:val="21"/>
                <w:szCs w:val="21"/>
                <w:highlight w:val="none"/>
                <w:lang w:val="en-US" w:eastAsia="zh-CN"/>
              </w:rPr>
              <w:t>260000.00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完成所有服务内容后按实际支出一次性付清。</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合同签订之日起至展览结束。</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lang w:eastAsia="zh-CN"/>
              </w:rPr>
              <w:t>2026年5月20日15时00分</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087D3E50">
            <w:pPr>
              <w:adjustRightInd w:val="0"/>
              <w:snapToGrid w:val="0"/>
              <w:spacing w:line="320" w:lineRule="exact"/>
              <w:rPr>
                <w:rFonts w:hint="eastAsia" w:ascii="宋体" w:hAnsi="宋体" w:cs="宋体"/>
                <w:szCs w:val="21"/>
                <w:highlight w:val="none"/>
                <w:lang w:eastAsia="zh-CN"/>
              </w:rPr>
            </w:pPr>
            <w:r>
              <w:rPr>
                <w:rFonts w:hint="eastAsia" w:ascii="宋体" w:hAnsi="宋体" w:cs="宋体"/>
                <w:szCs w:val="21"/>
                <w:highlight w:val="none"/>
              </w:rPr>
              <w:t>响应文件应按采购文件要求盖章或签字。由授权代表签字或盖章的在响应文件中须同时提供</w:t>
            </w:r>
            <w:r>
              <w:rPr>
                <w:rFonts w:hint="eastAsia" w:ascii="宋体" w:hAnsi="宋体" w:cs="宋体"/>
                <w:szCs w:val="21"/>
                <w:highlight w:val="none"/>
                <w:lang w:val="en-US" w:eastAsia="zh-CN"/>
              </w:rPr>
              <w:t>响应</w:t>
            </w:r>
            <w:r>
              <w:rPr>
                <w:rFonts w:hint="eastAsia" w:ascii="宋体" w:hAnsi="宋体" w:cs="宋体"/>
                <w:szCs w:val="21"/>
                <w:highlight w:val="none"/>
              </w:rPr>
              <w:t>授权书。响应文件签字或盖章不符合采购文件要求的，按无效投标处理</w:t>
            </w:r>
            <w:r>
              <w:rPr>
                <w:rFonts w:hint="eastAsia" w:ascii="宋体" w:hAnsi="宋体" w:cs="宋体"/>
                <w:szCs w:val="21"/>
                <w:highlight w:val="none"/>
                <w:lang w:eastAsia="zh-CN"/>
              </w:rPr>
              <w:t>。</w:t>
            </w:r>
          </w:p>
          <w:p w14:paraId="3216FE74">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rPr>
              <w:t>响应文件</w:t>
            </w:r>
            <w:r>
              <w:rPr>
                <w:rFonts w:hint="eastAsia" w:ascii="宋体" w:hAnsi="宋体" w:cs="宋体"/>
                <w:szCs w:val="21"/>
                <w:highlight w:val="none"/>
                <w:lang w:val="en-US" w:eastAsia="zh-CN"/>
              </w:rPr>
              <w:t>应为纸质文件，</w:t>
            </w:r>
            <w:r>
              <w:rPr>
                <w:rFonts w:hint="eastAsia" w:ascii="宋体" w:hAnsi="宋体" w:cs="宋体"/>
                <w:szCs w:val="21"/>
                <w:highlight w:val="none"/>
              </w:rPr>
              <w:t>正本一份，副本二份，</w:t>
            </w:r>
            <w:r>
              <w:rPr>
                <w:rFonts w:hint="eastAsia" w:ascii="宋体" w:hAnsi="宋体" w:cs="宋体"/>
                <w:szCs w:val="21"/>
                <w:highlight w:val="none"/>
                <w:lang w:val="en-US" w:eastAsia="zh-CN"/>
              </w:rPr>
              <w:t>正副本不一致的，以正本为准。</w:t>
            </w:r>
          </w:p>
          <w:p w14:paraId="556DF87F">
            <w:pPr>
              <w:adjustRightInd w:val="0"/>
              <w:snapToGrid w:val="0"/>
              <w:spacing w:line="320" w:lineRule="exact"/>
              <w:rPr>
                <w:rFonts w:ascii="宋体" w:hAnsi="宋体" w:cs="宋体"/>
                <w:szCs w:val="21"/>
                <w:highlight w:val="none"/>
              </w:rPr>
            </w:pPr>
            <w:r>
              <w:rPr>
                <w:rFonts w:hint="eastAsia" w:ascii="宋体" w:hAnsi="宋体" w:cs="宋体"/>
                <w:spacing w:val="-4"/>
                <w:szCs w:val="21"/>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4"/>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3"/>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r>
              <w:rPr>
                <w:rFonts w:hint="eastAsia" w:hAnsi="宋体" w:cs="宋体"/>
                <w:bCs/>
                <w:szCs w:val="21"/>
                <w:highlight w:val="none"/>
                <w:lang w:eastAsia="zh-CN"/>
              </w:rPr>
              <w:t>，</w:t>
            </w:r>
            <w:r>
              <w:rPr>
                <w:rFonts w:hint="eastAsia" w:hAnsi="宋体" w:cs="宋体"/>
                <w:bCs/>
                <w:szCs w:val="21"/>
                <w:highlight w:val="none"/>
                <w:lang w:val="en-US" w:eastAsia="zh-CN"/>
              </w:rPr>
              <w:t>逾期不予接受</w:t>
            </w:r>
            <w:r>
              <w:rPr>
                <w:rFonts w:hint="eastAsia" w:hAnsi="宋体" w:cs="宋体"/>
                <w:bCs/>
                <w:szCs w:val="21"/>
                <w:highlight w:val="none"/>
              </w:rPr>
              <w:t>。</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备注一</w:t>
            </w:r>
          </w:p>
        </w:tc>
        <w:tc>
          <w:tcPr>
            <w:tcW w:w="7568" w:type="dxa"/>
            <w:vAlign w:val="center"/>
          </w:tcPr>
          <w:p w14:paraId="1C380A00">
            <w:pPr>
              <w:pStyle w:val="48"/>
              <w:adjustRightInd w:val="0"/>
              <w:snapToGrid w:val="0"/>
              <w:spacing w:line="320" w:lineRule="exact"/>
              <w:rPr>
                <w:rFonts w:hint="eastAsia" w:asciiTheme="minorEastAsia" w:hAnsiTheme="minorEastAsia" w:eastAsiaTheme="minorEastAsia" w:cstheme="minorEastAsia"/>
                <w:b/>
                <w:bCs/>
                <w:kern w:val="0"/>
                <w:sz w:val="21"/>
                <w:szCs w:val="21"/>
                <w:highlight w:val="none"/>
                <w:shd w:val="clear" w:color="auto" w:fill="FFFFFF"/>
              </w:rPr>
            </w:pPr>
            <w:r>
              <w:rPr>
                <w:rFonts w:hint="eastAsia" w:asciiTheme="minorEastAsia" w:hAnsiTheme="minorEastAsia" w:eastAsiaTheme="minorEastAsia" w:cstheme="minorEastAsia"/>
                <w:b/>
                <w:sz w:val="21"/>
                <w:szCs w:val="21"/>
                <w:highlight w:val="none"/>
              </w:rPr>
              <w:t>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备注二</w:t>
            </w:r>
          </w:p>
        </w:tc>
        <w:tc>
          <w:tcPr>
            <w:tcW w:w="7568" w:type="dxa"/>
            <w:vAlign w:val="center"/>
          </w:tcPr>
          <w:p w14:paraId="6D008B68">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7C275D5D">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代理费缴纳账户：</w:t>
            </w:r>
          </w:p>
          <w:p w14:paraId="30EBE3B0">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户名：安徽大别山工程咨询有限公司</w:t>
            </w:r>
          </w:p>
          <w:p w14:paraId="028871B4">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开户行：安徽霍山农村商业银行股份有限公司营业部</w:t>
            </w:r>
          </w:p>
          <w:p w14:paraId="7546695C">
            <w:pPr>
              <w:pStyle w:val="48"/>
              <w:adjustRightInd w:val="0"/>
              <w:snapToGrid w:val="0"/>
              <w:spacing w:line="32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账号：20010048352066600000012</w:t>
            </w:r>
          </w:p>
        </w:tc>
      </w:tr>
      <w:tr w14:paraId="3BD2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0437B071">
            <w:pPr>
              <w:adjustRightInd w:val="0"/>
              <w:snapToGrid w:val="0"/>
              <w:spacing w:line="360" w:lineRule="exact"/>
              <w:jc w:val="center"/>
              <w:rPr>
                <w:rFonts w:ascii="宋体" w:hAnsi="宋体" w:cs="宋体"/>
                <w:szCs w:val="21"/>
                <w:highlight w:val="none"/>
              </w:rPr>
            </w:pPr>
          </w:p>
        </w:tc>
        <w:tc>
          <w:tcPr>
            <w:tcW w:w="1825" w:type="dxa"/>
            <w:vAlign w:val="center"/>
          </w:tcPr>
          <w:p w14:paraId="139EB0D2">
            <w:pPr>
              <w:adjustRightInd w:val="0"/>
              <w:snapToGrid w:val="0"/>
              <w:spacing w:line="32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备注</w:t>
            </w:r>
            <w:r>
              <w:rPr>
                <w:rFonts w:hint="eastAsia" w:asciiTheme="minorEastAsia" w:hAnsiTheme="minorEastAsia" w:eastAsiaTheme="minorEastAsia" w:cstheme="minorEastAsia"/>
                <w:sz w:val="21"/>
                <w:szCs w:val="21"/>
                <w:highlight w:val="none"/>
                <w:lang w:val="en-US" w:eastAsia="zh-CN"/>
              </w:rPr>
              <w:t>三</w:t>
            </w:r>
          </w:p>
        </w:tc>
        <w:tc>
          <w:tcPr>
            <w:tcW w:w="7568" w:type="dxa"/>
            <w:vAlign w:val="center"/>
          </w:tcPr>
          <w:p w14:paraId="27E310A2">
            <w:pPr>
              <w:pStyle w:val="48"/>
              <w:adjustRightInd w:val="0"/>
              <w:snapToGrid w:val="0"/>
              <w:spacing w:line="32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在响应文件递交截止时间内收到的响应文件不足三家的，或评审过程中造成流标现象的，其响应文件也不予退还给</w:t>
            </w: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w:t>
            </w:r>
          </w:p>
        </w:tc>
      </w:tr>
    </w:tbl>
    <w:p w14:paraId="2DA142CE">
      <w:pPr>
        <w:pStyle w:val="3"/>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216158627"/>
      <w:bookmarkStart w:id="11" w:name="_Toc363199267"/>
      <w:r>
        <w:rPr>
          <w:rFonts w:hint="eastAsia" w:ascii="宋体" w:hAnsi="宋体" w:eastAsia="宋体" w:cs="宋体"/>
          <w:bCs/>
          <w:sz w:val="28"/>
          <w:szCs w:val="28"/>
          <w:highlight w:val="none"/>
        </w:rPr>
        <w:t>供应商资格</w:t>
      </w:r>
      <w:bookmarkEnd w:id="8"/>
    </w:p>
    <w:p w14:paraId="57EB7FDA">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6"/>
        <w:tblW w:w="9779" w:type="dxa"/>
        <w:jc w:val="center"/>
        <w:tblLayout w:type="fixed"/>
        <w:tblCellMar>
          <w:top w:w="0" w:type="dxa"/>
          <w:left w:w="108" w:type="dxa"/>
          <w:bottom w:w="0" w:type="dxa"/>
          <w:right w:w="108" w:type="dxa"/>
        </w:tblCellMar>
      </w:tblPr>
      <w:tblGrid>
        <w:gridCol w:w="821"/>
        <w:gridCol w:w="2208"/>
        <w:gridCol w:w="6750"/>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须</w:t>
            </w:r>
            <w:r>
              <w:rPr>
                <w:rFonts w:hint="eastAsia" w:ascii="宋体" w:hAnsi="宋体" w:cs="宋体"/>
                <w:color w:val="000000"/>
                <w:spacing w:val="-2"/>
                <w:szCs w:val="21"/>
                <w:highlight w:val="none"/>
              </w:rPr>
              <w:t>具有有效的营业执照（</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454"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w:t>
            </w:r>
            <w:r>
              <w:rPr>
                <w:rFonts w:hint="eastAsia" w:ascii="宋体" w:hAnsi="宋体" w:cs="宋体"/>
                <w:b/>
                <w:bCs/>
                <w:color w:val="000000"/>
                <w:szCs w:val="21"/>
                <w:highlight w:val="none"/>
                <w:lang w:val="en-US" w:eastAsia="zh-CN"/>
              </w:rPr>
              <w:t>资格审查</w:t>
            </w:r>
            <w:r>
              <w:rPr>
                <w:rFonts w:hint="eastAsia" w:ascii="宋体" w:hAnsi="宋体" w:eastAsia="宋体" w:cs="宋体"/>
                <w:b/>
                <w:bCs/>
                <w:color w:val="000000"/>
                <w:szCs w:val="21"/>
                <w:highlight w:val="none"/>
              </w:rPr>
              <w:t>不合格，按照无效投标处理。</w:t>
            </w:r>
          </w:p>
        </w:tc>
      </w:tr>
    </w:tbl>
    <w:p w14:paraId="31ADEBB9">
      <w:pPr>
        <w:adjustRightInd w:val="0"/>
        <w:snapToGrid w:val="0"/>
        <w:spacing w:line="260" w:lineRule="exact"/>
        <w:rPr>
          <w:rFonts w:hint="eastAsia" w:ascii="宋体" w:hAnsi="宋体" w:eastAsia="宋体" w:cs="宋体"/>
          <w:color w:val="000000"/>
          <w:szCs w:val="21"/>
          <w:highlight w:val="none"/>
        </w:rPr>
      </w:pPr>
    </w:p>
    <w:p w14:paraId="70859781">
      <w:pPr>
        <w:pStyle w:val="25"/>
        <w:rPr>
          <w:rFonts w:hint="eastAsia"/>
        </w:rPr>
      </w:pPr>
    </w:p>
    <w:p w14:paraId="3E7149C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6"/>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603E0171">
      <w:pPr>
        <w:adjustRightInd w:val="0"/>
        <w:snapToGrid w:val="0"/>
        <w:spacing w:line="260" w:lineRule="exact"/>
        <w:rPr>
          <w:rFonts w:hint="eastAsia" w:ascii="宋体" w:hAnsi="宋体" w:eastAsia="宋体" w:cs="宋体"/>
          <w:b/>
          <w:color w:val="000000"/>
          <w:kern w:val="10"/>
          <w:sz w:val="24"/>
          <w:szCs w:val="24"/>
          <w:highlight w:val="none"/>
        </w:rPr>
      </w:pPr>
    </w:p>
    <w:p w14:paraId="477A80FF">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6"/>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服务内容</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服务期</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3"/>
        <w:snapToGrid w:val="0"/>
        <w:spacing w:before="100" w:after="100" w:line="360" w:lineRule="exact"/>
        <w:jc w:val="center"/>
        <w:rPr>
          <w:rFonts w:ascii="宋体" w:hAnsi="宋体" w:cs="宋体"/>
          <w:szCs w:val="21"/>
          <w:highlight w:val="none"/>
        </w:rPr>
      </w:pPr>
      <w:bookmarkStart w:id="12" w:name="_Toc363199266"/>
      <w:bookmarkStart w:id="13" w:name="_Toc438648662"/>
      <w:bookmarkStart w:id="14" w:name="_Toc216158625"/>
      <w:bookmarkStart w:id="15" w:name="_Toc12806"/>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80CC3C5">
      <w:pPr>
        <w:adjustRightInd w:val="0"/>
        <w:snapToGrid w:val="0"/>
        <w:spacing w:line="360" w:lineRule="exact"/>
        <w:ind w:firstLine="409" w:firstLineChars="195"/>
        <w:rPr>
          <w:rFonts w:hint="eastAsia" w:ascii="宋体" w:hAnsi="宋体" w:cs="宋体"/>
          <w:highlight w:val="none"/>
          <w:lang w:val="en-US" w:eastAsia="zh-CN"/>
        </w:rPr>
      </w:pPr>
      <w:r>
        <w:rPr>
          <w:rFonts w:hint="eastAsia" w:ascii="宋体" w:hAnsi="宋体" w:cs="宋体"/>
          <w:highlight w:val="none"/>
          <w:lang w:val="en-US" w:eastAsia="zh-CN"/>
        </w:rPr>
        <w:t>响应文件所有正、副本均应密封在一个文件袋中，并在封套上加盖供应商公章，封套上应写明：“</w:t>
      </w:r>
      <w:r>
        <w:rPr>
          <w:rFonts w:hint="eastAsia" w:ascii="宋体" w:hAnsi="宋体" w:cs="宋体"/>
          <w:highlight w:val="none"/>
          <w:u w:val="single"/>
          <w:lang w:val="en-US" w:eastAsia="zh-CN"/>
        </w:rPr>
        <w:t xml:space="preserve">  （采购项目名称）</w:t>
      </w:r>
      <w:r>
        <w:rPr>
          <w:rFonts w:hint="eastAsia" w:ascii="宋体" w:hAnsi="宋体" w:cs="宋体"/>
          <w:highlight w:val="none"/>
          <w:lang w:val="en-US" w:eastAsia="zh-CN"/>
        </w:rPr>
        <w:t>响应文件、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年</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月</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日</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分前不得开启”字样。</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供应商未按要求密封响应文件的，自行承担响应文件遗失、提前解封等责任。</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22"/>
        <w:rPr>
          <w:highlight w:val="none"/>
        </w:rPr>
      </w:pP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471299093"/>
      <w:bookmarkStart w:id="22" w:name="_Toc31686"/>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471299094"/>
      <w:bookmarkStart w:id="24" w:name="_Toc1065"/>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471299095"/>
      <w:bookmarkStart w:id="26" w:name="_Toc382"/>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471299096"/>
      <w:bookmarkStart w:id="28" w:name="_Toc23222"/>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六安市霍山县生态环境分局</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9"/>
        <w:tabs>
          <w:tab w:val="left" w:pos="1978"/>
          <w:tab w:val="center" w:pos="4482"/>
        </w:tabs>
        <w:jc w:val="center"/>
        <w:outlineLvl w:val="0"/>
        <w:rPr>
          <w:rFonts w:cs="宋体"/>
          <w:bCs/>
          <w:sz w:val="30"/>
          <w:szCs w:val="30"/>
          <w:highlight w:val="none"/>
        </w:rPr>
      </w:pPr>
      <w:bookmarkStart w:id="31" w:name="_Toc11525"/>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9"/>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4"/>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14:paraId="706F3BC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eastAsia="宋体" w:cs="宋体"/>
          <w:color w:val="000000"/>
          <w:spacing w:val="-6"/>
          <w:sz w:val="24"/>
          <w:szCs w:val="24"/>
          <w:lang w:val="en-US" w:eastAsia="zh-CN"/>
        </w:rPr>
      </w:pPr>
    </w:p>
    <w:p w14:paraId="584B59D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一、项目简介</w:t>
      </w:r>
    </w:p>
    <w:p w14:paraId="3037D8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2026年初，生态环境部在全国范围内征集生物多样性保护和可持续利用实践成果，在省生态环境厅的积极关心、协调与指导下，县生态环境分局优选上报的“霍山石斛生物遗传资源保护与惠益分享”成果，成功入选全国仅有的10个成果名单，</w:t>
      </w:r>
      <w:r>
        <w:rPr>
          <w:rFonts w:hint="eastAsia" w:ascii="宋体" w:hAnsi="宋体" w:eastAsia="宋体" w:cs="宋体"/>
          <w:sz w:val="24"/>
          <w:szCs w:val="24"/>
          <w:lang w:val="en-US" w:eastAsia="zh-CN"/>
        </w:rPr>
        <w:t>并受邀</w:t>
      </w:r>
      <w:r>
        <w:rPr>
          <w:rFonts w:hint="eastAsia" w:ascii="宋体" w:hAnsi="宋体" w:eastAsia="宋体" w:cs="宋体"/>
          <w:sz w:val="24"/>
          <w:szCs w:val="24"/>
        </w:rPr>
        <w:t>参加上海5·22生物多样性保护成果展。</w:t>
      </w:r>
      <w:r>
        <w:rPr>
          <w:rFonts w:hint="eastAsia" w:ascii="宋体" w:hAnsi="宋体" w:eastAsia="宋体" w:cs="宋体"/>
          <w:sz w:val="24"/>
          <w:szCs w:val="24"/>
          <w:lang w:val="en-US" w:eastAsia="zh-CN"/>
        </w:rPr>
        <w:t>为保障本次展览圆满完成，达到理想的宣传推介效果，六安市霍山县生态环境分局拟选择1家专业传媒公司负责本次展览布展等服务工作。</w:t>
      </w:r>
    </w:p>
    <w:p w14:paraId="4BE24EE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二、主要服务内容</w:t>
      </w:r>
    </w:p>
    <w:p w14:paraId="099FE1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1、项目宣传推介</w:t>
      </w:r>
    </w:p>
    <w:p w14:paraId="6C1EB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供应商通过多种渠道，充分利用本次展览为契机，大力宣传霍山石斛、霍山文旅。</w:t>
      </w:r>
    </w:p>
    <w:p w14:paraId="20C832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2、展厅内外部布展设计及物料制作安装</w:t>
      </w:r>
    </w:p>
    <w:p w14:paraId="154874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供应商须按照</w:t>
      </w:r>
      <w:r>
        <w:rPr>
          <w:rFonts w:hint="default" w:ascii="宋体" w:hAnsi="宋体" w:eastAsia="宋体" w:cs="宋体"/>
          <w:sz w:val="24"/>
          <w:szCs w:val="24"/>
          <w:lang w:val="en-US" w:eastAsia="zh-CN"/>
        </w:rPr>
        <w:t>生态环境部</w:t>
      </w:r>
      <w:r>
        <w:rPr>
          <w:rFonts w:hint="eastAsia" w:ascii="宋体" w:hAnsi="宋体" w:eastAsia="宋体" w:cs="宋体"/>
          <w:sz w:val="24"/>
          <w:szCs w:val="24"/>
          <w:lang w:val="en-US" w:eastAsia="zh-CN"/>
        </w:rPr>
        <w:t>、省生态环境厅及霍山县生态环境分局要求，结合项目特点，进行展厅内外部布展设计、展区物料制作及物料的运输、现场安装工作。</w:t>
      </w:r>
    </w:p>
    <w:p w14:paraId="364837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3、住宿、出行保障工作</w:t>
      </w:r>
    </w:p>
    <w:p w14:paraId="4F9982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供应商负责本次参展人员的食宿、交通安排，相关物资的运输装卸。</w:t>
      </w:r>
    </w:p>
    <w:p w14:paraId="0E3FF6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4、采购人安排的其他工作（如现场礼仪、英语翻译等）。</w:t>
      </w:r>
    </w:p>
    <w:p w14:paraId="7D3CA58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三、费用问题</w:t>
      </w:r>
    </w:p>
    <w:p w14:paraId="2F9B4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30"/>
          <w:szCs w:val="30"/>
        </w:rPr>
      </w:pPr>
      <w:r>
        <w:rPr>
          <w:rFonts w:hint="eastAsia" w:ascii="宋体" w:hAnsi="宋体" w:eastAsia="宋体" w:cs="宋体"/>
          <w:sz w:val="24"/>
          <w:szCs w:val="24"/>
          <w:lang w:val="en-US" w:eastAsia="zh-CN"/>
        </w:rPr>
        <w:t>本项目最高预算26万元，项目结束按照实际支出结算。</w:t>
      </w:r>
    </w:p>
    <w:p w14:paraId="091EDB5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56" w:firstLineChars="200"/>
        <w:jc w:val="left"/>
        <w:textAlignment w:val="auto"/>
        <w:rPr>
          <w:rFonts w:hint="eastAsia" w:ascii="宋体" w:hAnsi="宋体" w:eastAsia="宋体" w:cs="宋体"/>
          <w:color w:val="000000"/>
          <w:spacing w:val="-6"/>
          <w:kern w:val="2"/>
          <w:sz w:val="24"/>
          <w:szCs w:val="24"/>
          <w:lang w:val="en-US" w:eastAsia="zh-CN" w:bidi="ar-SA"/>
        </w:rPr>
      </w:pPr>
    </w:p>
    <w:p w14:paraId="4815F61D">
      <w:pPr>
        <w:keepNext w:val="0"/>
        <w:keepLines w:val="0"/>
        <w:pageBreakBefore w:val="0"/>
        <w:kinsoku/>
        <w:wordWrap/>
        <w:overflowPunct/>
        <w:topLinePunct w:val="0"/>
        <w:autoSpaceDE/>
        <w:autoSpaceDN/>
        <w:bidi w:val="0"/>
        <w:adjustRightInd/>
        <w:ind w:firstLine="482" w:firstLineChars="200"/>
        <w:textAlignment w:val="auto"/>
        <w:rPr>
          <w:highlight w:val="none"/>
        </w:rPr>
        <w:sectPr>
          <w:pgSz w:w="11906" w:h="16838"/>
          <w:pgMar w:top="1134" w:right="1449" w:bottom="1134" w:left="1417" w:header="567" w:footer="992" w:gutter="0"/>
          <w:pgNumType w:fmt="decimal"/>
          <w:cols w:space="720" w:num="1"/>
          <w:docGrid w:type="lines" w:linePitch="312" w:charSpace="0"/>
        </w:sectPr>
      </w:pPr>
      <w:r>
        <w:rPr>
          <w:rFonts w:hint="eastAsia" w:ascii="宋体" w:hAnsi="宋体" w:eastAsia="宋体"/>
          <w:b/>
          <w:bCs w:val="0"/>
          <w:sz w:val="24"/>
          <w:szCs w:val="24"/>
          <w:lang w:val="en-US" w:eastAsia="zh-CN"/>
        </w:rPr>
        <w:br w:type="page"/>
      </w:r>
    </w:p>
    <w:p w14:paraId="41DD6AD1">
      <w:pPr>
        <w:pStyle w:val="2"/>
        <w:ind w:left="0" w:leftChars="0" w:firstLine="0" w:firstLineChars="0"/>
        <w:jc w:val="center"/>
        <w:outlineLvl w:val="0"/>
        <w:rPr>
          <w:highlight w:val="none"/>
        </w:rPr>
      </w:pPr>
      <w:bookmarkStart w:id="36" w:name="_Toc11297"/>
      <w:bookmarkStart w:id="37" w:name="_Toc4288_WPSOffice_Level1"/>
      <w:bookmarkStart w:id="38" w:name="_Toc18622"/>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7"/>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50"/>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50"/>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jc w:val="center"/>
              <w:rPr>
                <w:rFonts w:ascii="Tahoma" w:hAnsi="Tahoma"/>
                <w:szCs w:val="21"/>
                <w:highlight w:val="none"/>
              </w:rPr>
            </w:pPr>
          </w:p>
        </w:tc>
        <w:tc>
          <w:tcPr>
            <w:tcW w:w="5460" w:type="dxa"/>
            <w:vAlign w:val="center"/>
          </w:tcPr>
          <w:p w14:paraId="21E07C2E">
            <w:pPr>
              <w:rPr>
                <w:rFonts w:ascii="宋体" w:hAnsi="宋体"/>
                <w:szCs w:val="21"/>
                <w:highlight w:val="none"/>
              </w:rPr>
            </w:pP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0B8C868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43"/>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471299103"/>
      <w:bookmarkStart w:id="51" w:name="_Toc5932"/>
      <w:r>
        <w:rPr>
          <w:rFonts w:hint="eastAsia" w:ascii="宋体" w:hAnsi="宋体" w:cs="宋体"/>
          <w:sz w:val="21"/>
          <w:szCs w:val="21"/>
          <w:highlight w:val="none"/>
        </w:rPr>
        <w:br w:type="page"/>
      </w:r>
    </w:p>
    <w:bookmarkEnd w:id="50"/>
    <w:bookmarkEnd w:id="51"/>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r>
        <w:rPr>
          <w:rFonts w:hint="eastAsia"/>
          <w:b/>
          <w:bCs/>
          <w:color w:val="auto"/>
          <w:sz w:val="28"/>
          <w:szCs w:val="28"/>
          <w:highlight w:val="none"/>
        </w:rPr>
        <w:t>（营业执照等）</w:t>
      </w:r>
    </w:p>
    <w:p w14:paraId="2BC4F0BB">
      <w:pPr>
        <w:pStyle w:val="24"/>
        <w:jc w:val="center"/>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营业执照（正本或副本）等其他相关证明材料复印件加盖公章</w:t>
      </w:r>
      <w:bookmarkStart w:id="53" w:name="_Toc5936_WPSOffice_Level1"/>
      <w:r>
        <w:rPr>
          <w:rFonts w:hint="eastAsia" w:ascii="宋体" w:hAnsi="宋体" w:eastAsia="宋体" w:cs="宋体"/>
          <w:i w:val="0"/>
          <w:caps w:val="0"/>
          <w:color w:val="auto"/>
          <w:spacing w:val="0"/>
          <w:sz w:val="21"/>
          <w:szCs w:val="21"/>
          <w:highlight w:val="none"/>
          <w:shd w:val="clear" w:color="auto" w:fill="FFFFFF"/>
          <w:lang w:val="en-US" w:eastAsia="zh-CN"/>
        </w:rPr>
        <w:t>，格式自拟</w:t>
      </w:r>
      <w:bookmarkEnd w:id="53"/>
      <w:r>
        <w:rPr>
          <w:rFonts w:hint="eastAsia" w:ascii="宋体" w:hAnsi="宋体" w:eastAsia="宋体" w:cs="宋体"/>
          <w:i w:val="0"/>
          <w:caps w:val="0"/>
          <w:color w:val="auto"/>
          <w:spacing w:val="0"/>
          <w:sz w:val="21"/>
          <w:szCs w:val="21"/>
          <w:highlight w:val="none"/>
          <w:shd w:val="clear" w:color="auto" w:fill="FFFFFF"/>
          <w:lang w:val="en-US" w:eastAsia="zh-CN"/>
        </w:rPr>
        <w:t>。</w:t>
      </w:r>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43"/>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43"/>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3858_WPSOffice_Level1"/>
      <w:bookmarkStart w:id="59" w:name="_Toc148501698"/>
      <w:bookmarkStart w:id="60" w:name="_Toc516969098"/>
      <w:r>
        <w:rPr>
          <w:rFonts w:hint="eastAsia"/>
          <w:b/>
          <w:bCs/>
          <w:color w:val="auto"/>
          <w:sz w:val="28"/>
          <w:szCs w:val="28"/>
          <w:highlight w:val="none"/>
        </w:rPr>
        <w:t>响应函</w:t>
      </w:r>
      <w:bookmarkEnd w:id="58"/>
      <w:bookmarkEnd w:id="59"/>
      <w:bookmarkEnd w:id="60"/>
    </w:p>
    <w:p w14:paraId="49F9C3D3">
      <w:pPr>
        <w:pStyle w:val="14"/>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4"/>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30711"/>
      <w:bookmarkStart w:id="62" w:name="_Toc471299106"/>
      <w:bookmarkStart w:id="63" w:name="_Toc417045478"/>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25238"/>
      <w:bookmarkStart w:id="70" w:name="_Toc30075"/>
      <w:bookmarkStart w:id="71" w:name="_Toc18402"/>
      <w:bookmarkStart w:id="72" w:name="_Toc27567"/>
      <w:bookmarkStart w:id="73"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7A794150">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679BBE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4760D50E">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5B52778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4E94949E">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服务内容</w:t>
            </w:r>
            <w:r>
              <w:rPr>
                <w:rFonts w:hint="eastAsia" w:ascii="宋体" w:hAnsi="宋体" w:cs="宋体"/>
                <w:color w:val="auto"/>
                <w:sz w:val="24"/>
                <w:szCs w:val="28"/>
                <w:highlight w:val="none"/>
              </w:rPr>
              <w:t>响应</w:t>
            </w:r>
          </w:p>
        </w:tc>
        <w:tc>
          <w:tcPr>
            <w:tcW w:w="2196" w:type="dxa"/>
            <w:noWrap w:val="0"/>
            <w:vAlign w:val="center"/>
          </w:tcPr>
          <w:p w14:paraId="4E39679B">
            <w:pPr>
              <w:rPr>
                <w:rFonts w:ascii="宋体" w:hAnsi="宋体" w:cs="宋体"/>
                <w:color w:val="auto"/>
                <w:sz w:val="24"/>
                <w:szCs w:val="24"/>
                <w:highlight w:val="none"/>
              </w:rPr>
            </w:pPr>
          </w:p>
        </w:tc>
        <w:tc>
          <w:tcPr>
            <w:tcW w:w="2222" w:type="dxa"/>
            <w:noWrap w:val="0"/>
            <w:vAlign w:val="center"/>
          </w:tcPr>
          <w:p w14:paraId="21DE595E">
            <w:pPr>
              <w:rPr>
                <w:rFonts w:ascii="宋体" w:hAnsi="宋体" w:cs="宋体"/>
                <w:color w:val="auto"/>
                <w:sz w:val="24"/>
                <w:szCs w:val="24"/>
                <w:highlight w:val="none"/>
              </w:rPr>
            </w:pPr>
          </w:p>
        </w:tc>
        <w:tc>
          <w:tcPr>
            <w:tcW w:w="1978" w:type="dxa"/>
            <w:noWrap w:val="0"/>
            <w:vAlign w:val="center"/>
          </w:tcPr>
          <w:p w14:paraId="21BADD97">
            <w:pPr>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1022C2C2">
            <w:pPr>
              <w:rPr>
                <w:rFonts w:ascii="宋体" w:hAnsi="宋体" w:cs="宋体"/>
                <w:color w:val="auto"/>
                <w:sz w:val="24"/>
                <w:szCs w:val="24"/>
                <w:highlight w:val="none"/>
              </w:rPr>
            </w:pPr>
          </w:p>
        </w:tc>
        <w:tc>
          <w:tcPr>
            <w:tcW w:w="2222" w:type="dxa"/>
            <w:noWrap w:val="0"/>
            <w:vAlign w:val="center"/>
          </w:tcPr>
          <w:p w14:paraId="2B3B8326">
            <w:pPr>
              <w:rPr>
                <w:rFonts w:ascii="宋体" w:hAnsi="宋体" w:cs="宋体"/>
                <w:color w:val="auto"/>
                <w:sz w:val="24"/>
                <w:szCs w:val="24"/>
                <w:highlight w:val="none"/>
              </w:rPr>
            </w:pPr>
          </w:p>
        </w:tc>
        <w:tc>
          <w:tcPr>
            <w:tcW w:w="1978" w:type="dxa"/>
            <w:noWrap w:val="0"/>
            <w:vAlign w:val="center"/>
          </w:tcPr>
          <w:p w14:paraId="667837E5">
            <w:pPr>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服务期响应</w:t>
            </w:r>
          </w:p>
        </w:tc>
        <w:tc>
          <w:tcPr>
            <w:tcW w:w="2196" w:type="dxa"/>
            <w:noWrap w:val="0"/>
            <w:vAlign w:val="center"/>
          </w:tcPr>
          <w:p w14:paraId="7A4D7D20">
            <w:pPr>
              <w:rPr>
                <w:rFonts w:ascii="宋体" w:hAnsi="宋体" w:cs="宋体"/>
                <w:color w:val="auto"/>
                <w:sz w:val="24"/>
                <w:szCs w:val="24"/>
                <w:highlight w:val="none"/>
              </w:rPr>
            </w:pPr>
          </w:p>
        </w:tc>
        <w:tc>
          <w:tcPr>
            <w:tcW w:w="2222" w:type="dxa"/>
            <w:noWrap w:val="0"/>
            <w:vAlign w:val="center"/>
          </w:tcPr>
          <w:p w14:paraId="62DC71CA">
            <w:pPr>
              <w:rPr>
                <w:rFonts w:ascii="宋体" w:hAnsi="宋体" w:cs="宋体"/>
                <w:color w:val="auto"/>
                <w:sz w:val="24"/>
                <w:szCs w:val="24"/>
                <w:highlight w:val="none"/>
              </w:rPr>
            </w:pPr>
          </w:p>
        </w:tc>
        <w:tc>
          <w:tcPr>
            <w:tcW w:w="1978" w:type="dxa"/>
            <w:noWrap w:val="0"/>
            <w:vAlign w:val="center"/>
          </w:tcPr>
          <w:p w14:paraId="3130077C">
            <w:pPr>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rPr>
                <w:rFonts w:ascii="宋体" w:hAnsi="宋体" w:cs="宋体"/>
                <w:color w:val="auto"/>
                <w:sz w:val="24"/>
                <w:szCs w:val="24"/>
                <w:highlight w:val="none"/>
              </w:rPr>
            </w:pPr>
          </w:p>
        </w:tc>
        <w:tc>
          <w:tcPr>
            <w:tcW w:w="2222" w:type="dxa"/>
            <w:noWrap w:val="0"/>
            <w:vAlign w:val="center"/>
          </w:tcPr>
          <w:p w14:paraId="77A198B4">
            <w:pPr>
              <w:rPr>
                <w:rFonts w:ascii="宋体" w:hAnsi="宋体" w:cs="宋体"/>
                <w:color w:val="auto"/>
                <w:sz w:val="24"/>
                <w:szCs w:val="24"/>
                <w:highlight w:val="none"/>
              </w:rPr>
            </w:pPr>
          </w:p>
        </w:tc>
        <w:tc>
          <w:tcPr>
            <w:tcW w:w="1978" w:type="dxa"/>
            <w:noWrap w:val="0"/>
            <w:vAlign w:val="center"/>
          </w:tcPr>
          <w:p w14:paraId="5B694FAF">
            <w:pPr>
              <w:rPr>
                <w:rFonts w:ascii="宋体" w:hAnsi="宋体" w:cs="宋体"/>
                <w:color w:val="auto"/>
                <w:sz w:val="24"/>
                <w:szCs w:val="24"/>
                <w:highlight w:val="none"/>
              </w:rPr>
            </w:pPr>
          </w:p>
        </w:tc>
      </w:tr>
    </w:tbl>
    <w:p w14:paraId="4838E918">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p w14:paraId="29742DCA">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cs="宋体"/>
                <w:color w:val="auto"/>
                <w:szCs w:val="21"/>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4"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eastAsia"/>
                <w:highlight w:val="none"/>
              </w:rPr>
            </w:pPr>
            <w:r>
              <w:rPr>
                <w:rFonts w:hint="eastAsia"/>
                <w:highlight w:val="none"/>
              </w:rPr>
              <w:t>小写：</w:t>
            </w:r>
            <w:r>
              <w:rPr>
                <w:rFonts w:hint="eastAsia"/>
                <w:highlight w:val="none"/>
                <w:u w:val="single"/>
              </w:rPr>
              <w:t xml:space="preserve">                  </w:t>
            </w:r>
            <w:r>
              <w:rPr>
                <w:rFonts w:hint="eastAsia"/>
                <w:highlight w:val="none"/>
              </w:rPr>
              <w:t>元</w:t>
            </w:r>
          </w:p>
          <w:p w14:paraId="6D0107E2">
            <w:pPr>
              <w:pStyle w:val="25"/>
              <w:rPr>
                <w:rFonts w:hint="eastAsia"/>
                <w:sz w:val="10"/>
                <w:szCs w:val="10"/>
              </w:rPr>
            </w:pPr>
          </w:p>
          <w:p w14:paraId="7398CCC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default" w:eastAsia="宋体"/>
                <w:highlight w:val="none"/>
                <w:lang w:val="en-US" w:eastAsia="zh-CN"/>
              </w:rPr>
            </w:pPr>
            <w:r>
              <w:rPr>
                <w:rFonts w:hint="eastAsia"/>
                <w:highlight w:val="none"/>
              </w:rPr>
              <w:t>大写：</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tc>
      </w:tr>
      <w:tr w14:paraId="5C2B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5C1B927">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52082A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1212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48AF6F5">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0EB88E77">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9DB0D4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color w:val="auto"/>
                <w:szCs w:val="21"/>
                <w:highlight w:val="none"/>
              </w:rPr>
            </w:pPr>
          </w:p>
        </w:tc>
      </w:tr>
    </w:tbl>
    <w:p w14:paraId="5D010EA0">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71B6C938">
      <w:pPr>
        <w:keepNext w:val="0"/>
        <w:keepLines w:val="0"/>
        <w:pageBreakBefore w:val="0"/>
        <w:kinsoku/>
        <w:wordWrap/>
        <w:overflowPunct/>
        <w:topLinePunct w:val="0"/>
        <w:autoSpaceDE/>
        <w:autoSpaceDN/>
        <w:bidi w:val="0"/>
        <w:spacing w:line="360" w:lineRule="auto"/>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625110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w:t>
      </w:r>
      <w:r>
        <w:rPr>
          <w:rFonts w:hint="eastAsia" w:ascii="宋体" w:hAnsi="宋体" w:cs="宋体"/>
          <w:bCs/>
          <w:color w:val="auto"/>
          <w:szCs w:val="21"/>
          <w:highlight w:val="none"/>
          <w:lang w:eastAsia="zh-CN"/>
        </w:rPr>
        <w:t>。</w:t>
      </w:r>
    </w:p>
    <w:p w14:paraId="4FB499C3">
      <w:pPr>
        <w:adjustRightInd w:val="0"/>
        <w:snapToGrid w:val="0"/>
        <w:spacing w:line="400" w:lineRule="exact"/>
        <w:rPr>
          <w:rFonts w:hint="eastAsia" w:ascii="宋体" w:hAnsi="宋体" w:cs="宋体"/>
          <w:color w:val="auto"/>
          <w:szCs w:val="21"/>
          <w:highlight w:val="none"/>
          <w:lang w:eastAsia="zh-CN"/>
        </w:rPr>
      </w:pPr>
    </w:p>
    <w:p w14:paraId="3DACB35E">
      <w:pPr>
        <w:adjustRightInd w:val="0"/>
        <w:snapToGrid w:val="0"/>
        <w:spacing w:line="400" w:lineRule="exact"/>
        <w:rPr>
          <w:rFonts w:hint="eastAsia" w:ascii="宋体" w:hAnsi="宋体" w:cs="宋体"/>
          <w:color w:val="auto"/>
          <w:szCs w:val="21"/>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盖章</w:t>
      </w:r>
      <w:r>
        <w:rPr>
          <w:rFonts w:hint="eastAsia" w:ascii="宋体" w:hAnsi="宋体" w:cs="宋体"/>
          <w:color w:val="auto"/>
          <w:szCs w:val="21"/>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法定代表人或代理人（被授权人）签字：</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23CC7970">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b/>
          <w:bCs/>
          <w:color w:val="auto"/>
          <w:sz w:val="28"/>
          <w:szCs w:val="28"/>
          <w:highlight w:val="none"/>
          <w:lang w:val="zh-CN"/>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bookmarkEnd w:id="74"/>
      <w:bookmarkStart w:id="75" w:name="_Toc1950_WPSOffice_Level1"/>
    </w:p>
    <w:p w14:paraId="2914B162">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7"/>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7"/>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7"/>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7"/>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7"/>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7"/>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0F9779E"/>
    <w:rsid w:val="01545638"/>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091CD0"/>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060993"/>
    <w:rsid w:val="174E2B31"/>
    <w:rsid w:val="174F1F7C"/>
    <w:rsid w:val="17C70888"/>
    <w:rsid w:val="17D46687"/>
    <w:rsid w:val="18536488"/>
    <w:rsid w:val="18B06CB8"/>
    <w:rsid w:val="18CE338D"/>
    <w:rsid w:val="18FA5F81"/>
    <w:rsid w:val="18FB5F6E"/>
    <w:rsid w:val="191D49AE"/>
    <w:rsid w:val="194B4C86"/>
    <w:rsid w:val="195C326A"/>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31750"/>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594904"/>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36518C"/>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2FD338DD"/>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394B71"/>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74810"/>
    <w:rsid w:val="57562B24"/>
    <w:rsid w:val="575C77F0"/>
    <w:rsid w:val="575E648A"/>
    <w:rsid w:val="578F113C"/>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2E01B8"/>
    <w:rsid w:val="5B331E3F"/>
    <w:rsid w:val="5B4D0671"/>
    <w:rsid w:val="5BA07BB6"/>
    <w:rsid w:val="5BB80952"/>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5976F2C"/>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67E9B"/>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2946F8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51"/>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8"/>
    <w:autoRedefine/>
    <w:qFormat/>
    <w:uiPriority w:val="99"/>
    <w:pPr>
      <w:spacing w:after="120"/>
    </w:pPr>
    <w:rPr>
      <w:szCs w:val="24"/>
    </w:rPr>
  </w:style>
  <w:style w:type="paragraph" w:customStyle="1" w:styleId="8">
    <w:name w:val="Default"/>
    <w:next w:val="9"/>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9">
    <w:name w:val="表格文字"/>
    <w:basedOn w:val="1"/>
    <w:autoRedefine/>
    <w:qFormat/>
    <w:uiPriority w:val="0"/>
    <w:pPr>
      <w:spacing w:line="360" w:lineRule="exact"/>
      <w:jc w:val="center"/>
    </w:pPr>
  </w:style>
  <w:style w:type="paragraph" w:styleId="10">
    <w:name w:val="Body Text Indent"/>
    <w:basedOn w:val="1"/>
    <w:next w:val="11"/>
    <w:autoRedefine/>
    <w:unhideWhenUsed/>
    <w:qFormat/>
    <w:uiPriority w:val="0"/>
    <w:pPr>
      <w:ind w:left="420" w:leftChars="200"/>
    </w:pPr>
  </w:style>
  <w:style w:type="paragraph" w:styleId="11">
    <w:name w:val="envelope return"/>
    <w:basedOn w:val="1"/>
    <w:autoRedefine/>
    <w:unhideWhenUsed/>
    <w:qFormat/>
    <w:uiPriority w:val="99"/>
    <w:pPr>
      <w:snapToGrid w:val="0"/>
      <w:spacing w:line="360" w:lineRule="auto"/>
    </w:pPr>
    <w:rPr>
      <w:rFonts w:ascii="Arial" w:hAnsi="Arial" w:cs="Arial"/>
    </w:rPr>
  </w:style>
  <w:style w:type="paragraph" w:styleId="12">
    <w:name w:val="Block Text"/>
    <w:basedOn w:val="1"/>
    <w:autoRedefine/>
    <w:qFormat/>
    <w:uiPriority w:val="0"/>
    <w:pPr>
      <w:spacing w:line="300" w:lineRule="auto"/>
      <w:ind w:left="29" w:leftChars="12" w:right="6" w:firstLine="560" w:firstLineChars="200"/>
    </w:pPr>
    <w:rPr>
      <w:sz w:val="28"/>
    </w:rPr>
  </w:style>
  <w:style w:type="paragraph" w:styleId="13">
    <w:name w:val="Plain Text"/>
    <w:basedOn w:val="1"/>
    <w:autoRedefine/>
    <w:qFormat/>
    <w:uiPriority w:val="99"/>
    <w:rPr>
      <w:rFonts w:ascii="宋体" w:hAnsi="Courier New"/>
      <w:szCs w:val="22"/>
    </w:rPr>
  </w:style>
  <w:style w:type="paragraph" w:styleId="14">
    <w:name w:val="Date"/>
    <w:basedOn w:val="1"/>
    <w:next w:val="1"/>
    <w:autoRedefine/>
    <w:qFormat/>
    <w:uiPriority w:val="99"/>
    <w:rPr>
      <w:rFonts w:ascii="Arial" w:hAnsi="Arial" w:eastAsia="楷体_GB2312"/>
      <w:sz w:val="28"/>
    </w:rPr>
  </w:style>
  <w:style w:type="paragraph" w:styleId="15">
    <w:name w:val="Body Text Indent 2"/>
    <w:basedOn w:val="1"/>
    <w:autoRedefine/>
    <w:qFormat/>
    <w:uiPriority w:val="0"/>
    <w:pPr>
      <w:spacing w:line="590" w:lineRule="exact"/>
      <w:ind w:firstLine="880" w:firstLineChars="200"/>
    </w:pPr>
    <w:rPr>
      <w:rFonts w:eastAsia="方正仿宋_GBK"/>
    </w:rPr>
  </w:style>
  <w:style w:type="paragraph" w:styleId="16">
    <w:name w:val="Balloon Text"/>
    <w:basedOn w:val="1"/>
    <w:link w:val="65"/>
    <w:autoRedefine/>
    <w:qFormat/>
    <w:uiPriority w:val="0"/>
    <w:rPr>
      <w:sz w:val="18"/>
      <w:szCs w:val="18"/>
    </w:rPr>
  </w:style>
  <w:style w:type="paragraph" w:styleId="17">
    <w:name w:val="footer"/>
    <w:basedOn w:val="1"/>
    <w:autoRedefine/>
    <w:qFormat/>
    <w:uiPriority w:val="99"/>
    <w:pPr>
      <w:tabs>
        <w:tab w:val="center" w:pos="4153"/>
        <w:tab w:val="right" w:pos="8306"/>
      </w:tabs>
      <w:snapToGrid w:val="0"/>
      <w:jc w:val="left"/>
    </w:pPr>
    <w:rPr>
      <w:sz w:val="18"/>
      <w:szCs w:val="18"/>
    </w:rPr>
  </w:style>
  <w:style w:type="paragraph" w:styleId="18">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0"/>
  </w:style>
  <w:style w:type="paragraph" w:styleId="20">
    <w:name w:val="List"/>
    <w:basedOn w:val="1"/>
    <w:qFormat/>
    <w:uiPriority w:val="0"/>
    <w:pPr>
      <w:widowControl w:val="0"/>
      <w:spacing w:line="240" w:lineRule="auto"/>
      <w:ind w:left="420" w:hanging="420"/>
    </w:pPr>
    <w:rPr>
      <w:rFonts w:ascii="Arial" w:hAnsi="Arial" w:eastAsia="楷体_GB2312"/>
    </w:rPr>
  </w:style>
  <w:style w:type="paragraph" w:styleId="21">
    <w:name w:val="toc 6"/>
    <w:basedOn w:val="1"/>
    <w:next w:val="1"/>
    <w:qFormat/>
    <w:uiPriority w:val="0"/>
    <w:pPr>
      <w:ind w:left="2100" w:leftChars="1000"/>
    </w:pPr>
  </w:style>
  <w:style w:type="paragraph" w:styleId="22">
    <w:name w:val="Body Text 2"/>
    <w:basedOn w:val="1"/>
    <w:autoRedefine/>
    <w:qFormat/>
    <w:uiPriority w:val="0"/>
    <w:pPr>
      <w:spacing w:line="280" w:lineRule="exact"/>
    </w:pPr>
    <w:rPr>
      <w:rFonts w:ascii="仿宋_GB2312" w:eastAsia="仿宋_GB2312"/>
      <w:b/>
      <w:sz w:val="24"/>
    </w:rPr>
  </w:style>
  <w:style w:type="paragraph" w:styleId="23">
    <w:name w:val="Normal (Web)"/>
    <w:basedOn w:val="1"/>
    <w:autoRedefine/>
    <w:qFormat/>
    <w:uiPriority w:val="0"/>
    <w:pPr>
      <w:spacing w:before="100" w:beforeAutospacing="1" w:after="100" w:afterAutospacing="1"/>
      <w:jc w:val="left"/>
    </w:pPr>
    <w:rPr>
      <w:kern w:val="0"/>
      <w:sz w:val="24"/>
    </w:rPr>
  </w:style>
  <w:style w:type="paragraph" w:styleId="24">
    <w:name w:val="Body Text First Indent"/>
    <w:basedOn w:val="7"/>
    <w:next w:val="21"/>
    <w:autoRedefine/>
    <w:qFormat/>
    <w:uiPriority w:val="0"/>
    <w:pPr>
      <w:spacing w:line="400" w:lineRule="atLeast"/>
      <w:ind w:firstLine="426"/>
    </w:pPr>
    <w:rPr>
      <w:sz w:val="24"/>
      <w:szCs w:val="20"/>
    </w:rPr>
  </w:style>
  <w:style w:type="paragraph" w:styleId="25">
    <w:name w:val="Body Text First Indent 2"/>
    <w:basedOn w:val="10"/>
    <w:next w:val="20"/>
    <w:autoRedefine/>
    <w:qFormat/>
    <w:uiPriority w:val="0"/>
    <w:pPr>
      <w:spacing w:line="360" w:lineRule="auto"/>
      <w:jc w:val="left"/>
    </w:pPr>
    <w:rPr>
      <w:rFonts w:cs="宋体"/>
      <w:sz w:val="28"/>
      <w:szCs w:val="28"/>
    </w:r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autoRedefine/>
    <w:qFormat/>
    <w:uiPriority w:val="0"/>
  </w:style>
  <w:style w:type="character" w:styleId="30">
    <w:name w:val="page number"/>
    <w:basedOn w:val="28"/>
    <w:autoRedefine/>
    <w:qFormat/>
    <w:uiPriority w:val="0"/>
  </w:style>
  <w:style w:type="character" w:styleId="31">
    <w:name w:val="FollowedHyperlink"/>
    <w:basedOn w:val="28"/>
    <w:autoRedefine/>
    <w:qFormat/>
    <w:uiPriority w:val="0"/>
    <w:rPr>
      <w:color w:val="800080"/>
      <w:u w:val="none"/>
    </w:rPr>
  </w:style>
  <w:style w:type="character" w:styleId="32">
    <w:name w:val="Emphasis"/>
    <w:basedOn w:val="28"/>
    <w:autoRedefine/>
    <w:qFormat/>
    <w:uiPriority w:val="0"/>
  </w:style>
  <w:style w:type="character" w:styleId="33">
    <w:name w:val="HTML Definition"/>
    <w:basedOn w:val="28"/>
    <w:autoRedefine/>
    <w:qFormat/>
    <w:uiPriority w:val="0"/>
  </w:style>
  <w:style w:type="character" w:styleId="34">
    <w:name w:val="HTML Typewriter"/>
    <w:basedOn w:val="28"/>
    <w:autoRedefine/>
    <w:qFormat/>
    <w:uiPriority w:val="0"/>
    <w:rPr>
      <w:rFonts w:ascii="monospace" w:hAnsi="monospace" w:eastAsia="monospace" w:cs="monospace"/>
      <w:sz w:val="20"/>
    </w:rPr>
  </w:style>
  <w:style w:type="character" w:styleId="35">
    <w:name w:val="HTML Acronym"/>
    <w:basedOn w:val="28"/>
    <w:autoRedefine/>
    <w:qFormat/>
    <w:uiPriority w:val="0"/>
  </w:style>
  <w:style w:type="character" w:styleId="36">
    <w:name w:val="HTML Variable"/>
    <w:basedOn w:val="28"/>
    <w:autoRedefine/>
    <w:qFormat/>
    <w:uiPriority w:val="0"/>
  </w:style>
  <w:style w:type="character" w:styleId="37">
    <w:name w:val="Hyperlink"/>
    <w:autoRedefine/>
    <w:qFormat/>
    <w:uiPriority w:val="0"/>
    <w:rPr>
      <w:color w:val="0000FF"/>
      <w:u w:val="single"/>
    </w:rPr>
  </w:style>
  <w:style w:type="character" w:styleId="38">
    <w:name w:val="HTML Code"/>
    <w:basedOn w:val="28"/>
    <w:autoRedefine/>
    <w:qFormat/>
    <w:uiPriority w:val="0"/>
    <w:rPr>
      <w:rFonts w:hint="default" w:ascii="monospace" w:hAnsi="monospace" w:eastAsia="monospace" w:cs="monospace"/>
      <w:sz w:val="20"/>
    </w:rPr>
  </w:style>
  <w:style w:type="character" w:styleId="39">
    <w:name w:val="HTML Cite"/>
    <w:basedOn w:val="28"/>
    <w:autoRedefine/>
    <w:qFormat/>
    <w:uiPriority w:val="0"/>
  </w:style>
  <w:style w:type="character" w:styleId="40">
    <w:name w:val="HTML Keyboard"/>
    <w:basedOn w:val="28"/>
    <w:autoRedefine/>
    <w:qFormat/>
    <w:uiPriority w:val="0"/>
    <w:rPr>
      <w:rFonts w:hint="default" w:ascii="monospace" w:hAnsi="monospace" w:eastAsia="monospace" w:cs="monospace"/>
      <w:sz w:val="20"/>
    </w:rPr>
  </w:style>
  <w:style w:type="character" w:styleId="41">
    <w:name w:val="HTML Sample"/>
    <w:basedOn w:val="28"/>
    <w:autoRedefine/>
    <w:qFormat/>
    <w:uiPriority w:val="0"/>
    <w:rPr>
      <w:rFonts w:hint="default" w:ascii="monospace" w:hAnsi="monospace" w:eastAsia="monospace" w:cs="monospace"/>
    </w:rPr>
  </w:style>
  <w:style w:type="paragraph" w:customStyle="1" w:styleId="42">
    <w:name w:val="Char Char Char Char"/>
    <w:basedOn w:val="1"/>
    <w:next w:val="1"/>
    <w:autoRedefine/>
    <w:qFormat/>
    <w:uiPriority w:val="0"/>
    <w:rPr>
      <w:rFonts w:ascii="Tahoma" w:hAnsi="Tahoma"/>
      <w:sz w:val="24"/>
    </w:rPr>
  </w:style>
  <w:style w:type="paragraph" w:customStyle="1" w:styleId="43">
    <w:name w:val="模板普通正文"/>
    <w:basedOn w:val="10"/>
    <w:autoRedefine/>
    <w:qFormat/>
    <w:uiPriority w:val="0"/>
    <w:pPr>
      <w:spacing w:beforeLines="50" w:after="10"/>
      <w:ind w:left="0" w:leftChars="0" w:firstLine="490" w:firstLineChars="175"/>
      <w:jc w:val="left"/>
    </w:pPr>
    <w:rPr>
      <w:sz w:val="20"/>
    </w:rPr>
  </w:style>
  <w:style w:type="paragraph" w:customStyle="1" w:styleId="44">
    <w:name w:val="BodyText2"/>
    <w:basedOn w:val="1"/>
    <w:autoRedefine/>
    <w:qFormat/>
    <w:uiPriority w:val="0"/>
    <w:pPr>
      <w:textAlignment w:val="baseline"/>
    </w:pPr>
    <w:rPr>
      <w:rFonts w:ascii="仿宋_GB2312" w:eastAsia="仿宋_GB2312"/>
      <w:b/>
      <w:sz w:val="24"/>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D&amp;L"/>
    <w:basedOn w:val="18"/>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7">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8">
    <w:name w:val="Char"/>
    <w:basedOn w:val="1"/>
    <w:autoRedefine/>
    <w:qFormat/>
    <w:uiPriority w:val="99"/>
    <w:rPr>
      <w:rFonts w:ascii="Tahoma" w:hAnsi="Tahoma"/>
      <w:sz w:val="24"/>
    </w:rPr>
  </w:style>
  <w:style w:type="paragraph" w:customStyle="1" w:styleId="49">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50">
    <w:name w:val="Char Char Char Char Char Char Char1 Char"/>
    <w:basedOn w:val="1"/>
    <w:autoRedefine/>
    <w:qFormat/>
    <w:uiPriority w:val="99"/>
    <w:rPr>
      <w:rFonts w:ascii="Tahoma" w:hAnsi="Tahoma"/>
      <w:sz w:val="24"/>
    </w:rPr>
  </w:style>
  <w:style w:type="character" w:customStyle="1" w:styleId="51">
    <w:name w:val="标题 3 Char"/>
    <w:basedOn w:val="28"/>
    <w:link w:val="4"/>
    <w:autoRedefine/>
    <w:qFormat/>
    <w:locked/>
    <w:uiPriority w:val="99"/>
    <w:rPr>
      <w:b/>
      <w:bCs/>
      <w:sz w:val="32"/>
      <w:szCs w:val="32"/>
    </w:rPr>
  </w:style>
  <w:style w:type="paragraph" w:customStyle="1" w:styleId="5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列出段落1"/>
    <w:basedOn w:val="1"/>
    <w:autoRedefine/>
    <w:unhideWhenUsed/>
    <w:qFormat/>
    <w:uiPriority w:val="99"/>
    <w:pPr>
      <w:ind w:firstLine="420" w:firstLineChars="200"/>
    </w:pPr>
    <w:rPr>
      <w:rFonts w:ascii="Calibri" w:hAnsi="Calibri"/>
      <w:szCs w:val="22"/>
    </w:rPr>
  </w:style>
  <w:style w:type="paragraph" w:customStyle="1" w:styleId="54">
    <w:name w:val="Table Paragraph"/>
    <w:basedOn w:val="1"/>
    <w:autoRedefine/>
    <w:qFormat/>
    <w:uiPriority w:val="1"/>
  </w:style>
  <w:style w:type="paragraph" w:customStyle="1" w:styleId="55">
    <w:name w:val="_Style 1"/>
    <w:basedOn w:val="1"/>
    <w:autoRedefine/>
    <w:qFormat/>
    <w:uiPriority w:val="0"/>
    <w:pPr>
      <w:ind w:firstLine="420" w:firstLineChars="200"/>
    </w:pPr>
    <w:rPr>
      <w:rFonts w:ascii="Calibri" w:hAnsi="Calibri"/>
      <w:szCs w:val="22"/>
    </w:rPr>
  </w:style>
  <w:style w:type="paragraph" w:customStyle="1" w:styleId="56">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8">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9">
    <w:name w:val="font41"/>
    <w:basedOn w:val="28"/>
    <w:autoRedefine/>
    <w:qFormat/>
    <w:uiPriority w:val="0"/>
    <w:rPr>
      <w:rFonts w:hint="default" w:ascii="Arial" w:hAnsi="Arial" w:cs="Arial"/>
      <w:color w:val="000000"/>
      <w:sz w:val="20"/>
      <w:szCs w:val="20"/>
      <w:u w:val="none"/>
    </w:rPr>
  </w:style>
  <w:style w:type="character" w:customStyle="1" w:styleId="60">
    <w:name w:val="font11"/>
    <w:basedOn w:val="28"/>
    <w:autoRedefine/>
    <w:qFormat/>
    <w:uiPriority w:val="0"/>
    <w:rPr>
      <w:rFonts w:hint="eastAsia" w:ascii="宋体" w:hAnsi="宋体" w:eastAsia="宋体" w:cs="宋体"/>
      <w:color w:val="000000"/>
      <w:sz w:val="20"/>
      <w:szCs w:val="20"/>
      <w:u w:val="none"/>
    </w:rPr>
  </w:style>
  <w:style w:type="character" w:customStyle="1" w:styleId="61">
    <w:name w:val="font71"/>
    <w:basedOn w:val="28"/>
    <w:autoRedefine/>
    <w:qFormat/>
    <w:uiPriority w:val="0"/>
    <w:rPr>
      <w:rFonts w:hint="eastAsia" w:ascii="宋体" w:hAnsi="宋体" w:eastAsia="宋体" w:cs="宋体"/>
      <w:color w:val="000000"/>
      <w:sz w:val="22"/>
      <w:szCs w:val="22"/>
      <w:u w:val="none"/>
    </w:rPr>
  </w:style>
  <w:style w:type="character" w:customStyle="1" w:styleId="62">
    <w:name w:val="font31"/>
    <w:basedOn w:val="28"/>
    <w:autoRedefine/>
    <w:qFormat/>
    <w:uiPriority w:val="0"/>
    <w:rPr>
      <w:rFonts w:hint="eastAsia" w:ascii="宋体" w:hAnsi="宋体" w:eastAsia="宋体" w:cs="宋体"/>
      <w:color w:val="000000"/>
      <w:sz w:val="22"/>
      <w:szCs w:val="22"/>
      <w:u w:val="none"/>
    </w:rPr>
  </w:style>
  <w:style w:type="character" w:customStyle="1" w:styleId="63">
    <w:name w:val="font01"/>
    <w:basedOn w:val="28"/>
    <w:autoRedefine/>
    <w:qFormat/>
    <w:uiPriority w:val="0"/>
    <w:rPr>
      <w:rFonts w:ascii="Helvetica" w:hAnsi="Helvetica" w:eastAsia="Helvetica" w:cs="Helvetica"/>
      <w:color w:val="000000"/>
      <w:sz w:val="22"/>
      <w:szCs w:val="22"/>
      <w:u w:val="none"/>
    </w:rPr>
  </w:style>
  <w:style w:type="paragraph" w:customStyle="1" w:styleId="64">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批注框文本 Char"/>
    <w:basedOn w:val="28"/>
    <w:link w:val="16"/>
    <w:autoRedefine/>
    <w:qFormat/>
    <w:uiPriority w:val="0"/>
    <w:rPr>
      <w:kern w:val="2"/>
      <w:sz w:val="18"/>
      <w:szCs w:val="18"/>
    </w:rPr>
  </w:style>
  <w:style w:type="character" w:customStyle="1" w:styleId="66">
    <w:name w:val="标题 4 Char"/>
    <w:basedOn w:val="28"/>
    <w:link w:val="5"/>
    <w:autoRedefine/>
    <w:qFormat/>
    <w:uiPriority w:val="0"/>
    <w:rPr>
      <w:rFonts w:asciiTheme="majorHAnsi" w:hAnsiTheme="majorHAnsi" w:eastAsiaTheme="majorEastAsia" w:cstheme="majorBidi"/>
      <w:b/>
      <w:bCs/>
      <w:kern w:val="2"/>
      <w:sz w:val="28"/>
      <w:szCs w:val="28"/>
    </w:rPr>
  </w:style>
  <w:style w:type="paragraph" w:customStyle="1" w:styleId="67">
    <w:name w:val="目录 71"/>
    <w:basedOn w:val="1"/>
    <w:next w:val="1"/>
    <w:qFormat/>
    <w:uiPriority w:val="0"/>
    <w:pPr>
      <w:ind w:left="2520"/>
    </w:pPr>
    <w:rPr>
      <w:rFonts w:asci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8933</Words>
  <Characters>9363</Characters>
  <Lines>118</Lines>
  <Paragraphs>33</Paragraphs>
  <TotalTime>9</TotalTime>
  <ScaleCrop>false</ScaleCrop>
  <LinksUpToDate>false</LinksUpToDate>
  <CharactersWithSpaces>9875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2026-05-18T08:16:00Z</cp:lastPrinted>
  <dcterms:modified xsi:type="dcterms:W3CDTF">2026-05-18T09:41:19Z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83BC9E8C0C594F33A9FBB421D31DC590_13</vt:lpwstr>
  </property>
  <property fmtid="{D5CDD505-2E9C-101B-9397-08002B2CF9AE}" pid="4" name="KSOTemplateDocerSaveRecord">
    <vt:lpwstr>eyJoZGlkIjoiM2ZhNjZjZjVlNjMwMDZlNmY4N2I5ZGIzODM5MTdhZjciLCJ1c2VySWQiOiIxNjczNTA4MTc2In0=</vt:lpwstr>
  </property>
</Properties>
</file>