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34"/>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5"/>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val="en-US" w:eastAsia="zh-CN"/>
        </w:rPr>
        <w:t>永安公司公墓数字化管理系统建设项目</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bookmarkStart w:id="69" w:name="_GoBack"/>
      <w:r>
        <w:rPr>
          <w:rFonts w:hint="eastAsia" w:ascii="宋体" w:hAnsi="宋体" w:cs="宋体"/>
          <w:b/>
          <w:bCs/>
          <w:i w:val="0"/>
          <w:caps w:val="0"/>
          <w:color w:val="auto"/>
          <w:spacing w:val="0"/>
          <w:kern w:val="26"/>
          <w:sz w:val="31"/>
          <w:szCs w:val="31"/>
          <w:highlight w:val="none"/>
          <w:lang w:eastAsia="zh-CN"/>
        </w:rPr>
        <w:t>DBSCG-2026-045</w:t>
      </w:r>
      <w:bookmarkEnd w:id="69"/>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霍山永安生态陵园有限公司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3"/>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3"/>
        <w:tabs>
          <w:tab w:val="right" w:leader="dot" w:pos="8306"/>
        </w:tabs>
        <w:rPr>
          <w:rFonts w:hint="eastAsia" w:ascii="宋体" w:hAnsi="宋体" w:eastAsia="宋体" w:cs="宋体"/>
          <w:color w:val="auto"/>
          <w:sz w:val="28"/>
          <w:szCs w:val="28"/>
          <w:highlight w:val="none"/>
        </w:rPr>
      </w:pPr>
      <w:bookmarkStart w:id="0" w:name="_Toc30186"/>
      <w:bookmarkStart w:id="1" w:name="_Toc28964"/>
      <w:bookmarkStart w:id="2" w:name="_Toc363199264"/>
      <w:bookmarkStart w:id="3" w:name="_Toc216158623"/>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_Toc25770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t>第</w:t>
      </w:r>
      <w:r>
        <w:rPr>
          <w:rFonts w:hint="eastAsia" w:ascii="宋体" w:hAnsi="宋体" w:eastAsia="宋体" w:cs="宋体"/>
          <w:bCs/>
          <w:color w:val="auto"/>
          <w:sz w:val="28"/>
          <w:szCs w:val="28"/>
          <w:highlight w:val="none"/>
          <w:lang w:eastAsia="zh-CN"/>
        </w:rPr>
        <w:t xml:space="preserve">一章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lang w:eastAsia="zh-CN"/>
        </w:rPr>
        <w:t>竞争谈判公告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_Toc25770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3"/>
        <w:tabs>
          <w:tab w:val="right" w:leader="dot" w:pos="8306"/>
        </w:tabs>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_Toc1619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t xml:space="preserve">第二章  </w:t>
      </w:r>
      <w:r>
        <w:rPr>
          <w:rFonts w:hint="eastAsia" w:ascii="宋体" w:hAnsi="宋体" w:eastAsia="宋体" w:cs="宋体"/>
          <w:bCs/>
          <w:color w:val="auto"/>
          <w:sz w:val="28"/>
          <w:szCs w:val="28"/>
          <w:highlight w:val="none"/>
        </w:rPr>
        <w:t>供应商须知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_Toc1619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3"/>
        <w:tabs>
          <w:tab w:val="right" w:leader="dot" w:pos="8306"/>
        </w:tabs>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_Toc11965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三</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_Toc11965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3"/>
        <w:tabs>
          <w:tab w:val="right" w:leader="dot" w:pos="8306"/>
        </w:tabs>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_Toc30971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四</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w:t>
      </w:r>
      <w:r>
        <w:rPr>
          <w:rFonts w:hint="eastAsia" w:ascii="宋体" w:hAnsi="宋体" w:eastAsia="宋体" w:cs="宋体"/>
          <w:bCs/>
          <w:color w:val="auto"/>
          <w:sz w:val="28"/>
          <w:szCs w:val="28"/>
          <w:highlight w:val="none"/>
          <w:lang w:val="en-US" w:eastAsia="zh-CN"/>
        </w:rPr>
        <w:t>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_Toc30971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15</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3"/>
        <w:tabs>
          <w:tab w:val="right" w:leader="dot" w:pos="8306"/>
        </w:tabs>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_Toc19648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五</w:t>
      </w:r>
      <w:r>
        <w:rPr>
          <w:rFonts w:hint="eastAsia" w:ascii="宋体" w:hAnsi="宋体" w:eastAsia="宋体" w:cs="宋体"/>
          <w:bCs/>
          <w:caps/>
          <w:color w:val="auto"/>
          <w:kern w:val="2"/>
          <w:sz w:val="28"/>
          <w:szCs w:val="28"/>
          <w:highlight w:val="none"/>
          <w:lang w:val="zh-CN"/>
        </w:rPr>
        <w:t>章  评审方法和标准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_Toc19648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16</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3"/>
        <w:tabs>
          <w:tab w:val="right" w:leader="dot" w:pos="8306"/>
        </w:tabs>
        <w:rPr>
          <w:color w:val="auto"/>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color w:val="auto"/>
          <w:sz w:val="28"/>
          <w:szCs w:val="28"/>
          <w:highlight w:val="none"/>
          <w:lang w:val="en-US" w:eastAsia="zh-CN"/>
        </w:rPr>
        <w:instrText xml:space="preserve"> HYPERLINK \l _Toc801 </w:instrText>
      </w:r>
      <w:r>
        <w:rPr>
          <w:rFonts w:hint="eastAsia" w:ascii="宋体" w:hAnsi="宋体" w:eastAsia="宋体" w:cs="宋体"/>
          <w:bCs/>
          <w:color w:val="auto"/>
          <w:sz w:val="28"/>
          <w:szCs w:val="28"/>
          <w:highlight w:val="none"/>
          <w:lang w:val="en-US" w:eastAsia="zh-CN"/>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六</w:t>
      </w:r>
      <w:r>
        <w:rPr>
          <w:rFonts w:hint="eastAsia" w:ascii="宋体" w:hAnsi="宋体" w:eastAsia="宋体" w:cs="宋体"/>
          <w:bCs/>
          <w:caps/>
          <w:color w:val="auto"/>
          <w:kern w:val="2"/>
          <w:sz w:val="28"/>
          <w:szCs w:val="28"/>
          <w:highlight w:val="none"/>
          <w:lang w:val="zh-CN"/>
        </w:rPr>
        <w:t>章  谈判响应文件格式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20</w:t>
      </w:r>
      <w:r>
        <w:rPr>
          <w:rFonts w:hint="eastAsia" w:ascii="宋体" w:hAnsi="宋体" w:eastAsia="宋体" w:cs="宋体"/>
          <w:color w:val="auto"/>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2701F1D4">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Cs/>
          <w:color w:val="auto"/>
          <w:szCs w:val="28"/>
          <w:highlight w:val="none"/>
          <w:lang w:val="en-US" w:eastAsia="zh-CN"/>
        </w:rPr>
        <w:fldChar w:fldCharType="end"/>
      </w: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bookmarkStart w:id="6" w:name="_Toc25770"/>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17456"/>
      <w:bookmarkStart w:id="8" w:name="_Toc28359012"/>
      <w:bookmarkStart w:id="9" w:name="_Toc35393629"/>
      <w:bookmarkStart w:id="10" w:name="_Toc7777"/>
      <w:bookmarkStart w:id="11" w:name="_Toc28359089"/>
      <w:bookmarkStart w:id="12" w:name="_Toc23161"/>
      <w:bookmarkStart w:id="13" w:name="_Toc35393798"/>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霍山永安生态陵园有限公司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永安公司公墓数字化管理系统建设项目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eastAsia="zh-CN"/>
        </w:rPr>
        <w:t>大别山国有资产投资（控股）集团有限公司</w:t>
      </w:r>
      <w:r>
        <w:rPr>
          <w:rFonts w:hint="eastAsia" w:ascii="宋体" w:hAnsi="宋体" w:eastAsia="宋体" w:cs="宋体"/>
          <w:b w:val="0"/>
          <w:bCs/>
          <w:color w:val="auto"/>
          <w:sz w:val="21"/>
          <w:szCs w:val="21"/>
          <w:highlight w:val="none"/>
        </w:rPr>
        <w:t>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val="en-US" w:eastAsia="zh-CN"/>
        </w:rPr>
        <w:t>永安公司公墓数字化管理系统建设项目</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DBSCG-2026-045</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1、系统建设：161666.67元；2、付费维保：不高于系统建设（不含硬件设备投入）中标价10%。</w:t>
      </w:r>
    </w:p>
    <w:p w14:paraId="17209661">
      <w:pPr>
        <w:pageBreakBefore w:val="0"/>
        <w:kinsoku/>
        <w:wordWrap/>
        <w:overflowPunct/>
        <w:topLinePunct w:val="0"/>
        <w:autoSpaceDE/>
        <w:autoSpaceDN/>
        <w:bidi w:val="0"/>
        <w:adjustRightInd/>
        <w:snapToGrid w:val="0"/>
        <w:spacing w:line="360" w:lineRule="auto"/>
        <w:ind w:firstLine="420" w:firstLineChars="200"/>
        <w:jc w:val="both"/>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1、系统建设：161666.67元；2、付费维保：不高于系统建设（不含硬件设备投入）中标价10%。</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永安公司公墓数字化管理系统建设项目，详见采购需求清单。</w:t>
      </w:r>
    </w:p>
    <w:p w14:paraId="079EF74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系统建设：系统建设60天，合同签订后30天内完成系统搭建，后30天完成系统调试、人员培训，满足采购人正常使用，经采购人验收合格后进入免费维保期，免费维保期为2年，免费维保期结束后进入付费维保期。付费维保：免费维保期满后进入付费维保期，年度维保费用以中标报价为准，合同一年一签，经采购人考核合格后续签下一年度合同。</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付费维保：合同一年一签，经采购人考核合格后续签下一年度合同。</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28359013"/>
      <w:bookmarkStart w:id="15" w:name="_Toc12105"/>
      <w:bookmarkStart w:id="16" w:name="_Toc20998"/>
      <w:bookmarkStart w:id="17" w:name="_Toc35393799"/>
      <w:bookmarkStart w:id="18" w:name="_Toc35393630"/>
      <w:bookmarkStart w:id="19" w:name="_Toc11070"/>
      <w:bookmarkStart w:id="20" w:name="_Toc28359090"/>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14"/>
      <w:bookmarkStart w:id="22" w:name="_Toc28359091"/>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（2）供应商被市场监督管理部门列入企业经营异常名录的，</w:t>
      </w:r>
    </w:p>
    <w:p w14:paraId="0C6C9E7D">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01C27EC4">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2026年5月25日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2026年6月5日09时00分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4BED574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五、谈判保证金</w:t>
      </w:r>
    </w:p>
    <w:p w14:paraId="6E1D5F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1、保证金允许方式：银行转账</w:t>
      </w:r>
    </w:p>
    <w:p w14:paraId="063C8D1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2、保证金金额为人民币：叁仟贰佰元整（¥</w:t>
      </w:r>
      <w:r>
        <w:rPr>
          <w:rFonts w:hint="eastAsia" w:ascii="宋体" w:hAnsi="宋体" w:cs="宋体"/>
          <w:b w:val="0"/>
          <w:bCs/>
          <w:color w:val="auto"/>
          <w:sz w:val="21"/>
          <w:szCs w:val="21"/>
          <w:highlight w:val="none"/>
          <w:lang w:val="en-US" w:eastAsia="zh-CN"/>
        </w:rPr>
        <w:t>3200</w:t>
      </w:r>
      <w:r>
        <w:rPr>
          <w:rFonts w:hint="default" w:ascii="宋体" w:hAnsi="宋体" w:cs="宋体"/>
          <w:b w:val="0"/>
          <w:bCs/>
          <w:color w:val="auto"/>
          <w:sz w:val="21"/>
          <w:szCs w:val="21"/>
          <w:highlight w:val="none"/>
          <w:lang w:val="en-US" w:eastAsia="zh-CN"/>
        </w:rPr>
        <w:t>.00元）</w:t>
      </w:r>
    </w:p>
    <w:p w14:paraId="2FF113A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保证金可汇入以下任一家银行账户</w:t>
      </w:r>
    </w:p>
    <w:p w14:paraId="6494058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户名：安徽大别山工程咨询有限公司</w:t>
      </w:r>
    </w:p>
    <w:p w14:paraId="7C1FB4C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汇入银行：安徽霍山农村商业银行股份有限公司文盛支行</w:t>
      </w:r>
    </w:p>
    <w:p w14:paraId="195F2C9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汇入银行账号：20010048352066600000021</w:t>
      </w:r>
    </w:p>
    <w:p w14:paraId="72EF6FE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汇入银行：徽商银行六安霍山支行</w:t>
      </w:r>
    </w:p>
    <w:p w14:paraId="200D74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汇入银行账号：223024186581000002</w:t>
      </w:r>
    </w:p>
    <w:p w14:paraId="23A58F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3、保证金缴纳截止时间：同本项目开标时间</w:t>
      </w:r>
    </w:p>
    <w:p w14:paraId="5B316C2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备注：银行转账时在备注栏请注明该项目招标编号或项目名称。</w:t>
      </w:r>
    </w:p>
    <w:p w14:paraId="77F339E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4、发布成交结果公告后，放弃成交资格或违反有关规定的，保证金不予退还。</w:t>
      </w:r>
    </w:p>
    <w:p w14:paraId="142F338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5、各投标人请严格按照招标公告和交易文件载明的银行、账户汇入谈判保证金，否则在开标时将无法查询保证金是否到账，导致投标文件被拒绝！</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霍山永安生态陵园有限公司</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安徽省六安市霍山县衡山镇杜家畈</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王先生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：18156444800</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霍山永安生态陵园有限公司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2026年5月25日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9266"/>
      <w:bookmarkStart w:id="25" w:name="_Toc22581"/>
      <w:bookmarkStart w:id="26" w:name="_Toc1619"/>
      <w:bookmarkStart w:id="27" w:name="_Toc9928"/>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6"/>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永安公司公墓数字化管理系统建设项目</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霍山永安生态陵园有限公司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地址：安徽省六安市霍山县衡山镇杜家畈</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王先生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联系方式：18156444800</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金额：3200.00元</w:t>
            </w:r>
          </w:p>
          <w:p w14:paraId="12E51A7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保证金方式：银行转账</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448B61A">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履约保证金金额：合同价的10%</w:t>
            </w:r>
          </w:p>
          <w:p w14:paraId="05081D65">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履约保证金方式：银行转账或银行保函</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免费维保期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2年，经采购人验收合格后进入免费维保期</w:t>
            </w:r>
            <w:r>
              <w:rPr>
                <w:rStyle w:val="130"/>
                <w:rFonts w:hint="eastAsia" w:asciiTheme="minorEastAsia" w:hAnsiTheme="minorEastAsia" w:eastAsiaTheme="minorEastAsia" w:cstheme="minorEastAsia"/>
                <w:color w:val="auto"/>
                <w:sz w:val="21"/>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BDDBC5A">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15699891">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highlight w:val="none"/>
                <w:lang w:val="en-US" w:eastAsia="zh-CN"/>
              </w:rPr>
              <w:t>预算编制费</w:t>
            </w:r>
            <w:r>
              <w:rPr>
                <w:rFonts w:hint="eastAsia" w:ascii="宋体" w:hAnsi="宋体" w:cs="宋体"/>
                <w:color w:val="auto"/>
                <w:highlight w:val="none"/>
                <w:lang w:eastAsia="zh-CN"/>
              </w:rPr>
              <w:t>：</w:t>
            </w:r>
            <w:r>
              <w:rPr>
                <w:rFonts w:hint="eastAsia" w:ascii="宋体" w:hAnsi="宋体" w:cs="宋体"/>
                <w:color w:val="auto"/>
                <w:szCs w:val="21"/>
                <w:highlight w:val="none"/>
                <w:lang w:val="en-US" w:eastAsia="zh-CN"/>
              </w:rPr>
              <w:t>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由中标人（成交人）支付。根据《国家发展改革委关于进一步放开建设项目专业服务价格的通知》（发改价格【2015】299号）文件精神，现将费用标准予以告知，本项目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计算公式为：中标价（成交价）*0.68%（不足1000元的按1000元收取）。</w:t>
            </w:r>
          </w:p>
          <w:p w14:paraId="71BE10B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349E090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02BC6965">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029F2AF0">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B221082">
            <w:pPr>
              <w:tabs>
                <w:tab w:val="left" w:pos="1980"/>
              </w:tabs>
              <w:adjustRightInd w:val="0"/>
              <w:snapToGrid w:val="0"/>
              <w:spacing w:line="310" w:lineRule="exac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系统建设：系统建设60天，合同签订后30天内完成系统搭建，后30天完成系统调试、人员培训，满足采购人正常使用，经采购人验收合格后进入免费维保期，免费维保期为2年，免费维保期结束后进入付费维保期。</w:t>
            </w:r>
          </w:p>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付费维保：免费维保期满后进入付费维保期，年度维保费用以中标报价为准，合同一年一签，经采购人考核合格后续签下一年度合同。</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15FCEBA">
            <w:pPr>
              <w:adjustRightInd w:val="0"/>
              <w:snapToGrid w:val="0"/>
              <w:spacing w:line="310" w:lineRule="exact"/>
              <w:jc w:val="left"/>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系统开发：系统开发完成上线试运行后支付合同价的60%，平稳运行且经甲方验收合格后付至合同价款的98%，余款2%作为质保金在免费运维期满后一次性支付。付款前供应商须提供13%增值税专用发票。</w:t>
            </w:r>
          </w:p>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付费维保：年度合同结束，根据考核情况一次性支付。付款前供应商须提供6%增值税专用发票。</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2DDE28D7">
      <w:pPr>
        <w:rPr>
          <w:rFonts w:hint="eastAsia"/>
          <w:color w:val="auto"/>
          <w:highlight w:val="none"/>
        </w:rPr>
      </w:pPr>
      <w:bookmarkStart w:id="28" w:name="_Toc228155793"/>
      <w:bookmarkStart w:id="29" w:name="OLE_LINK4"/>
      <w:bookmarkStart w:id="30" w:name="_Toc163036384"/>
      <w:bookmarkStart w:id="31" w:name="OLE_LINK3"/>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5950"/>
      <w:bookmarkStart w:id="33" w:name="_Toc13583"/>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3702"/>
      <w:bookmarkStart w:id="37" w:name="_Toc5003"/>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8827"/>
      <w:bookmarkStart w:id="41"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341"/>
      <w:bookmarkStart w:id="43"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31380"/>
      <w:bookmarkStart w:id="45"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835"/>
      <w:bookmarkStart w:id="47" w:name="_Toc489602770"/>
      <w:bookmarkStart w:id="48" w:name="_Toc489602801"/>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3250"/>
      <w:bookmarkStart w:id="50" w:name="_Toc29273"/>
      <w:bookmarkStart w:id="51" w:name="_Toc27648"/>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8907"/>
      <w:bookmarkStart w:id="54" w:name="_Toc11965"/>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11986"/>
      <w:bookmarkStart w:id="56" w:name="_Toc7975"/>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6A7EDB10">
      <w:pPr>
        <w:pStyle w:val="29"/>
        <w:rPr>
          <w:rFonts w:hint="default" w:ascii="宋体" w:hAnsi="宋体" w:cs="宋体"/>
          <w:b w:val="0"/>
          <w:bCs w:val="0"/>
          <w:caps/>
          <w:color w:val="auto"/>
          <w:kern w:val="2"/>
          <w:sz w:val="28"/>
          <w:szCs w:val="28"/>
          <w:highlight w:val="none"/>
          <w:lang w:val="en-US" w:eastAsia="zh-CN"/>
        </w:rPr>
      </w:pPr>
      <w:bookmarkStart w:id="58" w:name="_Toc12542"/>
      <w:bookmarkStart w:id="59" w:name="_Toc25987"/>
      <w:r>
        <w:rPr>
          <w:rFonts w:hint="eastAsia" w:ascii="宋体" w:hAnsi="宋体" w:cs="宋体"/>
          <w:b w:val="0"/>
          <w:bCs w:val="0"/>
          <w:caps/>
          <w:color w:val="auto"/>
          <w:kern w:val="2"/>
          <w:sz w:val="28"/>
          <w:szCs w:val="28"/>
          <w:highlight w:val="none"/>
          <w:lang w:val="en-US" w:eastAsia="zh-CN"/>
        </w:rPr>
        <w:t>详见附件清单。</w:t>
      </w:r>
    </w:p>
    <w:p w14:paraId="1A5BBE54">
      <w:pPr>
        <w:pStyle w:val="29"/>
        <w:rPr>
          <w:rFonts w:hint="default" w:ascii="宋体" w:hAnsi="宋体" w:cs="宋体"/>
          <w:b w:val="0"/>
          <w:bCs w:val="0"/>
          <w:caps/>
          <w:color w:val="auto"/>
          <w:kern w:val="2"/>
          <w:sz w:val="44"/>
          <w:szCs w:val="44"/>
          <w:highlight w:val="none"/>
          <w:lang w:val="en-US" w:eastAsia="zh-CN"/>
        </w:rPr>
      </w:pPr>
    </w:p>
    <w:p w14:paraId="22FD07A0">
      <w:pPr>
        <w:pStyle w:val="25"/>
        <w:rPr>
          <w:rFonts w:hint="eastAsia"/>
          <w:color w:val="auto"/>
          <w:highlight w:val="none"/>
          <w:lang w:val="zh-CN"/>
        </w:rPr>
      </w:pPr>
    </w:p>
    <w:p w14:paraId="359F67BF">
      <w:pPr>
        <w:pStyle w:val="34"/>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6"/>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6"/>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6"/>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2A8010CF">
      <w:pPr>
        <w:rPr>
          <w:rFonts w:hint="eastAsia" w:ascii="宋体" w:hAnsi="宋体" w:eastAsia="宋体" w:cs="宋体"/>
          <w:b/>
          <w:color w:val="auto"/>
          <w:kern w:val="10"/>
          <w:sz w:val="30"/>
          <w:szCs w:val="30"/>
          <w:highlight w:val="none"/>
        </w:rPr>
      </w:pPr>
      <w:bookmarkStart w:id="61" w:name="_Toc21730"/>
      <w:bookmarkStart w:id="62" w:name="_Toc457942830"/>
      <w:bookmarkStart w:id="63" w:name="_Toc493152871"/>
      <w:r>
        <w:rPr>
          <w:rFonts w:hint="eastAsia" w:ascii="宋体" w:hAnsi="宋体" w:eastAsia="宋体" w:cs="宋体"/>
          <w:b/>
          <w:color w:val="auto"/>
          <w:kern w:val="10"/>
          <w:sz w:val="30"/>
          <w:szCs w:val="30"/>
          <w:highlight w:val="none"/>
        </w:rPr>
        <w:br w:type="page"/>
      </w:r>
    </w:p>
    <w:p w14:paraId="321157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w:t>
      </w:r>
      <w:r>
        <w:rPr>
          <w:rFonts w:hint="eastAsia" w:ascii="宋体" w:hAnsi="宋体" w:eastAsia="宋体" w:cs="宋体"/>
          <w:b/>
          <w:color w:val="auto"/>
          <w:kern w:val="10"/>
          <w:sz w:val="30"/>
          <w:szCs w:val="30"/>
          <w:highlight w:val="none"/>
          <w:lang w:val="en-US" w:eastAsia="zh-CN"/>
        </w:rPr>
        <w:t>四</w:t>
      </w:r>
      <w:r>
        <w:rPr>
          <w:rFonts w:hint="eastAsia" w:ascii="宋体" w:hAnsi="宋体" w:eastAsia="宋体" w:cs="宋体"/>
          <w:b/>
          <w:color w:val="auto"/>
          <w:kern w:val="10"/>
          <w:sz w:val="30"/>
          <w:szCs w:val="30"/>
          <w:highlight w:val="none"/>
        </w:rPr>
        <w:t>（</w:t>
      </w:r>
      <w:r>
        <w:rPr>
          <w:rFonts w:hint="eastAsia" w:ascii="宋体" w:hAnsi="宋体" w:eastAsia="宋体" w:cs="宋体"/>
          <w:b/>
          <w:color w:val="auto"/>
          <w:kern w:val="10"/>
          <w:sz w:val="30"/>
          <w:szCs w:val="30"/>
          <w:highlight w:val="none"/>
          <w:lang w:val="en-US" w:eastAsia="zh-CN"/>
        </w:rPr>
        <w:t>综合评审</w:t>
      </w:r>
      <w:r>
        <w:rPr>
          <w:rFonts w:hint="eastAsia" w:ascii="宋体" w:hAnsi="宋体" w:eastAsia="宋体" w:cs="宋体"/>
          <w:b/>
          <w:color w:val="auto"/>
          <w:kern w:val="10"/>
          <w:sz w:val="30"/>
          <w:szCs w:val="30"/>
          <w:highlight w:val="none"/>
          <w:lang w:eastAsia="zh-CN"/>
        </w:rPr>
        <w:t>指标表</w:t>
      </w:r>
      <w:r>
        <w:rPr>
          <w:rFonts w:hint="eastAsia" w:ascii="宋体" w:hAnsi="宋体" w:cs="宋体"/>
          <w:b/>
          <w:color w:val="auto"/>
          <w:kern w:val="10"/>
          <w:sz w:val="30"/>
          <w:szCs w:val="30"/>
          <w:highlight w:val="none"/>
          <w:lang w:eastAsia="zh-CN"/>
        </w:rPr>
        <w:t>）</w:t>
      </w:r>
    </w:p>
    <w:tbl>
      <w:tblPr>
        <w:tblStyle w:val="36"/>
        <w:tblW w:w="60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1834"/>
        <w:gridCol w:w="7099"/>
        <w:gridCol w:w="767"/>
      </w:tblGrid>
      <w:tr w14:paraId="11D0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83" w:type="pct"/>
            <w:tcBorders>
              <w:left w:val="single" w:color="auto" w:sz="4" w:space="0"/>
              <w:right w:val="single" w:color="000000" w:sz="4" w:space="0"/>
            </w:tcBorders>
            <w:noWrap w:val="0"/>
            <w:vAlign w:val="center"/>
          </w:tcPr>
          <w:p w14:paraId="0F2ED561">
            <w:pPr>
              <w:jc w:val="center"/>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类别</w:t>
            </w:r>
          </w:p>
        </w:tc>
        <w:tc>
          <w:tcPr>
            <w:tcW w:w="835" w:type="pct"/>
            <w:tcBorders>
              <w:left w:val="single" w:color="auto" w:sz="4" w:space="0"/>
              <w:right w:val="single" w:color="000000" w:sz="4" w:space="0"/>
            </w:tcBorders>
            <w:noWrap w:val="0"/>
            <w:vAlign w:val="center"/>
          </w:tcPr>
          <w:p w14:paraId="2B0D9828">
            <w:pPr>
              <w:jc w:val="center"/>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评分内容</w:t>
            </w:r>
          </w:p>
        </w:tc>
        <w:tc>
          <w:tcPr>
            <w:tcW w:w="3232" w:type="pct"/>
            <w:tcBorders>
              <w:top w:val="single" w:color="auto" w:sz="4" w:space="0"/>
              <w:left w:val="single" w:color="auto" w:sz="4" w:space="0"/>
              <w:right w:val="single" w:color="auto" w:sz="4" w:space="0"/>
            </w:tcBorders>
            <w:noWrap w:val="0"/>
            <w:vAlign w:val="center"/>
          </w:tcPr>
          <w:p w14:paraId="5DD4A481">
            <w:pPr>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评审标准</w:t>
            </w:r>
          </w:p>
        </w:tc>
        <w:tc>
          <w:tcPr>
            <w:tcW w:w="349" w:type="pct"/>
            <w:tcBorders>
              <w:top w:val="single" w:color="auto" w:sz="4" w:space="0"/>
              <w:left w:val="single" w:color="auto" w:sz="4" w:space="0"/>
              <w:right w:val="single" w:color="auto" w:sz="4" w:space="0"/>
            </w:tcBorders>
            <w:noWrap w:val="0"/>
            <w:vAlign w:val="center"/>
          </w:tcPr>
          <w:p w14:paraId="20E505EE">
            <w:pPr>
              <w:jc w:val="center"/>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分值</w:t>
            </w:r>
          </w:p>
          <w:p w14:paraId="1061E2B0">
            <w:pPr>
              <w:jc w:val="center"/>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范围</w:t>
            </w:r>
          </w:p>
        </w:tc>
      </w:tr>
      <w:tr w14:paraId="12B1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583" w:type="pct"/>
            <w:vMerge w:val="restart"/>
            <w:tcBorders>
              <w:top w:val="single" w:color="000000" w:sz="4" w:space="0"/>
              <w:left w:val="single" w:color="auto" w:sz="4" w:space="0"/>
              <w:right w:val="single" w:color="000000" w:sz="4" w:space="0"/>
            </w:tcBorders>
            <w:noWrap w:val="0"/>
            <w:vAlign w:val="center"/>
          </w:tcPr>
          <w:p w14:paraId="3BAF50C2">
            <w:pPr>
              <w:pStyle w:val="116"/>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技术分</w:t>
            </w:r>
          </w:p>
          <w:p w14:paraId="04A54E41">
            <w:pPr>
              <w:pStyle w:val="116"/>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lang w:val="en-US" w:eastAsia="zh-CN"/>
              </w:rPr>
              <w:t>60</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color w:val="auto"/>
                <w:sz w:val="21"/>
                <w:szCs w:val="21"/>
                <w:highlight w:val="none"/>
                <w:lang w:eastAsia="zh-CN"/>
              </w:rPr>
              <w:t>）</w:t>
            </w:r>
          </w:p>
        </w:tc>
        <w:tc>
          <w:tcPr>
            <w:tcW w:w="1834" w:type="dxa"/>
            <w:tcBorders>
              <w:top w:val="single" w:color="000000" w:sz="4" w:space="0"/>
              <w:left w:val="single" w:color="auto" w:sz="4" w:space="0"/>
              <w:right w:val="single" w:color="000000" w:sz="4" w:space="0"/>
            </w:tcBorders>
            <w:noWrap w:val="0"/>
            <w:vAlign w:val="center"/>
          </w:tcPr>
          <w:p w14:paraId="47C7FFBA">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业绩</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42EA1D04">
            <w:pPr>
              <w:spacing w:line="3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自2021年1月1日至今，供应商具有与本项目类似的陵园、墓园管理系统开发业绩经验的，每提供一个得5分，本项满分15分。</w:t>
            </w:r>
          </w:p>
          <w:p w14:paraId="04F4BEDA">
            <w:pPr>
              <w:spacing w:line="340" w:lineRule="exac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备注：响应文件须提供合同、使用单位出具的使用反馈资料、10张（含）以上管理系统界面截图复印件，未提供或提供不全的不予认可。时间以合同签订时间为准。</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9AD16B8">
            <w:pPr>
              <w:spacing w:line="3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r>
      <w:tr w14:paraId="598A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583" w:type="pct"/>
            <w:vMerge w:val="continue"/>
            <w:tcBorders>
              <w:left w:val="single" w:color="auto" w:sz="4" w:space="0"/>
              <w:right w:val="single" w:color="000000" w:sz="4" w:space="0"/>
            </w:tcBorders>
            <w:noWrap w:val="0"/>
            <w:vAlign w:val="center"/>
          </w:tcPr>
          <w:p w14:paraId="759204BC">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noWrap w:val="0"/>
            <w:vAlign w:val="center"/>
          </w:tcPr>
          <w:p w14:paraId="13904061">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软件著作权证书</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502749CB">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供应商具有“智慧墓园类”系统软件著作权登记证书的，每提供一个证书得5分，本项满分15分。</w:t>
            </w:r>
          </w:p>
          <w:p w14:paraId="7A43C21C">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备注：供应商需提供软件著作权登记证书。供应商所提供软件著作权证书上的系统名称可以与上述名称略有不同，但必须是功能相同的产品，否则不予认可。</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1D1E361">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r>
      <w:tr w14:paraId="6D95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583" w:type="pct"/>
            <w:vMerge w:val="continue"/>
            <w:tcBorders>
              <w:left w:val="single" w:color="auto" w:sz="4" w:space="0"/>
              <w:right w:val="single" w:color="000000" w:sz="4" w:space="0"/>
            </w:tcBorders>
            <w:noWrap w:val="0"/>
            <w:vAlign w:val="center"/>
          </w:tcPr>
          <w:p w14:paraId="389E6CC1">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noWrap w:val="0"/>
            <w:vAlign w:val="center"/>
          </w:tcPr>
          <w:p w14:paraId="2C50B5D4">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体系认证</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4E274D1E">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供应商具有有效的IS09001质量体系认证证书、IS014001环境管理体系认证证书和IS045001职业健康安全管理体系证书的，每提供一个得1分，本项满分3分。</w:t>
            </w:r>
          </w:p>
          <w:p w14:paraId="2EEB6A0B">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备注：响应文件中须同时提供国家市场监督管理总局全国认证认可信息公共服务平台的查询截图（有效期内）及认证证书复印件，认证覆盖的业务范围涵盖计算机应用软件开发，否则不得分。</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2A25157">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r>
      <w:tr w14:paraId="0B69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583" w:type="pct"/>
            <w:vMerge w:val="continue"/>
            <w:tcBorders>
              <w:left w:val="single" w:color="auto" w:sz="4" w:space="0"/>
              <w:right w:val="single" w:color="000000" w:sz="4" w:space="0"/>
            </w:tcBorders>
            <w:noWrap w:val="0"/>
            <w:vAlign w:val="center"/>
          </w:tcPr>
          <w:p w14:paraId="45B2DC32">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noWrap w:val="0"/>
            <w:vAlign w:val="center"/>
          </w:tcPr>
          <w:p w14:paraId="6B09DECC">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技术能力</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27589BAE">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供应商获得市级科学技术部门颁发的“高新技术企业”或“科技型中小企业”得3分；获得省级及以上科学技术部门颁发的“高新技术企业”或“科技型中小企业”得5分，本项满分5分。</w:t>
            </w:r>
          </w:p>
          <w:p w14:paraId="6E3CB595">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备注：响应文件中须提供证书或批复文件复印件或网站公示截图。</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6625BE9">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r>
      <w:tr w14:paraId="791D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583" w:type="pct"/>
            <w:vMerge w:val="continue"/>
            <w:tcBorders>
              <w:left w:val="single" w:color="auto" w:sz="4" w:space="0"/>
              <w:right w:val="single" w:color="000000" w:sz="4" w:space="0"/>
            </w:tcBorders>
            <w:noWrap w:val="0"/>
            <w:vAlign w:val="center"/>
          </w:tcPr>
          <w:p w14:paraId="4057421C">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noWrap w:val="0"/>
            <w:vAlign w:val="center"/>
          </w:tcPr>
          <w:p w14:paraId="0F9ECF62">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拟派项目组人员</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618A1A0E">
            <w:pPr>
              <w:pStyle w:val="35"/>
              <w:spacing w:line="240" w:lineRule="auto"/>
              <w:ind w:left="0" w:leftChars="0" w:firstLine="0" w:firstLineChars="0"/>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1、项目负责人：拟派项目负责人具有人社部颁发的信息系统项目管理师（高级）证书或系统架构设计师‌（高级）或‌系统分析师‌（高级）的得2分。</w:t>
            </w:r>
          </w:p>
          <w:p w14:paraId="7C344C6D">
            <w:pP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2、项目成员（项目负责人除外）：拟派项目成员中每有1人具有人社部颁发的系统集成项目管理工程师（中级）或信息安全工程师（中级）或软件设计师（中级）或网络工程师（中级）的1分，本项满分3分。</w:t>
            </w:r>
          </w:p>
          <w:p w14:paraId="0F198361">
            <w:pPr>
              <w:rPr>
                <w:rFonts w:hint="eastAsia" w:asciiTheme="minorEastAsia" w:hAnsiTheme="minorEastAsia" w:eastAsiaTheme="minorEastAsia" w:cstheme="minorEastAsia"/>
                <w:color w:val="auto"/>
                <w:kern w:val="1"/>
                <w:sz w:val="21"/>
                <w:szCs w:val="21"/>
                <w:highlight w:val="none"/>
                <w:lang w:val="en-US" w:eastAsia="zh-CN"/>
              </w:rPr>
            </w:pPr>
            <w:r>
              <w:rPr>
                <w:rFonts w:hint="eastAsia" w:asciiTheme="minorEastAsia" w:hAnsiTheme="minorEastAsia" w:eastAsiaTheme="minorEastAsia" w:cstheme="minorEastAsia"/>
                <w:color w:val="auto"/>
                <w:kern w:val="1"/>
                <w:sz w:val="21"/>
                <w:szCs w:val="21"/>
                <w:highlight w:val="none"/>
                <w:lang w:val="en-US" w:eastAsia="zh-CN"/>
              </w:rPr>
              <w:t>备注：响应文件中须提供人员证书复印件及供应商为其办理社会保险的证明材料（投标截止日期所属月份（含）为基点起往前计算已经过去的连续5个月内不少于连续缴费3个月），同一人员具有多个证书的不重复计分。</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6CCDE17">
            <w:pPr>
              <w:pStyle w:val="35"/>
              <w:spacing w:line="240" w:lineRule="auto"/>
              <w:ind w:left="0" w:leftChars="0"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bidi="ar-SA"/>
              </w:rPr>
              <w:t>5</w:t>
            </w:r>
          </w:p>
        </w:tc>
      </w:tr>
      <w:tr w14:paraId="69B5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583" w:type="pct"/>
            <w:vMerge w:val="continue"/>
            <w:tcBorders>
              <w:left w:val="single" w:color="auto" w:sz="4" w:space="0"/>
              <w:right w:val="single" w:color="000000" w:sz="4" w:space="0"/>
            </w:tcBorders>
            <w:noWrap w:val="0"/>
            <w:vAlign w:val="center"/>
          </w:tcPr>
          <w:p w14:paraId="1F04229C">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shd w:val="clear" w:color="auto" w:fill="auto"/>
            <w:noWrap w:val="0"/>
            <w:vAlign w:val="center"/>
          </w:tcPr>
          <w:p w14:paraId="200545A4">
            <w:pPr>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设计实施方案</w:t>
            </w:r>
          </w:p>
        </w:tc>
        <w:tc>
          <w:tcPr>
            <w:tcW w:w="709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CE3A75">
            <w:pPr>
              <w:jc w:val="left"/>
              <w:rPr>
                <w:rFonts w:hint="eastAsia" w:asciiTheme="minorEastAsia" w:hAnsiTheme="minorEastAsia" w:eastAsiaTheme="minorEastAsia" w:cstheme="minorEastAsia"/>
                <w:color w:val="auto"/>
                <w:kern w:val="10"/>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对各供应商方案中项目解决方案、实施计划、软件产品功能等描述。</w:t>
            </w:r>
            <w:r>
              <w:rPr>
                <w:rFonts w:hint="eastAsia" w:asciiTheme="minorEastAsia" w:hAnsiTheme="minorEastAsia" w:eastAsiaTheme="minorEastAsia" w:cstheme="minorEastAsia"/>
                <w:color w:val="auto"/>
                <w:sz w:val="21"/>
                <w:szCs w:val="21"/>
                <w:highlight w:val="none"/>
              </w:rPr>
              <w:t>优秀的得</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分，良好的得3-4分，一般的得</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-2分，未提供的不得分。本项最高得分</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分。</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973CFD0">
            <w:pPr>
              <w:pStyle w:val="35"/>
              <w:spacing w:line="240" w:lineRule="auto"/>
              <w:ind w:left="0" w:leftChars="0"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r>
      <w:tr w14:paraId="4238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583" w:type="pct"/>
            <w:vMerge w:val="continue"/>
            <w:tcBorders>
              <w:left w:val="single" w:color="auto" w:sz="4" w:space="0"/>
              <w:right w:val="single" w:color="000000" w:sz="4" w:space="0"/>
            </w:tcBorders>
            <w:noWrap w:val="0"/>
            <w:vAlign w:val="center"/>
          </w:tcPr>
          <w:p w14:paraId="51C2C60B">
            <w:pPr>
              <w:jc w:val="center"/>
              <w:rPr>
                <w:rFonts w:hint="eastAsia" w:asciiTheme="minorEastAsia" w:hAnsiTheme="minorEastAsia" w:eastAsiaTheme="minorEastAsia" w:cstheme="minorEastAsia"/>
                <w:color w:val="auto"/>
                <w:sz w:val="21"/>
                <w:szCs w:val="21"/>
                <w:highlight w:val="none"/>
                <w:lang w:val="en-US" w:eastAsia="zh-CN"/>
              </w:rPr>
            </w:pPr>
          </w:p>
        </w:tc>
        <w:tc>
          <w:tcPr>
            <w:tcW w:w="1834" w:type="dxa"/>
            <w:tcBorders>
              <w:top w:val="single" w:color="000000" w:sz="4" w:space="0"/>
              <w:left w:val="single" w:color="auto" w:sz="4" w:space="0"/>
              <w:right w:val="single" w:color="000000" w:sz="4" w:space="0"/>
            </w:tcBorders>
            <w:shd w:val="clear" w:color="auto" w:fill="auto"/>
            <w:noWrap w:val="0"/>
            <w:vAlign w:val="center"/>
          </w:tcPr>
          <w:p w14:paraId="22390D99">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售后服务方案</w:t>
            </w:r>
          </w:p>
        </w:tc>
        <w:tc>
          <w:tcPr>
            <w:tcW w:w="709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68326E">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根据供应商针对本项目制定的售后服务管理体系方案内容，售后服务分工、服务机制、响应时间、故障解决等内容进行评议。优秀的得5分；良好的得3-4分，一般的得1-2分，未提供则不得分。</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CD83812">
            <w:pPr>
              <w:pStyle w:val="35"/>
              <w:spacing w:line="240" w:lineRule="auto"/>
              <w:ind w:left="0" w:leftChars="0"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r>
      <w:tr w14:paraId="2CAE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3" w:type="pct"/>
            <w:vMerge w:val="continue"/>
            <w:tcBorders>
              <w:left w:val="single" w:color="auto" w:sz="4" w:space="0"/>
              <w:right w:val="single" w:color="000000" w:sz="4" w:space="0"/>
            </w:tcBorders>
            <w:noWrap w:val="0"/>
            <w:vAlign w:val="center"/>
          </w:tcPr>
          <w:p w14:paraId="5B24E3F7">
            <w:pPr>
              <w:jc w:val="center"/>
              <w:rPr>
                <w:rFonts w:hint="eastAsia" w:asciiTheme="minorEastAsia" w:hAnsiTheme="minorEastAsia" w:eastAsiaTheme="minorEastAsia" w:cstheme="minorEastAsia"/>
                <w:bCs/>
                <w:color w:val="auto"/>
                <w:sz w:val="21"/>
                <w:szCs w:val="21"/>
                <w:highlight w:val="none"/>
              </w:rPr>
            </w:pPr>
          </w:p>
        </w:tc>
        <w:tc>
          <w:tcPr>
            <w:tcW w:w="1834" w:type="dxa"/>
            <w:tcBorders>
              <w:top w:val="single" w:color="000000" w:sz="4" w:space="0"/>
              <w:left w:val="single" w:color="auto" w:sz="4" w:space="0"/>
              <w:bottom w:val="single" w:color="000000" w:sz="4" w:space="0"/>
              <w:right w:val="single" w:color="000000" w:sz="4" w:space="0"/>
            </w:tcBorders>
            <w:noWrap w:val="0"/>
            <w:vAlign w:val="center"/>
          </w:tcPr>
          <w:p w14:paraId="6EBBC7E1">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系统演示</w:t>
            </w:r>
          </w:p>
        </w:tc>
        <w:tc>
          <w:tcPr>
            <w:tcW w:w="7099" w:type="dxa"/>
            <w:tcBorders>
              <w:top w:val="single" w:color="auto" w:sz="4" w:space="0"/>
              <w:left w:val="single" w:color="auto" w:sz="4" w:space="0"/>
              <w:bottom w:val="single" w:color="auto" w:sz="4" w:space="0"/>
              <w:right w:val="single" w:color="auto" w:sz="4" w:space="0"/>
            </w:tcBorders>
            <w:noWrap w:val="0"/>
            <w:vAlign w:val="center"/>
          </w:tcPr>
          <w:p w14:paraId="663141CB">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供应商自行制作一段系统演示讲解视频，谈判小组根据系统演示情况酌情评分：优得6-7分，良得3-5分，一般得1-2分，未提供的不得分。本项最高得7分。</w:t>
            </w:r>
          </w:p>
          <w:p w14:paraId="1199EDE7">
            <w:p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备注：</w:t>
            </w:r>
          </w:p>
          <w:p w14:paraId="4904AB1D">
            <w:pPr>
              <w:numPr>
                <w:ilvl w:val="0"/>
                <w:numId w:val="0"/>
              </w:num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2"/>
                <w:sz w:val="21"/>
                <w:szCs w:val="21"/>
                <w:lang w:val="en-US" w:eastAsia="zh-CN" w:bidi="ar-SA"/>
              </w:rPr>
              <w:t>1、</w:t>
            </w:r>
            <w:r>
              <w:rPr>
                <w:rFonts w:hint="eastAsia" w:asciiTheme="minorEastAsia" w:hAnsiTheme="minorEastAsia" w:eastAsiaTheme="minorEastAsia" w:cstheme="minorEastAsia"/>
                <w:color w:val="auto"/>
                <w:sz w:val="21"/>
                <w:szCs w:val="21"/>
                <w:highlight w:val="none"/>
                <w:lang w:val="en-US" w:eastAsia="zh-CN"/>
              </w:rPr>
              <w:t>供应商演示的系统可以是根据本项目需求新开发的系统，也可以是已完成的其他类似项目的成熟系统。</w:t>
            </w:r>
          </w:p>
          <w:p w14:paraId="6C26ACE6">
            <w:pPr>
              <w:numPr>
                <w:ilvl w:val="0"/>
                <w:numId w:val="0"/>
              </w:numPr>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2"/>
                <w:sz w:val="21"/>
                <w:szCs w:val="21"/>
                <w:lang w:val="en-US" w:eastAsia="zh-CN" w:bidi="ar-SA"/>
              </w:rPr>
              <w:t>2、</w:t>
            </w:r>
            <w:r>
              <w:rPr>
                <w:rFonts w:hint="eastAsia" w:asciiTheme="minorEastAsia" w:hAnsiTheme="minorEastAsia" w:eastAsiaTheme="minorEastAsia" w:cstheme="minorEastAsia"/>
                <w:color w:val="auto"/>
                <w:sz w:val="21"/>
                <w:szCs w:val="21"/>
                <w:highlight w:val="none"/>
                <w:lang w:val="en-US" w:eastAsia="zh-CN"/>
              </w:rPr>
              <w:t>供应商须将演示视频拷贝至U盘中在开标现场密封提交，如密封袋上发现能体现供应商信息内容的将拒收。</w:t>
            </w:r>
          </w:p>
          <w:p w14:paraId="0FEEE5AD">
            <w:pPr>
              <w:numPr>
                <w:ilvl w:val="0"/>
                <w:numId w:val="0"/>
              </w:numPr>
              <w:ind w:left="0" w:leftChars="0" w:firstLine="0" w:firstLineChars="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2"/>
                <w:sz w:val="21"/>
                <w:szCs w:val="21"/>
                <w:lang w:val="en-US" w:eastAsia="zh-CN" w:bidi="ar-SA"/>
              </w:rPr>
              <w:t>3、</w:t>
            </w:r>
            <w:r>
              <w:rPr>
                <w:rFonts w:hint="eastAsia" w:asciiTheme="minorEastAsia" w:hAnsiTheme="minorEastAsia" w:eastAsiaTheme="minorEastAsia" w:cstheme="minorEastAsia"/>
                <w:color w:val="auto"/>
                <w:sz w:val="21"/>
                <w:szCs w:val="21"/>
                <w:highlight w:val="none"/>
                <w:lang w:val="en-US" w:eastAsia="zh-CN"/>
              </w:rPr>
              <w:t>供应商提供的U盘及演示视频中禁止出现泄露供应商信息的内容，如出现泄露供应商信息的内容，本项得分为0。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590C90B">
            <w:pPr>
              <w:spacing w:line="3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r>
      <w:tr w14:paraId="6B3B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5" w:hRule="atLeast"/>
          <w:jc w:val="center"/>
        </w:trPr>
        <w:tc>
          <w:tcPr>
            <w:tcW w:w="583" w:type="pct"/>
            <w:tcBorders>
              <w:top w:val="single" w:color="000000" w:sz="4" w:space="0"/>
              <w:left w:val="single" w:color="auto" w:sz="4" w:space="0"/>
              <w:bottom w:val="single" w:color="000000" w:sz="4" w:space="0"/>
              <w:right w:val="single" w:color="000000" w:sz="4" w:space="0"/>
            </w:tcBorders>
            <w:noWrap w:val="0"/>
            <w:vAlign w:val="center"/>
          </w:tcPr>
          <w:p w14:paraId="1EAC1E37">
            <w:pPr>
              <w:pStyle w:val="116"/>
              <w:ind w:right="143"/>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价格分</w:t>
            </w:r>
          </w:p>
          <w:p w14:paraId="2C72BC0F">
            <w:pPr>
              <w:pStyle w:val="116"/>
              <w:ind w:right="143"/>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lang w:val="en-US" w:eastAsia="zh-CN"/>
              </w:rPr>
              <w:t>4</w:t>
            </w:r>
            <w:r>
              <w:rPr>
                <w:rFonts w:hint="eastAsia" w:asciiTheme="minorEastAsia" w:hAnsiTheme="minorEastAsia" w:eastAsiaTheme="minorEastAsia" w:cstheme="minorEastAsia"/>
                <w:color w:val="auto"/>
                <w:sz w:val="21"/>
                <w:szCs w:val="21"/>
                <w:highlight w:val="none"/>
                <w:u w:val="single"/>
              </w:rPr>
              <w:t>0</w:t>
            </w:r>
            <w:r>
              <w:rPr>
                <w:rFonts w:hint="eastAsia" w:asciiTheme="minorEastAsia" w:hAnsiTheme="minorEastAsia" w:eastAsiaTheme="minorEastAsia" w:cstheme="minorEastAsia"/>
                <w:color w:val="auto"/>
                <w:sz w:val="21"/>
                <w:szCs w:val="21"/>
                <w:highlight w:val="none"/>
              </w:rPr>
              <w:t>分</w:t>
            </w:r>
          </w:p>
        </w:tc>
        <w:tc>
          <w:tcPr>
            <w:tcW w:w="4067" w:type="pct"/>
            <w:gridSpan w:val="2"/>
            <w:tcBorders>
              <w:top w:val="single" w:color="000000" w:sz="4" w:space="0"/>
              <w:left w:val="single" w:color="auto" w:sz="4" w:space="0"/>
              <w:bottom w:val="single" w:color="000000" w:sz="4" w:space="0"/>
              <w:right w:val="single" w:color="auto" w:sz="4" w:space="0"/>
            </w:tcBorders>
            <w:noWrap w:val="0"/>
            <w:vAlign w:val="center"/>
          </w:tcPr>
          <w:p w14:paraId="56FD723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本项目报价分为2个部分：</w:t>
            </w:r>
          </w:p>
          <w:p w14:paraId="0AB4529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1、系统建设：统一采用低价优先法，即满足谈判文件要求且最终报价最低的价格作为评标基准价，其得分为满分36分。其他供应商的得分统一按照下列公式计算（四舍五入保留至小数点后两位数）：系统建设</w:t>
            </w:r>
            <w:r>
              <w:rPr>
                <w:rFonts w:hint="eastAsia" w:ascii="宋体" w:hAnsi="宋体" w:cs="宋体"/>
                <w:color w:val="auto"/>
                <w:sz w:val="21"/>
                <w:szCs w:val="21"/>
                <w:highlight w:val="none"/>
                <w:lang w:val="en-US" w:eastAsia="zh-CN"/>
              </w:rPr>
              <w:t>报价</w:t>
            </w:r>
            <w:r>
              <w:rPr>
                <w:rFonts w:hint="eastAsia" w:ascii="宋体" w:hAnsi="宋体" w:eastAsia="宋体" w:cs="宋体"/>
                <w:color w:val="auto"/>
                <w:sz w:val="21"/>
                <w:szCs w:val="21"/>
                <w:highlight w:val="none"/>
                <w:lang w:val="en-US" w:eastAsia="zh-CN"/>
              </w:rPr>
              <w:t>得分＝（评标基准价/最终报价）×36％×100；</w:t>
            </w:r>
          </w:p>
          <w:p w14:paraId="6BCB6E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2、付费维保：统一采用低价优先法，即满足谈判文件要求且最终报价最低的价格作为评标基准价，其得分为满分4分。其他供应商的得分统一按照下列公式计算（四舍五入保留至小数点后两位数）：付费维保</w:t>
            </w:r>
            <w:r>
              <w:rPr>
                <w:rFonts w:hint="eastAsia" w:ascii="宋体" w:hAnsi="宋体" w:cs="宋体"/>
                <w:color w:val="auto"/>
                <w:sz w:val="21"/>
                <w:szCs w:val="21"/>
                <w:highlight w:val="none"/>
                <w:lang w:val="en-US" w:eastAsia="zh-CN"/>
              </w:rPr>
              <w:t>报价</w:t>
            </w:r>
            <w:r>
              <w:rPr>
                <w:rFonts w:hint="eastAsia" w:ascii="宋体" w:hAnsi="宋体" w:eastAsia="宋体" w:cs="宋体"/>
                <w:color w:val="auto"/>
                <w:sz w:val="21"/>
                <w:szCs w:val="21"/>
                <w:highlight w:val="none"/>
                <w:lang w:val="en-US" w:eastAsia="zh-CN"/>
              </w:rPr>
              <w:t>得分＝（评标基准价/最终报价）×4％×100</w:t>
            </w:r>
            <w:r>
              <w:rPr>
                <w:rFonts w:hint="eastAsia" w:ascii="宋体" w:hAnsi="宋体" w:cs="宋体"/>
                <w:color w:val="auto"/>
                <w:sz w:val="21"/>
                <w:szCs w:val="21"/>
                <w:highlight w:val="none"/>
                <w:lang w:val="en-US" w:eastAsia="zh-CN"/>
              </w:rPr>
              <w:t>；</w:t>
            </w:r>
          </w:p>
          <w:p w14:paraId="5CCDC00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价格分=系统建设报价得分+付费维保报价得分</w:t>
            </w:r>
          </w:p>
          <w:p w14:paraId="228EF01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注：参照《关于推动解决政府采购异常低价问题的通知》有关规定，评审中出现下列情形之一的，谈判小组应当启动异常低价投标（响应）审查程序：</w:t>
            </w:r>
          </w:p>
          <w:p w14:paraId="48AEE29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1.投标（响应）报价低于全部通过符合性审查供应商投标（响应）报价平均值65%的，即投标（响应）报价&lt;全部通过符合性审查供应商投标（响应）报价平均值×65%；</w:t>
            </w:r>
          </w:p>
          <w:p w14:paraId="7711EC0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2.投标（响应）报价低于通过符合性审查的次低报价供应商投标（响应）报价65%的，即投标（响应）报价&lt;通过符合性审查的次低报价供应商投标（响应）报价×65%；</w:t>
            </w:r>
          </w:p>
          <w:p w14:paraId="3FC8D5A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3.投标（响应）报价低于采购项目最高限价65%的，即投标（响应）报价&lt;采购项目最高限价×65%；</w:t>
            </w:r>
          </w:p>
          <w:p w14:paraId="1A809B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4.谈判小组基于专业判断，认为供应商报价过低，有可能影响产品质量或者不能诚信履约的其他情形。</w:t>
            </w:r>
          </w:p>
          <w:p w14:paraId="2431686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启动异常低价投标（响应）审查后，应当要求相关供应商在评审现场合理的时间内对投标（响应）价格作出解释，提供项目具体成本测算等与报价合理性相关的书面说明及必要的证明材料，供应商不能提供书面说明、证明材料，或者提供的书面说明、证明材料不能证明其报价合理性的，谈判小组应当将其作为无效投标（响应）处理。</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1EDB6C80">
            <w:pPr>
              <w:jc w:val="center"/>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40</w:t>
            </w:r>
          </w:p>
        </w:tc>
      </w:tr>
    </w:tbl>
    <w:p w14:paraId="1AF72530">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法：综合评分</w:t>
      </w:r>
      <w:r>
        <w:rPr>
          <w:rFonts w:hint="eastAsia" w:ascii="宋体" w:hAnsi="宋体" w:eastAsia="宋体" w:cs="宋体"/>
          <w:b/>
          <w:color w:val="auto"/>
          <w:sz w:val="24"/>
          <w:szCs w:val="24"/>
          <w:highlight w:val="none"/>
          <w:lang w:eastAsia="zh-CN"/>
        </w:rPr>
        <w:t>法</w:t>
      </w:r>
      <w:r>
        <w:rPr>
          <w:rFonts w:hint="eastAsia" w:ascii="宋体" w:hAnsi="宋体" w:eastAsia="宋体" w:cs="宋体"/>
          <w:b/>
          <w:color w:val="auto"/>
          <w:sz w:val="24"/>
          <w:szCs w:val="24"/>
          <w:highlight w:val="none"/>
        </w:rPr>
        <w:t>。</w:t>
      </w:r>
    </w:p>
    <w:p w14:paraId="7C83AED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3EFF6F82">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w:t>
      </w:r>
      <w:r>
        <w:rPr>
          <w:rFonts w:hint="eastAsia" w:ascii="宋体" w:hAnsi="宋体" w:cs="宋体"/>
          <w:b/>
          <w:color w:val="auto"/>
          <w:kern w:val="2"/>
          <w:sz w:val="24"/>
          <w:szCs w:val="24"/>
          <w:highlight w:val="none"/>
          <w:lang w:val="en-US" w:eastAsia="zh-CN"/>
        </w:rPr>
        <w:t>谈判</w:t>
      </w:r>
      <w:r>
        <w:rPr>
          <w:rFonts w:hint="eastAsia" w:ascii="宋体" w:hAnsi="宋体" w:eastAsia="宋体" w:cs="宋体"/>
          <w:b/>
          <w:color w:val="auto"/>
          <w:kern w:val="2"/>
          <w:sz w:val="24"/>
          <w:szCs w:val="24"/>
          <w:highlight w:val="none"/>
        </w:rPr>
        <w:t>→第二轮报价→综合</w:t>
      </w:r>
      <w:r>
        <w:rPr>
          <w:rFonts w:hint="eastAsia" w:ascii="宋体" w:hAnsi="宋体" w:eastAsia="宋体" w:cs="宋体"/>
          <w:b/>
          <w:color w:val="auto"/>
          <w:kern w:val="2"/>
          <w:sz w:val="24"/>
          <w:szCs w:val="24"/>
          <w:highlight w:val="none"/>
          <w:lang w:val="en-US" w:eastAsia="zh-CN"/>
        </w:rPr>
        <w:t>评审</w:t>
      </w:r>
      <w:r>
        <w:rPr>
          <w:rFonts w:hint="eastAsia" w:ascii="宋体" w:hAnsi="宋体" w:eastAsia="宋体" w:cs="宋体"/>
          <w:b/>
          <w:color w:val="auto"/>
          <w:kern w:val="2"/>
          <w:sz w:val="24"/>
          <w:szCs w:val="24"/>
          <w:highlight w:val="none"/>
        </w:rPr>
        <w:t>→确定</w:t>
      </w:r>
      <w:r>
        <w:rPr>
          <w:rFonts w:hint="eastAsia" w:ascii="宋体" w:hAnsi="宋体" w:eastAsia="宋体" w:cs="宋体"/>
          <w:b/>
          <w:color w:val="auto"/>
          <w:sz w:val="24"/>
          <w:szCs w:val="24"/>
          <w:highlight w:val="none"/>
        </w:rPr>
        <w:t>成交</w:t>
      </w:r>
      <w:r>
        <w:rPr>
          <w:rFonts w:hint="eastAsia" w:ascii="宋体" w:hAnsi="宋体" w:eastAsia="宋体" w:cs="宋体"/>
          <w:b/>
          <w:color w:val="auto"/>
          <w:kern w:val="2"/>
          <w:sz w:val="24"/>
          <w:szCs w:val="24"/>
          <w:highlight w:val="none"/>
        </w:rPr>
        <w:t>供应商</w:t>
      </w:r>
      <w:r>
        <w:rPr>
          <w:rFonts w:hint="eastAsia" w:ascii="宋体" w:hAnsi="宋体" w:eastAsia="宋体" w:cs="宋体"/>
          <w:b/>
          <w:color w:val="auto"/>
          <w:kern w:val="2"/>
          <w:sz w:val="24"/>
          <w:szCs w:val="24"/>
          <w:highlight w:val="none"/>
          <w:lang w:val="en-US" w:eastAsia="zh-CN"/>
        </w:rPr>
        <w:t>及</w:t>
      </w:r>
      <w:r>
        <w:rPr>
          <w:rFonts w:hint="eastAsia" w:ascii="宋体" w:hAnsi="宋体" w:eastAsia="宋体" w:cs="宋体"/>
          <w:b/>
          <w:color w:val="auto"/>
          <w:kern w:val="2"/>
          <w:sz w:val="24"/>
          <w:szCs w:val="24"/>
          <w:highlight w:val="none"/>
        </w:rPr>
        <w:t>成交候选供应商→</w:t>
      </w:r>
      <w:r>
        <w:rPr>
          <w:rFonts w:hint="eastAsia" w:ascii="宋体" w:hAnsi="宋体" w:eastAsia="宋体" w:cs="宋体"/>
          <w:b/>
          <w:color w:val="auto"/>
          <w:sz w:val="24"/>
          <w:szCs w:val="24"/>
          <w:highlight w:val="none"/>
        </w:rPr>
        <w:t>宣布评审结果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1A7BC099">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符合性评审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谈判小组</w:t>
      </w: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kern w:val="2"/>
          <w:sz w:val="24"/>
          <w:szCs w:val="24"/>
          <w:highlight w:val="none"/>
          <w:lang w:eastAsia="zh-CN"/>
        </w:rPr>
        <w:t>评审方法和标准前附表</w:t>
      </w:r>
      <w:r>
        <w:rPr>
          <w:rFonts w:hint="eastAsia" w:ascii="宋体" w:hAnsi="宋体" w:eastAsia="宋体" w:cs="宋体"/>
          <w:color w:val="auto"/>
          <w:kern w:val="2"/>
          <w:sz w:val="24"/>
          <w:szCs w:val="24"/>
          <w:highlight w:val="none"/>
          <w:lang w:val="en-US" w:eastAsia="zh-CN"/>
        </w:rPr>
        <w:t>一、二、三对供应商的响应文件进行符合性评审</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符合性评审未通过的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不得</w:t>
      </w:r>
      <w:r>
        <w:rPr>
          <w:rFonts w:hint="eastAsia" w:ascii="宋体" w:hAnsi="宋体" w:eastAsia="宋体" w:cs="宋体"/>
          <w:color w:val="auto"/>
          <w:sz w:val="24"/>
          <w:szCs w:val="24"/>
          <w:highlight w:val="none"/>
          <w:lang w:val="en-US" w:eastAsia="zh-CN"/>
        </w:rPr>
        <w:t>进入下一步评审</w:t>
      </w:r>
      <w:r>
        <w:rPr>
          <w:rFonts w:hint="eastAsia" w:ascii="宋体" w:hAnsi="宋体" w:eastAsia="宋体" w:cs="宋体"/>
          <w:color w:val="auto"/>
          <w:sz w:val="24"/>
          <w:szCs w:val="24"/>
          <w:highlight w:val="none"/>
        </w:rPr>
        <w:t>。</w:t>
      </w:r>
    </w:p>
    <w:p w14:paraId="2098D725">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rPr>
        <w:t>谈判。</w:t>
      </w:r>
      <w:r>
        <w:rPr>
          <w:rFonts w:hint="eastAsia" w:ascii="宋体" w:hAnsi="宋体" w:eastAsia="宋体" w:cs="宋体"/>
          <w:b w:val="0"/>
          <w:bCs/>
          <w:color w:val="auto"/>
          <w:sz w:val="24"/>
          <w:szCs w:val="24"/>
          <w:highlight w:val="none"/>
        </w:rPr>
        <w:t>谈判小组所有成员集中与通过符合性评审的单一供应商分别进行谈判。各供应商的技术资料、价格和其他信息在谈判时均予以保密。</w:t>
      </w:r>
    </w:p>
    <w:p w14:paraId="5F0ED878">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在谈判过程中，谈判小组可以根据谈判文件和谈判情况实质性变动招标需求中的技术、服务要求以及合同草案条款，但不得变动谈判文件中的其他内容。实质性变动的内容，须经采购人代表确认。</w:t>
      </w:r>
    </w:p>
    <w:p w14:paraId="7CB1DC89">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对谈判文件作出的实质性变动是谈判文件的有效组成部分，谈判小组应当及时以书面形式同时通知所有参加谈判的供应商。</w:t>
      </w:r>
    </w:p>
    <w:p w14:paraId="0C302100">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供应商应当按照谈判文件的变动情况和谈判小组的要求重新提交响应文件，并由其法定代表人或授权代表签字或者加盖公章。由授权代表签字的，应当附法定代表人授权书。</w:t>
      </w:r>
    </w:p>
    <w:p w14:paraId="7E3CED70">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谈判文件能够详细列明招标标的的技术、服务要求的，谈判结束后，谈判小组应当要求所有继续参加谈判的供应商在规定时间内提交最后报价。</w:t>
      </w:r>
    </w:p>
    <w:p w14:paraId="0ECE64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第二轮报价。</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结束后，供应商现场分别填写并</w:t>
      </w:r>
      <w:r>
        <w:rPr>
          <w:rFonts w:hint="eastAsia" w:ascii="宋体" w:hAnsi="宋体" w:eastAsia="宋体" w:cs="宋体"/>
          <w:color w:val="auto"/>
          <w:sz w:val="24"/>
          <w:szCs w:val="24"/>
          <w:highlight w:val="none"/>
          <w:lang w:val="en-US" w:eastAsia="zh-CN"/>
        </w:rPr>
        <w:t>在规定时间内</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eastAsia="zh-CN"/>
        </w:rPr>
        <w:t>最终承诺报价表</w:t>
      </w:r>
      <w:r>
        <w:rPr>
          <w:rFonts w:hint="eastAsia" w:ascii="宋体" w:hAnsi="宋体" w:eastAsia="宋体" w:cs="宋体"/>
          <w:color w:val="auto"/>
          <w:sz w:val="24"/>
          <w:szCs w:val="24"/>
          <w:highlight w:val="none"/>
        </w:rPr>
        <w:t>》。</w:t>
      </w:r>
    </w:p>
    <w:p w14:paraId="1CF1E86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综合</w:t>
      </w:r>
      <w:r>
        <w:rPr>
          <w:rFonts w:hint="eastAsia" w:ascii="宋体" w:hAnsi="宋体" w:eastAsia="宋体" w:cs="宋体"/>
          <w:b/>
          <w:color w:val="auto"/>
          <w:sz w:val="24"/>
          <w:szCs w:val="24"/>
          <w:highlight w:val="none"/>
          <w:lang w:val="en-US" w:eastAsia="zh-CN"/>
        </w:rPr>
        <w:t>评审</w:t>
      </w:r>
      <w:r>
        <w:rPr>
          <w:rFonts w:hint="eastAsia" w:ascii="宋体" w:hAnsi="宋体" w:eastAsia="宋体" w:cs="宋体"/>
          <w:b/>
          <w:color w:val="auto"/>
          <w:sz w:val="24"/>
          <w:szCs w:val="24"/>
          <w:highlight w:val="none"/>
        </w:rPr>
        <w:t>。</w:t>
      </w:r>
      <w:r>
        <w:rPr>
          <w:rFonts w:hint="eastAsia" w:ascii="宋体" w:hAnsi="宋体" w:cs="宋体"/>
          <w:b w:val="0"/>
          <w:bCs/>
          <w:color w:val="auto"/>
          <w:sz w:val="24"/>
          <w:szCs w:val="24"/>
          <w:highlight w:val="none"/>
          <w:lang w:val="en-US" w:eastAsia="zh-CN"/>
        </w:rPr>
        <w:t>谈判小组</w:t>
      </w:r>
      <w:r>
        <w:rPr>
          <w:rFonts w:hint="eastAsia" w:ascii="宋体" w:hAnsi="宋体" w:eastAsia="宋体" w:cs="宋体"/>
          <w:b w:val="0"/>
          <w:bCs/>
          <w:color w:val="auto"/>
          <w:sz w:val="24"/>
          <w:szCs w:val="24"/>
          <w:highlight w:val="none"/>
          <w:lang w:val="en-US" w:eastAsia="zh-CN"/>
        </w:rPr>
        <w:t>按</w:t>
      </w:r>
      <w:r>
        <w:rPr>
          <w:rFonts w:hint="eastAsia" w:ascii="宋体" w:hAnsi="宋体" w:eastAsia="宋体" w:cs="宋体"/>
          <w:b w:val="0"/>
          <w:bCs/>
          <w:color w:val="auto"/>
          <w:sz w:val="24"/>
          <w:szCs w:val="24"/>
          <w:highlight w:val="none"/>
        </w:rPr>
        <w:t>评审方法和标准前附表四</w:t>
      </w:r>
      <w:r>
        <w:rPr>
          <w:rFonts w:hint="eastAsia" w:ascii="宋体" w:hAnsi="宋体" w:eastAsia="宋体" w:cs="宋体"/>
          <w:b w:val="0"/>
          <w:bCs/>
          <w:color w:val="auto"/>
          <w:sz w:val="24"/>
          <w:szCs w:val="24"/>
          <w:highlight w:val="none"/>
          <w:lang w:val="en-US" w:eastAsia="zh-CN"/>
        </w:rPr>
        <w:t>内容进行综合评审</w:t>
      </w:r>
      <w:r>
        <w:rPr>
          <w:rFonts w:hint="eastAsia" w:ascii="宋体" w:hAnsi="宋体" w:eastAsia="宋体" w:cs="宋体"/>
          <w:color w:val="auto"/>
          <w:sz w:val="24"/>
          <w:szCs w:val="24"/>
          <w:highlight w:val="none"/>
        </w:rPr>
        <w:t>。</w:t>
      </w:r>
    </w:p>
    <w:p w14:paraId="64A864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AD1D7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得分汇总</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将每个有效</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供应商的技术标分之和加上</w:t>
      </w:r>
      <w:r>
        <w:rPr>
          <w:rFonts w:hint="eastAsia" w:ascii="宋体" w:hAnsi="宋体" w:eastAsia="宋体" w:cs="宋体"/>
          <w:b w:val="0"/>
          <w:bCs w:val="0"/>
          <w:color w:val="auto"/>
          <w:sz w:val="24"/>
          <w:szCs w:val="24"/>
          <w:highlight w:val="none"/>
          <w:lang w:val="en-US" w:eastAsia="zh-CN"/>
        </w:rPr>
        <w:t>价格分计算标准</w:t>
      </w:r>
      <w:r>
        <w:rPr>
          <w:rFonts w:hint="eastAsia" w:ascii="宋体" w:hAnsi="宋体" w:eastAsia="宋体" w:cs="宋体"/>
          <w:b w:val="0"/>
          <w:bCs w:val="0"/>
          <w:color w:val="auto"/>
          <w:sz w:val="24"/>
          <w:szCs w:val="24"/>
          <w:highlight w:val="none"/>
        </w:rPr>
        <w:t>计算出的价格分，即为该</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供应商的综合总得分。</w:t>
      </w:r>
    </w:p>
    <w:p w14:paraId="186EBB0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五</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确定成交供应商及成交候选供应商。</w:t>
      </w:r>
      <w:r>
        <w:rPr>
          <w:rFonts w:hint="eastAsia" w:ascii="宋体" w:hAnsi="宋体" w:cs="宋体"/>
          <w:snapToGrid w:val="0"/>
          <w:color w:val="auto"/>
          <w:kern w:val="0"/>
          <w:sz w:val="24"/>
          <w:szCs w:val="24"/>
          <w:highlight w:val="none"/>
          <w:lang w:eastAsia="zh-CN"/>
        </w:rPr>
        <w:t>谈判小组</w:t>
      </w:r>
      <w:r>
        <w:rPr>
          <w:rFonts w:hint="eastAsia" w:ascii="宋体" w:hAnsi="宋体" w:eastAsia="宋体" w:cs="宋体"/>
          <w:snapToGrid w:val="0"/>
          <w:color w:val="auto"/>
          <w:kern w:val="0"/>
          <w:sz w:val="24"/>
          <w:szCs w:val="24"/>
          <w:highlight w:val="none"/>
          <w:lang w:eastAsia="zh-CN"/>
        </w:rPr>
        <w:t>按照有效</w:t>
      </w:r>
      <w:r>
        <w:rPr>
          <w:rFonts w:hint="eastAsia" w:ascii="宋体" w:hAnsi="宋体" w:cs="宋体"/>
          <w:snapToGrid w:val="0"/>
          <w:color w:val="auto"/>
          <w:kern w:val="0"/>
          <w:sz w:val="24"/>
          <w:szCs w:val="24"/>
          <w:highlight w:val="none"/>
          <w:lang w:eastAsia="zh-CN"/>
        </w:rPr>
        <w:t>谈判</w:t>
      </w:r>
      <w:r>
        <w:rPr>
          <w:rFonts w:hint="eastAsia" w:ascii="宋体" w:hAnsi="宋体" w:eastAsia="宋体" w:cs="宋体"/>
          <w:snapToGrid w:val="0"/>
          <w:color w:val="auto"/>
          <w:kern w:val="0"/>
          <w:sz w:val="24"/>
          <w:szCs w:val="24"/>
          <w:highlight w:val="none"/>
          <w:lang w:eastAsia="zh-CN"/>
        </w:rPr>
        <w:t>供应商综合总得分由高到低依次排出成交供应商及成交候选供应商。如果出现多家供应商综合总得分相同时，谈判小组将采取抽签的方式确定排序。</w:t>
      </w:r>
    </w:p>
    <w:p w14:paraId="3ACAA48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宣布评审结果。</w:t>
      </w:r>
      <w:r>
        <w:rPr>
          <w:rFonts w:hint="eastAsia" w:ascii="宋体" w:hAnsi="宋体" w:cs="宋体"/>
          <w:snapToGrid w:val="0"/>
          <w:color w:val="auto"/>
          <w:kern w:val="0"/>
          <w:sz w:val="24"/>
          <w:szCs w:val="24"/>
          <w:highlight w:val="none"/>
          <w:lang w:val="en-US" w:eastAsia="zh-CN"/>
        </w:rPr>
        <w:t>谈判</w:t>
      </w:r>
      <w:r>
        <w:rPr>
          <w:rFonts w:hint="eastAsia" w:ascii="宋体" w:hAnsi="宋体" w:eastAsia="宋体" w:cs="宋体"/>
          <w:snapToGrid w:val="0"/>
          <w:color w:val="auto"/>
          <w:kern w:val="0"/>
          <w:sz w:val="24"/>
          <w:szCs w:val="24"/>
          <w:highlight w:val="none"/>
          <w:lang w:eastAsia="zh-CN"/>
        </w:rPr>
        <w:t>主持人</w:t>
      </w:r>
      <w:r>
        <w:rPr>
          <w:rFonts w:hint="eastAsia" w:ascii="宋体" w:hAnsi="宋体" w:eastAsia="宋体" w:cs="宋体"/>
          <w:snapToGrid w:val="0"/>
          <w:color w:val="auto"/>
          <w:kern w:val="0"/>
          <w:sz w:val="24"/>
          <w:szCs w:val="24"/>
          <w:highlight w:val="none"/>
          <w:lang w:val="en-US" w:eastAsia="zh-CN"/>
        </w:rPr>
        <w:t>现场宣布</w:t>
      </w:r>
      <w:r>
        <w:rPr>
          <w:rFonts w:hint="eastAsia" w:ascii="宋体" w:hAnsi="宋体" w:eastAsia="宋体" w:cs="宋体"/>
          <w:snapToGrid w:val="0"/>
          <w:color w:val="auto"/>
          <w:kern w:val="0"/>
          <w:sz w:val="24"/>
          <w:szCs w:val="24"/>
          <w:highlight w:val="none"/>
          <w:lang w:eastAsia="zh-CN"/>
        </w:rPr>
        <w:t>评审结果。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6749"/>
      <w:bookmarkStart w:id="65" w:name="_Toc801"/>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p w14:paraId="0F42FAA9">
      <w:pPr>
        <w:jc w:val="center"/>
        <w:outlineLvl w:val="2"/>
        <w:rPr>
          <w:rFonts w:hint="default"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1、报价单</w:t>
      </w: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911"/>
        <w:gridCol w:w="5309"/>
      </w:tblGrid>
      <w:tr w14:paraId="5032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B2181DA">
            <w:pPr>
              <w:widowControl/>
              <w:spacing w:line="440" w:lineRule="exact"/>
              <w:ind w:firstLine="422" w:firstLineChars="200"/>
              <w:rPr>
                <w:rFonts w:hint="eastAsia" w:ascii="宋体" w:hAnsi="宋体" w:cs="宋体"/>
                <w:b/>
                <w:bCs/>
                <w:color w:val="auto"/>
                <w:highlight w:val="none"/>
              </w:rPr>
            </w:pPr>
            <w:r>
              <w:rPr>
                <w:rFonts w:hint="eastAsia" w:ascii="宋体" w:hAnsi="宋体" w:cs="宋体"/>
                <w:b/>
                <w:bCs/>
                <w:color w:val="auto"/>
                <w:highlight w:val="none"/>
              </w:rPr>
              <w:t>项目名称</w:t>
            </w:r>
          </w:p>
        </w:tc>
        <w:tc>
          <w:tcPr>
            <w:tcW w:w="7220" w:type="dxa"/>
            <w:gridSpan w:val="2"/>
            <w:tcBorders>
              <w:top w:val="single" w:color="auto" w:sz="4" w:space="0"/>
              <w:left w:val="single" w:color="auto" w:sz="4" w:space="0"/>
              <w:bottom w:val="single" w:color="auto" w:sz="4" w:space="0"/>
              <w:right w:val="single" w:color="auto" w:sz="4" w:space="0"/>
            </w:tcBorders>
            <w:noWrap w:val="0"/>
            <w:vAlign w:val="center"/>
          </w:tcPr>
          <w:p w14:paraId="56F89BFA">
            <w:pPr>
              <w:widowControl/>
              <w:spacing w:line="440" w:lineRule="exact"/>
              <w:jc w:val="left"/>
              <w:rPr>
                <w:rFonts w:hint="eastAsia" w:ascii="宋体" w:hAnsi="宋体" w:cs="宋体"/>
                <w:color w:val="auto"/>
                <w:highlight w:val="none"/>
                <w:u w:val="single"/>
              </w:rPr>
            </w:pPr>
          </w:p>
        </w:tc>
      </w:tr>
      <w:tr w14:paraId="68C1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3612E0AC">
            <w:pPr>
              <w:widowControl/>
              <w:spacing w:line="440" w:lineRule="exact"/>
              <w:jc w:val="center"/>
              <w:rPr>
                <w:rFonts w:hint="eastAsia" w:ascii="宋体" w:hAnsi="宋体" w:cs="宋体"/>
                <w:b/>
                <w:bCs/>
                <w:color w:val="auto"/>
                <w:highlight w:val="none"/>
              </w:rPr>
            </w:pPr>
            <w:r>
              <w:rPr>
                <w:rFonts w:hint="eastAsia" w:ascii="宋体" w:hAnsi="宋体" w:cs="宋体"/>
                <w:b/>
                <w:bCs/>
                <w:color w:val="auto"/>
                <w:highlight w:val="none"/>
              </w:rPr>
              <w:t>项目编号</w:t>
            </w:r>
          </w:p>
        </w:tc>
        <w:tc>
          <w:tcPr>
            <w:tcW w:w="7220" w:type="dxa"/>
            <w:gridSpan w:val="2"/>
            <w:tcBorders>
              <w:top w:val="nil"/>
              <w:left w:val="single" w:color="auto" w:sz="4" w:space="0"/>
              <w:bottom w:val="single" w:color="auto" w:sz="4" w:space="0"/>
              <w:right w:val="single" w:color="auto" w:sz="4" w:space="0"/>
            </w:tcBorders>
            <w:noWrap w:val="0"/>
            <w:vAlign w:val="center"/>
          </w:tcPr>
          <w:p w14:paraId="41A47C92">
            <w:pPr>
              <w:widowControl/>
              <w:spacing w:line="440" w:lineRule="exact"/>
              <w:jc w:val="left"/>
              <w:rPr>
                <w:rFonts w:hint="eastAsia" w:ascii="宋体" w:hAnsi="宋体" w:cs="宋体"/>
                <w:color w:val="auto"/>
                <w:highlight w:val="none"/>
              </w:rPr>
            </w:pPr>
          </w:p>
        </w:tc>
      </w:tr>
      <w:tr w14:paraId="716A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69F3BA19">
            <w:pPr>
              <w:spacing w:line="440" w:lineRule="exact"/>
              <w:jc w:val="center"/>
              <w:rPr>
                <w:rFonts w:hint="eastAsia" w:ascii="宋体" w:hAnsi="宋体" w:cs="宋体"/>
                <w:b/>
                <w:bCs/>
                <w:color w:val="auto"/>
                <w:highlight w:val="none"/>
              </w:rPr>
            </w:pPr>
            <w:r>
              <w:rPr>
                <w:rFonts w:hint="eastAsia" w:ascii="宋体" w:hAnsi="宋体" w:cs="宋体"/>
                <w:b/>
                <w:bCs/>
                <w:color w:val="auto"/>
                <w:highlight w:val="none"/>
                <w:lang w:eastAsia="zh-CN"/>
              </w:rPr>
              <w:t>供应商</w:t>
            </w:r>
            <w:r>
              <w:rPr>
                <w:rFonts w:hint="eastAsia" w:ascii="宋体" w:hAnsi="宋体" w:cs="宋体"/>
                <w:b/>
                <w:bCs/>
                <w:color w:val="auto"/>
                <w:highlight w:val="none"/>
              </w:rPr>
              <w:t>全称</w:t>
            </w:r>
          </w:p>
        </w:tc>
        <w:tc>
          <w:tcPr>
            <w:tcW w:w="7220" w:type="dxa"/>
            <w:gridSpan w:val="2"/>
            <w:tcBorders>
              <w:top w:val="nil"/>
              <w:left w:val="single" w:color="auto" w:sz="4" w:space="0"/>
              <w:bottom w:val="single" w:color="auto" w:sz="4" w:space="0"/>
              <w:right w:val="single" w:color="auto" w:sz="4" w:space="0"/>
            </w:tcBorders>
            <w:noWrap w:val="0"/>
            <w:vAlign w:val="center"/>
          </w:tcPr>
          <w:p w14:paraId="3EB2FE00">
            <w:pPr>
              <w:spacing w:line="440" w:lineRule="exact"/>
              <w:rPr>
                <w:rFonts w:hint="eastAsia" w:ascii="宋体" w:hAnsi="宋体" w:cs="宋体"/>
                <w:color w:val="auto"/>
                <w:highlight w:val="none"/>
              </w:rPr>
            </w:pPr>
          </w:p>
        </w:tc>
      </w:tr>
      <w:tr w14:paraId="7189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F16AC7F">
            <w:pPr>
              <w:spacing w:line="440" w:lineRule="exact"/>
              <w:jc w:val="center"/>
              <w:rPr>
                <w:rFonts w:hint="eastAsia" w:ascii="宋体" w:hAnsi="宋体" w:cs="宋体"/>
                <w:b/>
                <w:bCs/>
                <w:color w:val="auto"/>
                <w:highlight w:val="none"/>
              </w:rPr>
            </w:pPr>
            <w:r>
              <w:rPr>
                <w:rFonts w:hint="eastAsia" w:ascii="宋体" w:hAnsi="宋体" w:cs="宋体"/>
                <w:b/>
                <w:bCs/>
                <w:color w:val="auto"/>
                <w:highlight w:val="none"/>
              </w:rPr>
              <w:t>项目服务期限</w:t>
            </w:r>
          </w:p>
        </w:tc>
        <w:tc>
          <w:tcPr>
            <w:tcW w:w="7220" w:type="dxa"/>
            <w:gridSpan w:val="2"/>
            <w:tcBorders>
              <w:top w:val="single" w:color="auto" w:sz="4" w:space="0"/>
              <w:left w:val="single" w:color="auto" w:sz="4" w:space="0"/>
              <w:bottom w:val="single" w:color="auto" w:sz="4" w:space="0"/>
              <w:right w:val="single" w:color="auto" w:sz="4" w:space="0"/>
            </w:tcBorders>
            <w:noWrap w:val="0"/>
            <w:vAlign w:val="center"/>
          </w:tcPr>
          <w:p w14:paraId="5F9A1FB6">
            <w:pPr>
              <w:widowControl/>
              <w:adjustRightInd w:val="0"/>
              <w:snapToGrid w:val="0"/>
              <w:spacing w:line="32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响应招标文件</w:t>
            </w:r>
          </w:p>
        </w:tc>
      </w:tr>
      <w:tr w14:paraId="37C3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2C0E24D">
            <w:pPr>
              <w:spacing w:line="440" w:lineRule="exact"/>
              <w:jc w:val="center"/>
              <w:rPr>
                <w:rFonts w:hint="eastAsia" w:ascii="宋体" w:hAnsi="宋体" w:cs="宋体"/>
                <w:b/>
                <w:bCs/>
                <w:color w:val="auto"/>
                <w:highlight w:val="none"/>
              </w:rPr>
            </w:pPr>
            <w:r>
              <w:rPr>
                <w:rFonts w:hint="eastAsia" w:ascii="宋体" w:hAnsi="宋体" w:cs="宋体"/>
                <w:b/>
                <w:bCs/>
                <w:color w:val="auto"/>
                <w:highlight w:val="none"/>
              </w:rPr>
              <w:t>付款方式</w:t>
            </w:r>
          </w:p>
        </w:tc>
        <w:tc>
          <w:tcPr>
            <w:tcW w:w="7220" w:type="dxa"/>
            <w:gridSpan w:val="2"/>
            <w:tcBorders>
              <w:top w:val="single" w:color="auto" w:sz="4" w:space="0"/>
              <w:left w:val="single" w:color="auto" w:sz="4" w:space="0"/>
              <w:bottom w:val="single" w:color="auto" w:sz="4" w:space="0"/>
              <w:right w:val="single" w:color="auto" w:sz="4" w:space="0"/>
            </w:tcBorders>
            <w:noWrap w:val="0"/>
            <w:vAlign w:val="center"/>
          </w:tcPr>
          <w:p w14:paraId="61E723A2">
            <w:pPr>
              <w:widowControl/>
              <w:adjustRightInd w:val="0"/>
              <w:snapToGrid w:val="0"/>
              <w:spacing w:line="32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响应招标文件</w:t>
            </w:r>
          </w:p>
        </w:tc>
      </w:tr>
      <w:tr w14:paraId="2567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1918" w:type="dxa"/>
            <w:vMerge w:val="restart"/>
            <w:tcBorders>
              <w:top w:val="single" w:color="auto" w:sz="4" w:space="0"/>
              <w:left w:val="single" w:color="auto" w:sz="4" w:space="0"/>
              <w:right w:val="single" w:color="auto" w:sz="4" w:space="0"/>
            </w:tcBorders>
            <w:noWrap w:val="0"/>
            <w:vAlign w:val="center"/>
          </w:tcPr>
          <w:p w14:paraId="70186E08">
            <w:pPr>
              <w:spacing w:line="440" w:lineRule="exact"/>
              <w:jc w:val="center"/>
              <w:rPr>
                <w:rFonts w:hint="eastAsia" w:ascii="宋体" w:hAnsi="宋体" w:cs="宋体"/>
                <w:b/>
                <w:bCs/>
                <w:color w:val="auto"/>
                <w:highlight w:val="none"/>
              </w:rPr>
            </w:pPr>
            <w:r>
              <w:rPr>
                <w:rFonts w:hint="eastAsia" w:ascii="宋体" w:hAnsi="宋体" w:cs="宋体"/>
                <w:b/>
                <w:bCs/>
                <w:color w:val="auto"/>
                <w:highlight w:val="none"/>
              </w:rPr>
              <w:t>投标报价</w:t>
            </w:r>
          </w:p>
        </w:tc>
        <w:tc>
          <w:tcPr>
            <w:tcW w:w="1911" w:type="dxa"/>
            <w:tcBorders>
              <w:top w:val="single" w:color="auto" w:sz="4" w:space="0"/>
              <w:left w:val="single" w:color="auto" w:sz="4" w:space="0"/>
              <w:bottom w:val="single" w:color="auto" w:sz="4" w:space="0"/>
              <w:right w:val="single" w:color="auto" w:sz="4" w:space="0"/>
            </w:tcBorders>
            <w:noWrap w:val="0"/>
            <w:vAlign w:val="center"/>
          </w:tcPr>
          <w:p w14:paraId="525937B2">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rPr>
              <w:t>系统</w:t>
            </w:r>
            <w:r>
              <w:rPr>
                <w:rFonts w:hint="eastAsia" w:ascii="宋体" w:hAnsi="宋体" w:cs="宋体"/>
                <w:bCs/>
                <w:color w:val="auto"/>
                <w:sz w:val="24"/>
                <w:szCs w:val="24"/>
                <w:highlight w:val="none"/>
                <w:lang w:val="en-US" w:eastAsia="zh-CN"/>
              </w:rPr>
              <w:t>建设</w:t>
            </w:r>
          </w:p>
          <w:p w14:paraId="1B08C6D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（须提供13%增值税专用发票）</w:t>
            </w:r>
          </w:p>
        </w:tc>
        <w:tc>
          <w:tcPr>
            <w:tcW w:w="5309" w:type="dxa"/>
            <w:tcBorders>
              <w:top w:val="single" w:color="auto" w:sz="4" w:space="0"/>
              <w:left w:val="single" w:color="auto" w:sz="4" w:space="0"/>
              <w:bottom w:val="single" w:color="auto" w:sz="4" w:space="0"/>
              <w:right w:val="single" w:color="auto" w:sz="4" w:space="0"/>
            </w:tcBorders>
            <w:noWrap w:val="0"/>
            <w:vAlign w:val="center"/>
          </w:tcPr>
          <w:p w14:paraId="4D521F61">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lang w:val="en-US" w:eastAsia="zh-CN"/>
              </w:rPr>
              <w:t>元</w:t>
            </w:r>
          </w:p>
          <w:p w14:paraId="5067DEC6">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大写：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p>
        </w:tc>
      </w:tr>
      <w:tr w14:paraId="1F0B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4" w:hRule="atLeast"/>
          <w:jc w:val="center"/>
        </w:trPr>
        <w:tc>
          <w:tcPr>
            <w:tcW w:w="1918" w:type="dxa"/>
            <w:vMerge w:val="continue"/>
            <w:tcBorders>
              <w:left w:val="single" w:color="auto" w:sz="4" w:space="0"/>
              <w:bottom w:val="single" w:color="auto" w:sz="4" w:space="0"/>
              <w:right w:val="single" w:color="auto" w:sz="4" w:space="0"/>
            </w:tcBorders>
            <w:noWrap w:val="0"/>
            <w:vAlign w:val="center"/>
          </w:tcPr>
          <w:p w14:paraId="29C741F9">
            <w:pPr>
              <w:widowControl/>
              <w:adjustRightInd w:val="0"/>
              <w:snapToGrid w:val="0"/>
              <w:spacing w:line="320" w:lineRule="auto"/>
              <w:ind w:firstLine="315" w:firstLineChars="150"/>
              <w:rPr>
                <w:color w:val="auto"/>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center"/>
          </w:tcPr>
          <w:p w14:paraId="1DEE916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付费维保</w:t>
            </w:r>
          </w:p>
          <w:p w14:paraId="02AEC4D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（须提供6%增值税专用发票）</w:t>
            </w:r>
          </w:p>
        </w:tc>
        <w:tc>
          <w:tcPr>
            <w:tcW w:w="5309" w:type="dxa"/>
            <w:tcBorders>
              <w:top w:val="single" w:color="auto" w:sz="4" w:space="0"/>
              <w:left w:val="single" w:color="auto" w:sz="4" w:space="0"/>
              <w:bottom w:val="single" w:color="auto" w:sz="4" w:space="0"/>
              <w:right w:val="single" w:color="auto" w:sz="4" w:space="0"/>
            </w:tcBorders>
            <w:noWrap w:val="0"/>
            <w:vAlign w:val="center"/>
          </w:tcPr>
          <w:p w14:paraId="259071BB">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lang w:val="en-US" w:eastAsia="zh-CN"/>
              </w:rPr>
              <w:t>元/年</w:t>
            </w:r>
          </w:p>
          <w:p w14:paraId="6FC57E8E">
            <w:pPr>
              <w:widowControl/>
              <w:adjustRightInd w:val="0"/>
              <w:snapToGrid w:val="0"/>
              <w:spacing w:line="320" w:lineRule="auto"/>
              <w:ind w:firstLine="480" w:firstLineChars="200"/>
              <w:rPr>
                <w:rFonts w:hint="default" w:ascii="宋体" w:hAnsi="宋体" w:cs="宋体"/>
                <w:b w:val="0"/>
                <w:bCs w:val="0"/>
                <w:color w:val="auto"/>
                <w:sz w:val="24"/>
                <w:szCs w:val="24"/>
                <w:highlight w:val="none"/>
                <w:u w:val="none"/>
                <w:lang w:val="en-US" w:eastAsia="zh-CN"/>
              </w:rPr>
            </w:pPr>
            <w:r>
              <w:rPr>
                <w:rFonts w:hint="eastAsia" w:ascii="宋体" w:hAnsi="宋体" w:cs="宋体"/>
                <w:bCs/>
                <w:color w:val="auto"/>
                <w:sz w:val="24"/>
                <w:szCs w:val="24"/>
                <w:highlight w:val="none"/>
                <w:lang w:val="en-US" w:eastAsia="zh-CN"/>
              </w:rPr>
              <w:t>大写：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cs="宋体"/>
                <w:b w:val="0"/>
                <w:bCs w:val="0"/>
                <w:color w:val="auto"/>
                <w:sz w:val="24"/>
                <w:szCs w:val="24"/>
                <w:highlight w:val="none"/>
                <w:u w:val="none"/>
                <w:lang w:val="en-US" w:eastAsia="zh-CN"/>
              </w:rPr>
              <w:t>/年</w:t>
            </w:r>
          </w:p>
        </w:tc>
      </w:tr>
      <w:tr w14:paraId="07EB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43DD0650">
            <w:pPr>
              <w:spacing w:line="440" w:lineRule="exact"/>
              <w:jc w:val="center"/>
              <w:rPr>
                <w:rFonts w:ascii="宋体" w:hAnsi="宋体" w:cs="宋体"/>
                <w:b/>
                <w:bCs/>
                <w:color w:val="auto"/>
                <w:highlight w:val="none"/>
              </w:rPr>
            </w:pPr>
            <w:r>
              <w:rPr>
                <w:rFonts w:hint="eastAsia" w:ascii="宋体" w:hAnsi="宋体" w:cs="宋体"/>
                <w:b/>
                <w:bCs/>
                <w:color w:val="auto"/>
                <w:highlight w:val="none"/>
              </w:rPr>
              <w:t>备注</w:t>
            </w:r>
          </w:p>
        </w:tc>
        <w:tc>
          <w:tcPr>
            <w:tcW w:w="7220" w:type="dxa"/>
            <w:gridSpan w:val="2"/>
            <w:tcBorders>
              <w:top w:val="single" w:color="auto" w:sz="4" w:space="0"/>
              <w:left w:val="single" w:color="auto" w:sz="4" w:space="0"/>
              <w:bottom w:val="single" w:color="auto" w:sz="4" w:space="0"/>
              <w:right w:val="single" w:color="auto" w:sz="4" w:space="0"/>
            </w:tcBorders>
            <w:noWrap w:val="0"/>
            <w:vAlign w:val="center"/>
          </w:tcPr>
          <w:p w14:paraId="609BD5AE">
            <w:pPr>
              <w:widowControl/>
              <w:spacing w:line="440" w:lineRule="exact"/>
              <w:jc w:val="left"/>
              <w:rPr>
                <w:rFonts w:hint="eastAsia" w:ascii="宋体" w:hAnsi="宋体" w:eastAsia="宋体" w:cs="宋体"/>
                <w:b/>
                <w:color w:val="auto"/>
                <w:highlight w:val="none"/>
                <w:lang w:eastAsia="zh-CN"/>
              </w:rPr>
            </w:pPr>
            <w:r>
              <w:rPr>
                <w:rFonts w:hint="eastAsia" w:ascii="宋体" w:hAnsi="宋体" w:cs="宋体"/>
                <w:b/>
                <w:color w:val="auto"/>
                <w:highlight w:val="none"/>
              </w:rPr>
              <w:t>付费维保</w:t>
            </w:r>
            <w:r>
              <w:rPr>
                <w:rFonts w:hint="eastAsia" w:ascii="宋体" w:hAnsi="宋体" w:cs="宋体"/>
                <w:b/>
                <w:color w:val="auto"/>
                <w:highlight w:val="none"/>
                <w:lang w:val="en-US" w:eastAsia="zh-CN"/>
              </w:rPr>
              <w:t>年度费用</w:t>
            </w:r>
            <w:r>
              <w:rPr>
                <w:rFonts w:hint="eastAsia" w:ascii="宋体" w:hAnsi="宋体" w:cs="宋体"/>
                <w:b/>
                <w:color w:val="auto"/>
                <w:highlight w:val="none"/>
              </w:rPr>
              <w:t>不高于系统建设（不含硬件设备投入）</w:t>
            </w:r>
            <w:r>
              <w:rPr>
                <w:rFonts w:hint="eastAsia" w:ascii="宋体" w:hAnsi="宋体" w:cs="宋体"/>
                <w:b/>
                <w:color w:val="auto"/>
                <w:highlight w:val="none"/>
                <w:lang w:val="en-US" w:eastAsia="zh-CN"/>
              </w:rPr>
              <w:t>报价的</w:t>
            </w:r>
            <w:r>
              <w:rPr>
                <w:rFonts w:hint="eastAsia" w:ascii="宋体" w:hAnsi="宋体" w:cs="宋体"/>
                <w:b/>
                <w:color w:val="auto"/>
                <w:highlight w:val="none"/>
              </w:rPr>
              <w:t>10%</w:t>
            </w:r>
            <w:r>
              <w:rPr>
                <w:rFonts w:hint="eastAsia" w:ascii="宋体" w:hAnsi="宋体" w:cs="宋体"/>
                <w:b/>
                <w:color w:val="auto"/>
                <w:highlight w:val="none"/>
                <w:lang w:eastAsia="zh-CN"/>
              </w:rPr>
              <w:t>。</w:t>
            </w:r>
          </w:p>
        </w:tc>
      </w:tr>
    </w:tbl>
    <w:p w14:paraId="45AC4298">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w:t>
      </w:r>
      <w:r>
        <w:rPr>
          <w:rFonts w:hint="eastAsia" w:ascii="宋体" w:hAnsi="宋体" w:cs="宋体"/>
          <w:b w:val="0"/>
          <w:i w:val="0"/>
          <w:iCs w:val="0"/>
          <w:color w:val="auto"/>
          <w:kern w:val="0"/>
          <w:sz w:val="21"/>
          <w:szCs w:val="21"/>
          <w:highlight w:val="none"/>
          <w:u w:val="none"/>
          <w:lang w:val="en-US" w:eastAsia="zh-CN" w:bidi="ar"/>
        </w:rPr>
        <w:t>完成本项目的</w:t>
      </w:r>
      <w:r>
        <w:rPr>
          <w:rFonts w:hint="eastAsia" w:ascii="宋体" w:hAnsi="宋体" w:eastAsia="宋体" w:cs="宋体"/>
          <w:b w:val="0"/>
          <w:i w:val="0"/>
          <w:iCs w:val="0"/>
          <w:color w:val="auto"/>
          <w:kern w:val="0"/>
          <w:sz w:val="21"/>
          <w:szCs w:val="21"/>
          <w:highlight w:val="none"/>
          <w:u w:val="none"/>
          <w:lang w:val="en-US" w:eastAsia="zh-CN" w:bidi="ar"/>
        </w:rPr>
        <w:t>人员工资、</w:t>
      </w:r>
      <w:r>
        <w:rPr>
          <w:rFonts w:hint="eastAsia" w:ascii="宋体" w:hAnsi="宋体" w:cs="宋体"/>
          <w:b w:val="0"/>
          <w:i w:val="0"/>
          <w:iCs w:val="0"/>
          <w:color w:val="auto"/>
          <w:kern w:val="0"/>
          <w:sz w:val="21"/>
          <w:szCs w:val="21"/>
          <w:highlight w:val="none"/>
          <w:u w:val="none"/>
          <w:lang w:val="en-US" w:eastAsia="zh-CN" w:bidi="ar"/>
        </w:rPr>
        <w:t>材料</w:t>
      </w:r>
      <w:r>
        <w:rPr>
          <w:rFonts w:hint="eastAsia" w:ascii="宋体" w:hAnsi="宋体" w:eastAsia="宋体" w:cs="宋体"/>
          <w:b w:val="0"/>
          <w:i w:val="0"/>
          <w:iCs w:val="0"/>
          <w:color w:val="auto"/>
          <w:kern w:val="0"/>
          <w:sz w:val="21"/>
          <w:szCs w:val="21"/>
          <w:highlight w:val="none"/>
          <w:u w:val="none"/>
          <w:lang w:val="en-US" w:eastAsia="zh-CN" w:bidi="ar"/>
        </w:rPr>
        <w:t>、税金</w:t>
      </w:r>
      <w:r>
        <w:rPr>
          <w:rFonts w:hint="eastAsia" w:ascii="宋体" w:hAnsi="宋体" w:cs="宋体"/>
          <w:b w:val="0"/>
          <w:i w:val="0"/>
          <w:iCs w:val="0"/>
          <w:color w:val="auto"/>
          <w:kern w:val="0"/>
          <w:sz w:val="21"/>
          <w:szCs w:val="21"/>
          <w:highlight w:val="none"/>
          <w:u w:val="none"/>
          <w:lang w:val="en-US" w:eastAsia="zh-CN" w:bidi="ar"/>
        </w:rPr>
        <w:t>及利润</w:t>
      </w:r>
      <w:r>
        <w:rPr>
          <w:rFonts w:hint="eastAsia" w:ascii="宋体" w:hAnsi="宋体" w:eastAsia="宋体" w:cs="宋体"/>
          <w:b w:val="0"/>
          <w:i w:val="0"/>
          <w:iCs w:val="0"/>
          <w:color w:val="auto"/>
          <w:kern w:val="0"/>
          <w:sz w:val="21"/>
          <w:szCs w:val="21"/>
          <w:highlight w:val="none"/>
          <w:u w:val="none"/>
          <w:lang w:val="en-US" w:eastAsia="zh-CN" w:bidi="ar"/>
        </w:rPr>
        <w:t>等全部费用。</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2、供应商报价大小写不一致的，以大写为准；总报价与明细报价表汇总报价不一致的以明细报价表汇总报价进行校正。</w:t>
      </w:r>
    </w:p>
    <w:p w14:paraId="1B0DBAEB">
      <w:pPr>
        <w:rPr>
          <w:rFonts w:hint="eastAsia" w:ascii="宋体" w:hAnsi="宋体" w:cs="宋体"/>
          <w:b/>
          <w:bCs/>
          <w:color w:val="auto"/>
          <w:kern w:val="2"/>
          <w:sz w:val="30"/>
          <w:szCs w:val="30"/>
          <w:highlight w:val="none"/>
          <w:lang w:val="en-US" w:eastAsia="zh-CN"/>
        </w:rPr>
      </w:pPr>
      <w:r>
        <w:rPr>
          <w:rFonts w:hint="eastAsia" w:ascii="宋体" w:hAnsi="宋体" w:cs="宋体"/>
          <w:b/>
          <w:bCs/>
          <w:color w:val="auto"/>
          <w:kern w:val="2"/>
          <w:sz w:val="30"/>
          <w:szCs w:val="30"/>
          <w:highlight w:val="none"/>
          <w:lang w:val="en-US" w:eastAsia="zh-CN"/>
        </w:rPr>
        <w:br w:type="page"/>
      </w:r>
    </w:p>
    <w:p w14:paraId="54D82EAC">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30"/>
          <w:szCs w:val="30"/>
          <w:highlight w:val="none"/>
          <w:lang w:val="en-US" w:eastAsia="zh-CN"/>
        </w:rPr>
        <w:sectPr>
          <w:pgSz w:w="11906" w:h="16838"/>
          <w:pgMar w:top="1440" w:right="1531" w:bottom="1440" w:left="1531" w:header="851" w:footer="992" w:gutter="0"/>
          <w:pgNumType w:fmt="decimal"/>
          <w:cols w:space="425" w:num="1"/>
          <w:docGrid w:type="lines" w:linePitch="312" w:charSpace="0"/>
        </w:sectPr>
      </w:pPr>
    </w:p>
    <w:p w14:paraId="44C3C013">
      <w:pPr>
        <w:pStyle w:val="4"/>
        <w:spacing w:before="120" w:beforeLines="50" w:after="120" w:afterLines="50" w:line="560" w:lineRule="exact"/>
        <w:ind w:left="0" w:leftChars="0" w:firstLine="0" w:firstLineChars="0"/>
        <w:jc w:val="center"/>
        <w:outlineLvl w:val="2"/>
        <w:rPr>
          <w:rFonts w:hint="default" w:ascii="宋体" w:hAnsi="宋体" w:cs="宋体"/>
          <w:b/>
          <w:bCs/>
          <w:color w:val="auto"/>
          <w:kern w:val="2"/>
          <w:sz w:val="30"/>
          <w:szCs w:val="30"/>
          <w:highlight w:val="none"/>
          <w:lang w:val="en-US" w:eastAsia="zh-CN"/>
        </w:rPr>
      </w:pPr>
      <w:r>
        <w:rPr>
          <w:rFonts w:hint="eastAsia" w:ascii="宋体" w:hAnsi="宋体" w:cs="宋体"/>
          <w:b/>
          <w:bCs/>
          <w:color w:val="auto"/>
          <w:kern w:val="2"/>
          <w:sz w:val="30"/>
          <w:szCs w:val="30"/>
          <w:highlight w:val="none"/>
          <w:lang w:val="en-US" w:eastAsia="zh-CN"/>
        </w:rPr>
        <w:t>2、明细报价表（系统建设）</w:t>
      </w:r>
    </w:p>
    <w:tbl>
      <w:tblPr>
        <w:tblStyle w:val="36"/>
        <w:tblW w:w="5572" w:type="pct"/>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847"/>
        <w:gridCol w:w="1379"/>
        <w:gridCol w:w="8670"/>
        <w:gridCol w:w="817"/>
        <w:gridCol w:w="721"/>
        <w:gridCol w:w="793"/>
        <w:gridCol w:w="957"/>
        <w:gridCol w:w="838"/>
      </w:tblGrid>
      <w:tr w14:paraId="214A8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85B20">
            <w:pPr>
              <w:keepNext w:val="0"/>
              <w:keepLines w:val="0"/>
              <w:widowControl/>
              <w:suppressLineNumbers w:val="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1377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模块</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3C17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功能点</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AF33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功能描述</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AD6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1E26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5342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单价（元）</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C478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合价（元）</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7A28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170D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0AB0C8E">
            <w:pPr>
              <w:jc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4"/>
                <w:szCs w:val="24"/>
                <w:u w:val="none"/>
                <w:lang w:val="en-US" w:eastAsia="zh-CN" w:bidi="ar"/>
              </w:rPr>
              <w:t>一、公墓管理系统</w:t>
            </w:r>
          </w:p>
        </w:tc>
      </w:tr>
      <w:tr w14:paraId="1A58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27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27D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基础管理模块</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006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首页台帐</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BC7D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作为业务端核心数据看板，以可视化形式集中呈现公墓运营关键信息，支撑工作人员快速掌握业务动态，具体功能如下：1.常用数据概览：以卡片式布局展示核心指标，含总墓穴数、已售/待售墓穴数、在维护墓穴数、当月安放总量，直观反映运营基础情况； 2.墓穴销售趋势展示：通过折线图呈现销售数量；3.安放数据展示：以列表形式呈现安放数据。</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0E9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5DA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4B8C5">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E807F">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2CD61">
            <w:pPr>
              <w:jc w:val="right"/>
              <w:rPr>
                <w:rFonts w:hint="eastAsia" w:ascii="仿宋" w:hAnsi="仿宋" w:eastAsia="仿宋" w:cs="仿宋"/>
                <w:i w:val="0"/>
                <w:iCs w:val="0"/>
                <w:color w:val="000000"/>
                <w:sz w:val="22"/>
                <w:szCs w:val="22"/>
                <w:u w:val="none"/>
              </w:rPr>
            </w:pPr>
          </w:p>
        </w:tc>
      </w:tr>
      <w:tr w14:paraId="79CAA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D0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EF530">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99D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预约管理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4BC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对公众号端各类预约信息统一管理，涵盖预约看墓、预约祭扫及其他事项来访等类型。可实时查看、筛选与核对预约详情，便于工作人员提前统筹安排、有序接待，提升陵园管理效率与服务规范性。</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D410">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4154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D7EE">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4DCBD">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B6982">
            <w:pPr>
              <w:jc w:val="right"/>
              <w:rPr>
                <w:rFonts w:hint="eastAsia" w:ascii="仿宋" w:hAnsi="仿宋" w:eastAsia="仿宋" w:cs="仿宋"/>
                <w:i w:val="0"/>
                <w:iCs w:val="0"/>
                <w:color w:val="000000"/>
                <w:sz w:val="22"/>
                <w:szCs w:val="22"/>
                <w:u w:val="none"/>
              </w:rPr>
            </w:pPr>
          </w:p>
        </w:tc>
      </w:tr>
      <w:tr w14:paraId="7BB4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8A51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6C55A">
            <w:pPr>
              <w:jc w:val="center"/>
              <w:rPr>
                <w:rFonts w:hint="eastAsia" w:ascii="仿宋" w:hAnsi="仿宋" w:eastAsia="仿宋" w:cs="仿宋"/>
                <w:i w:val="0"/>
                <w:iCs w:val="0"/>
                <w:color w:val="000000"/>
                <w:sz w:val="22"/>
                <w:szCs w:val="22"/>
                <w:u w:val="none"/>
              </w:rPr>
            </w:pP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43D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墓区管理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81F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选墓系统，适用于电脑端、平板电脑的选墓操作，系统以图形化形式展示园区墓区规划、简单易懂，通过不同的颜色代表墓位的不同状态，以锁定行和列的形式展现墓区规划的墓位数量、墓位状态、使用人姓名、合同号等信息。墓区下拉支持搜索，方便业务人员快速、精准的定位到墓区。</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30D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BB37">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C817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0863A">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82F74">
            <w:pPr>
              <w:jc w:val="right"/>
              <w:rPr>
                <w:rFonts w:hint="eastAsia" w:ascii="仿宋" w:hAnsi="仿宋" w:eastAsia="仿宋" w:cs="仿宋"/>
                <w:i w:val="0"/>
                <w:iCs w:val="0"/>
                <w:color w:val="000000"/>
                <w:sz w:val="22"/>
                <w:szCs w:val="22"/>
                <w:u w:val="none"/>
              </w:rPr>
            </w:pPr>
          </w:p>
        </w:tc>
      </w:tr>
      <w:tr w14:paraId="14C64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908C">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A353A">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FEC9A">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BE3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2.墓区操作-新建区，可以创建新的墓区，统一设置新墓区名称、墓型、墓葬类型、墓穴数量、管理费设置缴纳周期、面积、管理费金额、墓价、排号数等。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8803">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6EBC5">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BBFEF">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0B70F">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9282E">
            <w:pPr>
              <w:jc w:val="right"/>
              <w:rPr>
                <w:rFonts w:hint="eastAsia" w:ascii="仿宋" w:hAnsi="仿宋" w:eastAsia="仿宋" w:cs="仿宋"/>
                <w:i w:val="0"/>
                <w:iCs w:val="0"/>
                <w:color w:val="000000"/>
                <w:sz w:val="22"/>
                <w:szCs w:val="22"/>
                <w:u w:val="none"/>
              </w:rPr>
            </w:pPr>
          </w:p>
        </w:tc>
      </w:tr>
      <w:tr w14:paraId="306EC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51D3D">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87D61">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61E3A">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739A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3.墓区操作-新建位置，可以批量新建本区位置，设置墓型、墓葬类型、墓穴数量、管理费设置缴纳周期、面积、管理费金额、墓价、排号数、是否含4等。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CF69C">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9A680">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AD0B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93BEB">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F0E72">
            <w:pPr>
              <w:jc w:val="right"/>
              <w:rPr>
                <w:rFonts w:hint="eastAsia" w:ascii="仿宋" w:hAnsi="仿宋" w:eastAsia="仿宋" w:cs="仿宋"/>
                <w:i w:val="0"/>
                <w:iCs w:val="0"/>
                <w:color w:val="000000"/>
                <w:sz w:val="22"/>
                <w:szCs w:val="22"/>
                <w:u w:val="none"/>
              </w:rPr>
            </w:pPr>
          </w:p>
        </w:tc>
      </w:tr>
      <w:tr w14:paraId="39FB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193FD">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662BE">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EC313">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F8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4.墓区操作-更改本区，可以批量修改本区排、号内容，也可以自定义选择要修改的位置，修改墓型、墓葬类型、墓穴数量、管理费设置缴纳周期、面积、管理费金额、墓价等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2569">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4B133">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78453">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7FA02">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13B33">
            <w:pPr>
              <w:jc w:val="right"/>
              <w:rPr>
                <w:rFonts w:hint="eastAsia" w:ascii="仿宋" w:hAnsi="仿宋" w:eastAsia="仿宋" w:cs="仿宋"/>
                <w:i w:val="0"/>
                <w:iCs w:val="0"/>
                <w:color w:val="000000"/>
                <w:sz w:val="22"/>
                <w:szCs w:val="22"/>
                <w:u w:val="none"/>
              </w:rPr>
            </w:pPr>
          </w:p>
        </w:tc>
      </w:tr>
      <w:tr w14:paraId="36310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97DBC">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3A608">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6B636">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0D01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5.墓区修改-墓区顺序修改，可以对某区顺序进行升序或者降序，也可以删除某区，需要权限；</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71A6D">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D6C78">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EA74A">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C551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BDAE7">
            <w:pPr>
              <w:jc w:val="right"/>
              <w:rPr>
                <w:rFonts w:hint="eastAsia" w:ascii="仿宋" w:hAnsi="仿宋" w:eastAsia="仿宋" w:cs="仿宋"/>
                <w:i w:val="0"/>
                <w:iCs w:val="0"/>
                <w:color w:val="000000"/>
                <w:sz w:val="22"/>
                <w:szCs w:val="22"/>
                <w:u w:val="none"/>
              </w:rPr>
            </w:pPr>
          </w:p>
        </w:tc>
      </w:tr>
      <w:tr w14:paraId="4E9A8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0E7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16869">
            <w:pPr>
              <w:jc w:val="center"/>
              <w:rPr>
                <w:rFonts w:hint="eastAsia" w:ascii="仿宋" w:hAnsi="仿宋" w:eastAsia="仿宋" w:cs="仿宋"/>
                <w:i w:val="0"/>
                <w:iCs w:val="0"/>
                <w:color w:val="000000"/>
                <w:sz w:val="22"/>
                <w:szCs w:val="22"/>
                <w:u w:val="none"/>
              </w:rPr>
            </w:pP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CBE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信息登记</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135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1.墓穴信息登记：系统编号、墓位、墓价、墓型、墓葬类型、墓位状态、面积、穴位数、办理人员、销售状态信息；</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97A59">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9D82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C16F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7EC4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53CDB">
            <w:pPr>
              <w:jc w:val="right"/>
              <w:rPr>
                <w:rFonts w:hint="eastAsia" w:ascii="仿宋" w:hAnsi="仿宋" w:eastAsia="仿宋" w:cs="仿宋"/>
                <w:i w:val="0"/>
                <w:iCs w:val="0"/>
                <w:color w:val="000000"/>
                <w:sz w:val="22"/>
                <w:szCs w:val="22"/>
                <w:u w:val="none"/>
              </w:rPr>
            </w:pPr>
          </w:p>
        </w:tc>
      </w:tr>
      <w:tr w14:paraId="09A75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16A1A">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231CD">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C4F0B">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25C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2.管理费年限信息登记：开始/结束日期、年数、维护费等；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EC49">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8F101">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D187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E264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4259A">
            <w:pPr>
              <w:jc w:val="right"/>
              <w:rPr>
                <w:rFonts w:hint="eastAsia" w:ascii="仿宋" w:hAnsi="仿宋" w:eastAsia="仿宋" w:cs="仿宋"/>
                <w:i w:val="0"/>
                <w:iCs w:val="0"/>
                <w:color w:val="000000"/>
                <w:sz w:val="22"/>
                <w:szCs w:val="22"/>
                <w:u w:val="none"/>
              </w:rPr>
            </w:pPr>
          </w:p>
        </w:tc>
      </w:tr>
      <w:tr w14:paraId="1FD14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72BC2">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C448B">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36654">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A991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3.使用人信息登记：使用人姓名、性别、身份证号、安葬状态、逝者年龄、逝世日期、落葬日期等信息登记，支持身份证一键读取 ；</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96CB2">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CB902">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7C7FE">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4BF2D">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549BA">
            <w:pPr>
              <w:jc w:val="right"/>
              <w:rPr>
                <w:rFonts w:hint="eastAsia" w:ascii="仿宋" w:hAnsi="仿宋" w:eastAsia="仿宋" w:cs="仿宋"/>
                <w:i w:val="0"/>
                <w:iCs w:val="0"/>
                <w:color w:val="000000"/>
                <w:sz w:val="22"/>
                <w:szCs w:val="22"/>
                <w:u w:val="none"/>
              </w:rPr>
            </w:pPr>
          </w:p>
        </w:tc>
      </w:tr>
      <w:tr w14:paraId="3D63F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48E8B">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455EF">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7EDBE">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68E7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4.申请人信息登记：申请人姓名、与逝者关系、身份证号、联系电话等信息登记，支持身份证一键读取 。</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5E8D">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D7ACA">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F0FC0">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E3755">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00A03">
            <w:pPr>
              <w:jc w:val="right"/>
              <w:rPr>
                <w:rFonts w:hint="eastAsia" w:ascii="仿宋" w:hAnsi="仿宋" w:eastAsia="仿宋" w:cs="仿宋"/>
                <w:i w:val="0"/>
                <w:iCs w:val="0"/>
                <w:color w:val="000000"/>
                <w:sz w:val="22"/>
                <w:szCs w:val="22"/>
                <w:u w:val="none"/>
              </w:rPr>
            </w:pPr>
          </w:p>
        </w:tc>
      </w:tr>
      <w:tr w14:paraId="79E30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C45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8E48E">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0E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收费项目</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83BD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可添加服务收费项目：包含：墓穴费、穴位配套费、管理费、落葬服务费、骨灰盒保护费、刻字费、瓷像费等，支持自定义设置</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F910">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C9D3F">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00ED0">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9AA40">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129E1">
            <w:pPr>
              <w:jc w:val="right"/>
              <w:rPr>
                <w:rFonts w:hint="eastAsia" w:ascii="仿宋" w:hAnsi="仿宋" w:eastAsia="仿宋" w:cs="仿宋"/>
                <w:i w:val="0"/>
                <w:iCs w:val="0"/>
                <w:color w:val="000000"/>
                <w:sz w:val="22"/>
                <w:szCs w:val="22"/>
                <w:u w:val="none"/>
              </w:rPr>
            </w:pPr>
          </w:p>
        </w:tc>
      </w:tr>
      <w:tr w14:paraId="49387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7543B">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257BA">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1C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安葬、祭祀、寄存</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1EE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添加申请人、购墓人信息、安葬人姓名、初葬或合葬、安葬时间、祭祀时间、寄存时间设置</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FEDD">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9AE17">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4B5F5">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2D5D1">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04B3D">
            <w:pPr>
              <w:jc w:val="right"/>
              <w:rPr>
                <w:rFonts w:hint="eastAsia" w:ascii="仿宋" w:hAnsi="仿宋" w:eastAsia="仿宋" w:cs="仿宋"/>
                <w:i w:val="0"/>
                <w:iCs w:val="0"/>
                <w:color w:val="000000"/>
                <w:sz w:val="22"/>
                <w:szCs w:val="22"/>
                <w:u w:val="none"/>
              </w:rPr>
            </w:pPr>
          </w:p>
        </w:tc>
      </w:tr>
      <w:tr w14:paraId="23D4D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57F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53438">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B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结算管理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081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项目信息：展示售中项目结算，包括：统一结算管理，记录结算金额</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BFAE">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1B50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2A42">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1A56F">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D1316">
            <w:pPr>
              <w:jc w:val="right"/>
              <w:rPr>
                <w:rFonts w:hint="eastAsia" w:ascii="仿宋" w:hAnsi="仿宋" w:eastAsia="仿宋" w:cs="仿宋"/>
                <w:i w:val="0"/>
                <w:iCs w:val="0"/>
                <w:color w:val="000000"/>
                <w:sz w:val="22"/>
                <w:szCs w:val="22"/>
                <w:u w:val="none"/>
              </w:rPr>
            </w:pPr>
          </w:p>
        </w:tc>
      </w:tr>
      <w:tr w14:paraId="27E9D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81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BACDE">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A1D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单据打印</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F9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支持购墓合同、墓穴证、购墓登记表、落葬通知单打印，无需另外输入身份证信息，支持一键录入信息同步过来</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EC36">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CF802">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B447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7D96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A889C">
            <w:pPr>
              <w:jc w:val="right"/>
              <w:rPr>
                <w:rFonts w:hint="eastAsia" w:ascii="仿宋" w:hAnsi="仿宋" w:eastAsia="仿宋" w:cs="仿宋"/>
                <w:i w:val="0"/>
                <w:iCs w:val="0"/>
                <w:color w:val="000000"/>
                <w:sz w:val="22"/>
                <w:szCs w:val="22"/>
                <w:u w:val="none"/>
              </w:rPr>
            </w:pPr>
          </w:p>
        </w:tc>
      </w:tr>
      <w:tr w14:paraId="2886B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9B8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2D27E">
            <w:pPr>
              <w:jc w:val="center"/>
              <w:rPr>
                <w:rFonts w:hint="eastAsia" w:ascii="仿宋" w:hAnsi="仿宋" w:eastAsia="仿宋" w:cs="仿宋"/>
                <w:i w:val="0"/>
                <w:iCs w:val="0"/>
                <w:color w:val="000000"/>
                <w:sz w:val="22"/>
                <w:szCs w:val="22"/>
                <w:u w:val="none"/>
              </w:rPr>
            </w:pP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A36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缴费历史查看</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E6AC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查看缴费历史，包括：联系人、联系电话、缴费日期、开始时间截止时间、缴纳全额、支付方式（现场扫码、远程移动端），支持续费修改和删除；</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19FF5">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58F24">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6C3FF">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7F811">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D269C">
            <w:pPr>
              <w:jc w:val="right"/>
              <w:rPr>
                <w:rFonts w:hint="eastAsia" w:ascii="仿宋" w:hAnsi="仿宋" w:eastAsia="仿宋" w:cs="仿宋"/>
                <w:i w:val="0"/>
                <w:iCs w:val="0"/>
                <w:color w:val="000000"/>
                <w:sz w:val="22"/>
                <w:szCs w:val="22"/>
                <w:u w:val="none"/>
              </w:rPr>
            </w:pPr>
          </w:p>
        </w:tc>
      </w:tr>
      <w:tr w14:paraId="7FB2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79323">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94E1D">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12FF0">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33B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进行续费登记，添加缴费人信息</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13247">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5DE2">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94C35">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D089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F6715">
            <w:pPr>
              <w:jc w:val="right"/>
              <w:rPr>
                <w:rFonts w:hint="eastAsia" w:ascii="仿宋" w:hAnsi="仿宋" w:eastAsia="仿宋" w:cs="仿宋"/>
                <w:i w:val="0"/>
                <w:iCs w:val="0"/>
                <w:color w:val="000000"/>
                <w:sz w:val="22"/>
                <w:szCs w:val="22"/>
                <w:u w:val="none"/>
              </w:rPr>
            </w:pPr>
          </w:p>
        </w:tc>
      </w:tr>
      <w:tr w14:paraId="7A2D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7D1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A9721">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5DC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电子档案录入</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AE2E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购墓凭证、经办人身份证、业务登记表、购墓合同、碑文稿、墓穴照片、墓穴证、逝者头像等相关信息录入</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6C19">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4AE9C">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C7D49">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214FF">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E3DDD">
            <w:pPr>
              <w:jc w:val="right"/>
              <w:rPr>
                <w:rFonts w:hint="eastAsia" w:ascii="仿宋" w:hAnsi="仿宋" w:eastAsia="仿宋" w:cs="仿宋"/>
                <w:i w:val="0"/>
                <w:iCs w:val="0"/>
                <w:color w:val="000000"/>
                <w:sz w:val="22"/>
                <w:szCs w:val="22"/>
                <w:u w:val="none"/>
              </w:rPr>
            </w:pPr>
          </w:p>
        </w:tc>
      </w:tr>
      <w:tr w14:paraId="23AEE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D01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DA0D2">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8A1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墓穴操作</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6C2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支持对墓穴进行迁出、退墓、补证、更换等操作，填写相关信息并支持附件录入，可在售后服务模块内详细查看</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CA95">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85298">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F197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14449">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8485D">
            <w:pPr>
              <w:jc w:val="right"/>
              <w:rPr>
                <w:rFonts w:hint="eastAsia" w:ascii="仿宋" w:hAnsi="仿宋" w:eastAsia="仿宋" w:cs="仿宋"/>
                <w:i w:val="0"/>
                <w:iCs w:val="0"/>
                <w:color w:val="000000"/>
                <w:sz w:val="22"/>
                <w:szCs w:val="22"/>
                <w:u w:val="none"/>
              </w:rPr>
            </w:pPr>
          </w:p>
        </w:tc>
      </w:tr>
      <w:tr w14:paraId="4B44E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DC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673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缴费管理模块</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8DC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已办业务查询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0DD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可查看所有业务办理记录查询，支持墓穴位置、逝者和申请人检索，查询内容包括：业务状态、逝者姓名、墓穴位置、申请时间、联系电话、申请人、联系电话等，支持跳转到墓穴销售流程</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618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58C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EF1C8B">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E30F3">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CF21A">
            <w:pPr>
              <w:jc w:val="right"/>
              <w:rPr>
                <w:rFonts w:hint="eastAsia" w:ascii="仿宋" w:hAnsi="仿宋" w:eastAsia="仿宋" w:cs="仿宋"/>
                <w:i w:val="0"/>
                <w:iCs w:val="0"/>
                <w:color w:val="000000"/>
                <w:sz w:val="22"/>
                <w:szCs w:val="22"/>
                <w:u w:val="none"/>
              </w:rPr>
            </w:pPr>
          </w:p>
        </w:tc>
      </w:tr>
      <w:tr w14:paraId="59E9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70E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0BC15">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091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订单结算查询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ED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用于订单结算查询，包括：墓穴位置、经办人、购买时间、联系电话、应收金额、优惠金额、实收金额、已收金额等内容</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2C438">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17547">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7684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C7CC6">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D586A">
            <w:pPr>
              <w:jc w:val="right"/>
              <w:rPr>
                <w:rFonts w:hint="eastAsia" w:ascii="仿宋" w:hAnsi="仿宋" w:eastAsia="仿宋" w:cs="仿宋"/>
                <w:i w:val="0"/>
                <w:iCs w:val="0"/>
                <w:color w:val="000000"/>
                <w:sz w:val="22"/>
                <w:szCs w:val="22"/>
                <w:u w:val="none"/>
              </w:rPr>
            </w:pPr>
          </w:p>
        </w:tc>
      </w:tr>
      <w:tr w14:paraId="4DC92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118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3B2F8">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CB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管理费续费管理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B71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支持管理费查询，包括：序号、业务状态、墓穴位置、逝者、联系人、联系人电话、缴费日期、开始时间、截止时间、已缴金额、开票状态等内容，支持管理费数据导出，设置导出规则</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0CB01">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73F9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FDDB2">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31EC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88A68">
            <w:pPr>
              <w:jc w:val="right"/>
              <w:rPr>
                <w:rFonts w:hint="eastAsia" w:ascii="仿宋" w:hAnsi="仿宋" w:eastAsia="仿宋" w:cs="仿宋"/>
                <w:i w:val="0"/>
                <w:iCs w:val="0"/>
                <w:color w:val="000000"/>
                <w:sz w:val="22"/>
                <w:szCs w:val="22"/>
                <w:u w:val="none"/>
              </w:rPr>
            </w:pPr>
          </w:p>
        </w:tc>
      </w:tr>
      <w:tr w14:paraId="0981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8F6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E9567">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E2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收费项目设置</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7D9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支持自定义设置收费项目，包括上一级项目名称、数量、编号、单位、金额、默认编号。方便快速添加收费项目</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8355F">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34A2F">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1D5CA">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DB50F">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5EE30">
            <w:pPr>
              <w:jc w:val="right"/>
              <w:rPr>
                <w:rFonts w:hint="eastAsia" w:ascii="仿宋" w:hAnsi="仿宋" w:eastAsia="仿宋" w:cs="仿宋"/>
                <w:i w:val="0"/>
                <w:iCs w:val="0"/>
                <w:color w:val="000000"/>
                <w:sz w:val="22"/>
                <w:szCs w:val="22"/>
                <w:u w:val="none"/>
              </w:rPr>
            </w:pPr>
          </w:p>
        </w:tc>
      </w:tr>
      <w:tr w14:paraId="31D20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352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9ABAA">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A68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网上商城</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7DF7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对商城订单查看，查看客户与商品信息</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36E21">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DDCB5">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6EBFA">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CF3E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6BD51">
            <w:pPr>
              <w:jc w:val="right"/>
              <w:rPr>
                <w:rFonts w:hint="eastAsia" w:ascii="仿宋" w:hAnsi="仿宋" w:eastAsia="仿宋" w:cs="仿宋"/>
                <w:i w:val="0"/>
                <w:iCs w:val="0"/>
                <w:color w:val="000000"/>
                <w:sz w:val="22"/>
                <w:szCs w:val="22"/>
                <w:u w:val="none"/>
              </w:rPr>
            </w:pPr>
          </w:p>
        </w:tc>
      </w:tr>
      <w:tr w14:paraId="058D6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2B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8CBA7">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954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商品维护</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A37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对商品进行基础信息维护，可以添加礼仪服务套餐，选择上架或者下架等操作</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3D51">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DDB3">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63B2C">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1A49A">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C954">
            <w:pPr>
              <w:jc w:val="right"/>
              <w:rPr>
                <w:rFonts w:hint="eastAsia" w:ascii="仿宋" w:hAnsi="仿宋" w:eastAsia="仿宋" w:cs="仿宋"/>
                <w:i w:val="0"/>
                <w:iCs w:val="0"/>
                <w:color w:val="000000"/>
                <w:sz w:val="22"/>
                <w:szCs w:val="22"/>
                <w:u w:val="none"/>
              </w:rPr>
            </w:pPr>
          </w:p>
        </w:tc>
      </w:tr>
      <w:tr w14:paraId="24917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3B3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D00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服务管理</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A5D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服务管理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8525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面向微信公众号服务管理，包含商品上下架与库存管理、礼仪服务配置、礼仪服务订单处理、鲜花租摆订单跟踪，同时支持所有订单统一查询、状态更新与数据汇总，实现线上服务规范化高效管理。</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B24B8">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A97A">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4399">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4C5D9">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EDA61">
            <w:pPr>
              <w:jc w:val="right"/>
              <w:rPr>
                <w:rFonts w:hint="eastAsia" w:ascii="仿宋" w:hAnsi="仿宋" w:eastAsia="仿宋" w:cs="仿宋"/>
                <w:i w:val="0"/>
                <w:iCs w:val="0"/>
                <w:color w:val="000000"/>
                <w:sz w:val="22"/>
                <w:szCs w:val="22"/>
                <w:u w:val="none"/>
              </w:rPr>
            </w:pPr>
          </w:p>
        </w:tc>
      </w:tr>
      <w:tr w14:paraId="4881E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3A1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92D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售后记录模块</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5EB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变更记录</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4CF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查看变更记录，包括：经办人姓名、逝者姓名、审核状态、申请时间、原墓穴、现墓穴、业务员、联系方式等</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38A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630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vMerge w:val="restart"/>
            <w:tcBorders>
              <w:top w:val="single" w:color="000000" w:sz="4" w:space="0"/>
              <w:left w:val="single" w:color="000000" w:sz="4" w:space="0"/>
              <w:bottom w:val="nil"/>
              <w:right w:val="single" w:color="000000" w:sz="4" w:space="0"/>
            </w:tcBorders>
            <w:shd w:val="clear" w:color="auto" w:fill="auto"/>
            <w:vAlign w:val="center"/>
          </w:tcPr>
          <w:p w14:paraId="2D29C1ED">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445A1">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0948B">
            <w:pPr>
              <w:jc w:val="right"/>
              <w:rPr>
                <w:rFonts w:hint="eastAsia" w:ascii="仿宋" w:hAnsi="仿宋" w:eastAsia="仿宋" w:cs="仿宋"/>
                <w:i w:val="0"/>
                <w:iCs w:val="0"/>
                <w:color w:val="000000"/>
                <w:sz w:val="22"/>
                <w:szCs w:val="22"/>
                <w:u w:val="none"/>
              </w:rPr>
            </w:pPr>
          </w:p>
        </w:tc>
      </w:tr>
      <w:tr w14:paraId="22E77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3A4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23EAE">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517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迁出记录</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15E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查看迁出记录，包括墓穴位置、迁出时间、办理人、联系电话、操作账号、迁出原因、操作（打印迁出申请和打印迁出凭证）</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0E5C3">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5F5B3">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nil"/>
              <w:right w:val="single" w:color="000000" w:sz="4" w:space="0"/>
            </w:tcBorders>
            <w:shd w:val="clear" w:color="auto" w:fill="auto"/>
            <w:vAlign w:val="center"/>
          </w:tcPr>
          <w:p w14:paraId="5BE84CCB">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BAA5B">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26B3C">
            <w:pPr>
              <w:jc w:val="right"/>
              <w:rPr>
                <w:rFonts w:hint="eastAsia" w:ascii="仿宋" w:hAnsi="仿宋" w:eastAsia="仿宋" w:cs="仿宋"/>
                <w:i w:val="0"/>
                <w:iCs w:val="0"/>
                <w:color w:val="000000"/>
                <w:sz w:val="22"/>
                <w:szCs w:val="22"/>
                <w:u w:val="none"/>
              </w:rPr>
            </w:pPr>
          </w:p>
        </w:tc>
      </w:tr>
      <w:tr w14:paraId="43B6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E61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7E300">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91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退墓记录</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ACF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查看退墓记录，包括：购买时间、墓穴位置、办理人、联系电话、退墓理由、退款金额、发票号码、办理时间等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A4A02">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F04F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nil"/>
              <w:right w:val="single" w:color="000000" w:sz="4" w:space="0"/>
            </w:tcBorders>
            <w:shd w:val="clear" w:color="auto" w:fill="auto"/>
            <w:vAlign w:val="center"/>
          </w:tcPr>
          <w:p w14:paraId="601F166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D738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4CBDC">
            <w:pPr>
              <w:jc w:val="right"/>
              <w:rPr>
                <w:rFonts w:hint="eastAsia" w:ascii="仿宋" w:hAnsi="仿宋" w:eastAsia="仿宋" w:cs="仿宋"/>
                <w:i w:val="0"/>
                <w:iCs w:val="0"/>
                <w:color w:val="000000"/>
                <w:sz w:val="22"/>
                <w:szCs w:val="22"/>
                <w:u w:val="none"/>
              </w:rPr>
            </w:pPr>
          </w:p>
        </w:tc>
      </w:tr>
      <w:tr w14:paraId="00B63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485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0669C">
            <w:pPr>
              <w:jc w:val="center"/>
              <w:rPr>
                <w:rFonts w:hint="eastAsia" w:ascii="仿宋" w:hAnsi="仿宋" w:eastAsia="仿宋" w:cs="仿宋"/>
                <w:i w:val="0"/>
                <w:iCs w:val="0"/>
                <w:color w:val="000000"/>
                <w:sz w:val="22"/>
                <w:szCs w:val="22"/>
                <w:u w:val="none"/>
              </w:rPr>
            </w:pP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29C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更换联系人记录</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9CE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查看更换联系人记录，包括：原姓名、原身份证号码、原家庭住址、与联系人的关系、联系人姓名、联系人身份证号码</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3660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5611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nil"/>
              <w:right w:val="single" w:color="000000" w:sz="4" w:space="0"/>
            </w:tcBorders>
            <w:shd w:val="clear" w:color="auto" w:fill="auto"/>
            <w:vAlign w:val="center"/>
          </w:tcPr>
          <w:p w14:paraId="3B57374C">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D637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1C450">
            <w:pPr>
              <w:jc w:val="right"/>
              <w:rPr>
                <w:rFonts w:hint="eastAsia" w:ascii="仿宋" w:hAnsi="仿宋" w:eastAsia="仿宋" w:cs="仿宋"/>
                <w:i w:val="0"/>
                <w:iCs w:val="0"/>
                <w:color w:val="000000"/>
                <w:sz w:val="22"/>
                <w:szCs w:val="22"/>
                <w:u w:val="none"/>
              </w:rPr>
            </w:pPr>
          </w:p>
        </w:tc>
      </w:tr>
      <w:tr w14:paraId="318F7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15861">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61449">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24278">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815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联系人家庭住址、原穴位号、更换原因等，支持更换联系申请打印</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E83AE">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0734E">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nil"/>
              <w:right w:val="single" w:color="000000" w:sz="4" w:space="0"/>
            </w:tcBorders>
            <w:shd w:val="clear" w:color="auto" w:fill="auto"/>
            <w:vAlign w:val="center"/>
          </w:tcPr>
          <w:p w14:paraId="710D135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B1740">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EA7F7">
            <w:pPr>
              <w:jc w:val="right"/>
              <w:rPr>
                <w:rFonts w:hint="eastAsia" w:ascii="仿宋" w:hAnsi="仿宋" w:eastAsia="仿宋" w:cs="仿宋"/>
                <w:i w:val="0"/>
                <w:iCs w:val="0"/>
                <w:color w:val="000000"/>
                <w:sz w:val="22"/>
                <w:szCs w:val="22"/>
                <w:u w:val="none"/>
              </w:rPr>
            </w:pPr>
          </w:p>
        </w:tc>
      </w:tr>
      <w:tr w14:paraId="11943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886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6B73C">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CB3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补证申请记录</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9029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查看补证申请记录，包括：逝者姓名、经办人姓名、经办人身份证号码、经办人电话、逝者与本人关系、购买时间、墓穴编号、合同编号、补办时间、操作人等，支持补证申请打印功能</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4478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6248C">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nil"/>
              <w:right w:val="single" w:color="000000" w:sz="4" w:space="0"/>
            </w:tcBorders>
            <w:shd w:val="clear" w:color="auto" w:fill="auto"/>
            <w:vAlign w:val="center"/>
          </w:tcPr>
          <w:p w14:paraId="3E756BB0">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17FF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1EDB8">
            <w:pPr>
              <w:jc w:val="right"/>
              <w:rPr>
                <w:rFonts w:hint="eastAsia" w:ascii="仿宋" w:hAnsi="仿宋" w:eastAsia="仿宋" w:cs="仿宋"/>
                <w:i w:val="0"/>
                <w:iCs w:val="0"/>
                <w:color w:val="000000"/>
                <w:sz w:val="22"/>
                <w:szCs w:val="22"/>
                <w:u w:val="none"/>
              </w:rPr>
            </w:pPr>
          </w:p>
        </w:tc>
      </w:tr>
      <w:tr w14:paraId="1C41B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97A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67F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墓地维护模块</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6C7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陵园维护</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B0F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登记售后信息，维修人、问题描述、备注、创建时间</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E51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57A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6237A">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DD77E">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7F372">
            <w:pPr>
              <w:jc w:val="right"/>
              <w:rPr>
                <w:rFonts w:hint="eastAsia" w:ascii="仿宋" w:hAnsi="仿宋" w:eastAsia="仿宋" w:cs="仿宋"/>
                <w:i w:val="0"/>
                <w:iCs w:val="0"/>
                <w:color w:val="000000"/>
                <w:sz w:val="22"/>
                <w:szCs w:val="22"/>
                <w:u w:val="none"/>
              </w:rPr>
            </w:pPr>
          </w:p>
        </w:tc>
      </w:tr>
      <w:tr w14:paraId="7E633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81DC9">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2745B">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847D1">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BB51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完工时间、完成状态、维修人</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2045C">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C7A44">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E61E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011CC">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60B2A">
            <w:pPr>
              <w:jc w:val="right"/>
              <w:rPr>
                <w:rFonts w:hint="eastAsia" w:ascii="仿宋" w:hAnsi="仿宋" w:eastAsia="仿宋" w:cs="仿宋"/>
                <w:i w:val="0"/>
                <w:iCs w:val="0"/>
                <w:color w:val="000000"/>
                <w:sz w:val="22"/>
                <w:szCs w:val="22"/>
                <w:u w:val="none"/>
              </w:rPr>
            </w:pPr>
          </w:p>
        </w:tc>
      </w:tr>
      <w:tr w14:paraId="62279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5B873">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9087D">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1EF95">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479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工单进度状态：完工日期、工单状态等。支持维修数据导出功能</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2B1BD">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B1F2D">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1D78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9BBF9">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157AE">
            <w:pPr>
              <w:jc w:val="right"/>
              <w:rPr>
                <w:rFonts w:hint="eastAsia" w:ascii="仿宋" w:hAnsi="仿宋" w:eastAsia="仿宋" w:cs="仿宋"/>
                <w:i w:val="0"/>
                <w:iCs w:val="0"/>
                <w:color w:val="000000"/>
                <w:sz w:val="22"/>
                <w:szCs w:val="22"/>
                <w:u w:val="none"/>
              </w:rPr>
            </w:pPr>
          </w:p>
        </w:tc>
      </w:tr>
      <w:tr w14:paraId="68C2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E7A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487B7">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56E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线上报修管理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FED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查看线上报修业务进度，对墓穴损坏、绿化问题等报修事项是否受理。可对维修进行图片反馈</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D2EE9">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52AB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04D02">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F9F95">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2EF81">
            <w:pPr>
              <w:jc w:val="right"/>
              <w:rPr>
                <w:rFonts w:hint="eastAsia" w:ascii="仿宋" w:hAnsi="仿宋" w:eastAsia="仿宋" w:cs="仿宋"/>
                <w:i w:val="0"/>
                <w:iCs w:val="0"/>
                <w:color w:val="000000"/>
                <w:sz w:val="22"/>
                <w:szCs w:val="22"/>
                <w:u w:val="none"/>
              </w:rPr>
            </w:pPr>
          </w:p>
        </w:tc>
      </w:tr>
      <w:tr w14:paraId="5DB2B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60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45F7A">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73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工单派发</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E17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工单派发功能可对报修业务生成工单，按类型分配至对应工作人员，实时跟踪处理进度，实现任务高效流转、责任到人，提升陵园服务响应与管理效率</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F2933">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3F30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B983C">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0B7F6">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51315">
            <w:pPr>
              <w:jc w:val="right"/>
              <w:rPr>
                <w:rFonts w:hint="eastAsia" w:ascii="仿宋" w:hAnsi="仿宋" w:eastAsia="仿宋" w:cs="仿宋"/>
                <w:i w:val="0"/>
                <w:iCs w:val="0"/>
                <w:color w:val="000000"/>
                <w:sz w:val="22"/>
                <w:szCs w:val="22"/>
                <w:u w:val="none"/>
              </w:rPr>
            </w:pPr>
          </w:p>
        </w:tc>
      </w:tr>
      <w:tr w14:paraId="1DB64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46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BBF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综合查询模块</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FF1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墓穴信息查询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C7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可按以下条件进行查询：请输入使用人、请输入申请人、请选择日期类型、开始日期、截止日期、请选择是否到期、请输入检索条件进行查询。</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FD6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0F4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DBC96">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B6EEA">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A9A66A">
            <w:pPr>
              <w:jc w:val="right"/>
              <w:rPr>
                <w:rFonts w:hint="eastAsia" w:ascii="仿宋" w:hAnsi="仿宋" w:eastAsia="仿宋" w:cs="仿宋"/>
                <w:i w:val="0"/>
                <w:iCs w:val="0"/>
                <w:color w:val="000000"/>
                <w:sz w:val="22"/>
                <w:szCs w:val="22"/>
                <w:u w:val="none"/>
              </w:rPr>
            </w:pPr>
          </w:p>
        </w:tc>
      </w:tr>
      <w:tr w14:paraId="03CA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00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370B7">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90A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落葬明细查询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65D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落葬明细查询模块聚焦落葬业务数据的高效检索与管理，为工作人员提供精准、便捷的数据查询与导出服务，支持落葬明细查询，支持数据导出</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75163">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DC122">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2052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F203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B24ED">
            <w:pPr>
              <w:jc w:val="right"/>
              <w:rPr>
                <w:rFonts w:hint="eastAsia" w:ascii="仿宋" w:hAnsi="仿宋" w:eastAsia="仿宋" w:cs="仿宋"/>
                <w:i w:val="0"/>
                <w:iCs w:val="0"/>
                <w:color w:val="000000"/>
                <w:sz w:val="22"/>
                <w:szCs w:val="22"/>
                <w:u w:val="none"/>
              </w:rPr>
            </w:pPr>
          </w:p>
        </w:tc>
      </w:tr>
      <w:tr w14:paraId="0473A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CC5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5440B">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F5A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墓穴数据明细统计</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724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墓穴数据明细统计，支持数据导出</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6FAF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398F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7DF32">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2D687">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1F2F6">
            <w:pPr>
              <w:jc w:val="right"/>
              <w:rPr>
                <w:rFonts w:hint="eastAsia" w:ascii="仿宋" w:hAnsi="仿宋" w:eastAsia="仿宋" w:cs="仿宋"/>
                <w:i w:val="0"/>
                <w:iCs w:val="0"/>
                <w:color w:val="000000"/>
                <w:sz w:val="22"/>
                <w:szCs w:val="22"/>
                <w:u w:val="none"/>
              </w:rPr>
            </w:pPr>
          </w:p>
        </w:tc>
      </w:tr>
      <w:tr w14:paraId="3C26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FC4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F68E4">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844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收款明细查询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56F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收款明细查询，支持数据导出</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31217">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0FF7A">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74AB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F29A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37CA8">
            <w:pPr>
              <w:jc w:val="right"/>
              <w:rPr>
                <w:rFonts w:hint="eastAsia" w:ascii="仿宋" w:hAnsi="仿宋" w:eastAsia="仿宋" w:cs="仿宋"/>
                <w:i w:val="0"/>
                <w:iCs w:val="0"/>
                <w:color w:val="000000"/>
                <w:sz w:val="22"/>
                <w:szCs w:val="22"/>
                <w:u w:val="none"/>
              </w:rPr>
            </w:pPr>
          </w:p>
        </w:tc>
      </w:tr>
      <w:tr w14:paraId="14841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FA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60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系统设置管理</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E5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系统设置管理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DC69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管理员账户系统设置，包括：用户管理、角色管理、菜单管理、岗位管理、参数设置</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612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8A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9FD71">
            <w:pPr>
              <w:jc w:val="center"/>
              <w:rPr>
                <w:rFonts w:hint="eastAsia" w:ascii="仿宋" w:hAnsi="仿宋" w:eastAsia="仿宋" w:cs="仿宋"/>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50C42">
            <w:pPr>
              <w:jc w:val="center"/>
              <w:rPr>
                <w:rFonts w:hint="eastAsia" w:ascii="仿宋" w:hAnsi="仿宋" w:eastAsia="仿宋" w:cs="仿宋"/>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0C536">
            <w:pPr>
              <w:jc w:val="right"/>
              <w:rPr>
                <w:rFonts w:hint="eastAsia" w:ascii="仿宋" w:hAnsi="仿宋" w:eastAsia="仿宋" w:cs="仿宋"/>
                <w:i w:val="0"/>
                <w:iCs w:val="0"/>
                <w:color w:val="000000"/>
                <w:sz w:val="22"/>
                <w:szCs w:val="22"/>
                <w:u w:val="none"/>
              </w:rPr>
            </w:pPr>
          </w:p>
        </w:tc>
      </w:tr>
      <w:tr w14:paraId="53A07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86C62AF">
            <w:pPr>
              <w:jc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二、便民服务系统（公益性服务延伸）</w:t>
            </w:r>
          </w:p>
        </w:tc>
      </w:tr>
      <w:tr w14:paraId="63642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9F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46B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便民公众号服务</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94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陵园介绍</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5B01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整合呈现公墓概况、荣誉资质，同步展示陵园宣传内容（便民服务举措图文素材），支持用户快速了解陵园综合情况。</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26C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ED4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6FE774">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F5E8C3">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D9325">
            <w:pPr>
              <w:jc w:val="center"/>
              <w:rPr>
                <w:rFonts w:hint="eastAsia" w:ascii="仿宋" w:hAnsi="仿宋" w:eastAsia="仿宋" w:cs="仿宋"/>
                <w:b/>
                <w:bCs/>
                <w:i w:val="0"/>
                <w:iCs w:val="0"/>
                <w:color w:val="000000"/>
                <w:sz w:val="22"/>
                <w:szCs w:val="22"/>
                <w:u w:val="none"/>
              </w:rPr>
            </w:pPr>
          </w:p>
        </w:tc>
      </w:tr>
      <w:tr w14:paraId="6D61A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24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FB194">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5C9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VR陵园</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71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VR 陵园全景展示系统，用户可沉浸式浏览园区实景。系统内置三大墓园，清晰标注墓园名称及购买户籍要求。进入单个墓园后，可直观查看各墓区名称、位置分布与价格范围，实现线上实景预览、信息一键查询，便捷高效，为选购提供真实直观的参考。</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14E5E">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52989">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514F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D5DB4">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F56EC">
            <w:pPr>
              <w:jc w:val="center"/>
              <w:rPr>
                <w:rFonts w:hint="eastAsia" w:ascii="仿宋" w:hAnsi="仿宋" w:eastAsia="仿宋" w:cs="仿宋"/>
                <w:b/>
                <w:bCs/>
                <w:i w:val="0"/>
                <w:iCs w:val="0"/>
                <w:color w:val="000000"/>
                <w:sz w:val="22"/>
                <w:szCs w:val="22"/>
                <w:u w:val="none"/>
              </w:rPr>
            </w:pPr>
          </w:p>
        </w:tc>
      </w:tr>
      <w:tr w14:paraId="2611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22C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5AAC1">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301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AF02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持群众凭身份信息 / 墓穴编号，查询墓穴基础信息、信息实时同步后台数据库，确保查询结果准确有效。</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B7465">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2919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4F28B">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D2EC9">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5EC79">
            <w:pPr>
              <w:jc w:val="center"/>
              <w:rPr>
                <w:rFonts w:hint="eastAsia" w:ascii="仿宋" w:hAnsi="仿宋" w:eastAsia="仿宋" w:cs="仿宋"/>
                <w:b/>
                <w:bCs/>
                <w:i w:val="0"/>
                <w:iCs w:val="0"/>
                <w:color w:val="000000"/>
                <w:sz w:val="22"/>
                <w:szCs w:val="22"/>
                <w:u w:val="none"/>
              </w:rPr>
            </w:pPr>
          </w:p>
        </w:tc>
      </w:tr>
      <w:tr w14:paraId="27E58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02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EF5B7">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0E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在线预约</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0E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在线预约服务，支持来园参观预约，用户可填写来园原因、联系姓名及电话完成登记。同时支持集中祭祀场所专项预约，可对祭扫区域及时段进行预约申请，规范祭扫场所使用秩序，实现错峰祭扫、有序入园，提升服务效率与祭扫体验。</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97761">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CDBF1">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FB86E">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403C7">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E5E79">
            <w:pPr>
              <w:jc w:val="center"/>
              <w:rPr>
                <w:rFonts w:hint="eastAsia" w:ascii="仿宋" w:hAnsi="仿宋" w:eastAsia="仿宋" w:cs="仿宋"/>
                <w:b/>
                <w:bCs/>
                <w:i w:val="0"/>
                <w:iCs w:val="0"/>
                <w:color w:val="000000"/>
                <w:sz w:val="22"/>
                <w:szCs w:val="22"/>
                <w:u w:val="none"/>
              </w:rPr>
            </w:pPr>
          </w:p>
        </w:tc>
      </w:tr>
      <w:tr w14:paraId="65A1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A5A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A86CA">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A0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云端祭扫</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DE6E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为用户提供线上缅怀祭祀服务，可在线敬献鲜花、点烛、上香等，实现云端追思悼念。不受时空限制，满足异地祭扫、文明祭祀需求，营造绿色环保的祭扫氛围，传递对先人的思念与敬意。</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6E0DA">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E5FB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F19A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59EAC">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46BD3">
            <w:pPr>
              <w:jc w:val="center"/>
              <w:rPr>
                <w:rFonts w:hint="eastAsia" w:ascii="仿宋" w:hAnsi="仿宋" w:eastAsia="仿宋" w:cs="仿宋"/>
                <w:b/>
                <w:bCs/>
                <w:i w:val="0"/>
                <w:iCs w:val="0"/>
                <w:color w:val="000000"/>
                <w:sz w:val="22"/>
                <w:szCs w:val="22"/>
                <w:u w:val="none"/>
              </w:rPr>
            </w:pPr>
          </w:p>
        </w:tc>
      </w:tr>
      <w:tr w14:paraId="114C5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17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504B0">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6B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在线商城</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665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提供殡葬相关用品选购服务，涵盖鲜花、随葬品等多种商品，用户可在线完成选购、下单。订单数据实时同步至 PC 管理端，方便后台统一查看与处理备货，实现线上线下数据互通，提升运营与服务效率</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996FF">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E46A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EEBCF">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B90AC">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48EB1">
            <w:pPr>
              <w:jc w:val="center"/>
              <w:rPr>
                <w:rFonts w:hint="eastAsia" w:ascii="仿宋" w:hAnsi="仿宋" w:eastAsia="仿宋" w:cs="仿宋"/>
                <w:b/>
                <w:bCs/>
                <w:i w:val="0"/>
                <w:iCs w:val="0"/>
                <w:color w:val="000000"/>
                <w:sz w:val="22"/>
                <w:szCs w:val="22"/>
                <w:u w:val="none"/>
              </w:rPr>
            </w:pPr>
          </w:p>
        </w:tc>
      </w:tr>
      <w:tr w14:paraId="6DA30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4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DDF23">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C0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在线服务</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1D6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提供代客祭扫专属服务，用户可清晰查看各项服务详情、流程与对应价格，在线完成下单支付。所有订单信息实时同步至 PC 管理端，便于工作人员统一接收、安排与跟进，实现服务规范化、流程信息化。</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14FEA">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2B13C">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D8290">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ADDE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EE4BA">
            <w:pPr>
              <w:jc w:val="center"/>
              <w:rPr>
                <w:rFonts w:hint="eastAsia" w:ascii="仿宋" w:hAnsi="仿宋" w:eastAsia="仿宋" w:cs="仿宋"/>
                <w:b/>
                <w:bCs/>
                <w:i w:val="0"/>
                <w:iCs w:val="0"/>
                <w:color w:val="000000"/>
                <w:sz w:val="22"/>
                <w:szCs w:val="22"/>
                <w:u w:val="none"/>
              </w:rPr>
            </w:pPr>
          </w:p>
        </w:tc>
      </w:tr>
      <w:tr w14:paraId="69795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E6B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FEE7B">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468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在线报修</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8C8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支持用户对墓穴损坏、园区绿化破损等问题进行线上反馈。可上传问题描述与现场照片，快速提交报修申请，后台实时接收工单并安排人员处理，全程可追溯，提升陵园维护响应效率与服务体验。</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A49A7">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7D38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EC124">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27C2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36CFF">
            <w:pPr>
              <w:jc w:val="center"/>
              <w:rPr>
                <w:rFonts w:hint="eastAsia" w:ascii="仿宋" w:hAnsi="仿宋" w:eastAsia="仿宋" w:cs="仿宋"/>
                <w:b/>
                <w:bCs/>
                <w:i w:val="0"/>
                <w:iCs w:val="0"/>
                <w:color w:val="000000"/>
                <w:sz w:val="22"/>
                <w:szCs w:val="22"/>
                <w:u w:val="none"/>
              </w:rPr>
            </w:pPr>
          </w:p>
        </w:tc>
      </w:tr>
      <w:tr w14:paraId="3F0A3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5B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A77A1">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EC7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我的信息</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7543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展示个人业务记录，用户可便捷查看历史来园预约、祭祀场所预约、在线报修（查看报修反馈）、商品下单及代客祭扫（祭扫图片或视频）等各类记录，信息清晰可查，方便随时追溯与核对，提升使用便捷性。</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81420">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90359">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6824C">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DC1E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61536">
            <w:pPr>
              <w:jc w:val="center"/>
              <w:rPr>
                <w:rFonts w:hint="eastAsia" w:ascii="仿宋" w:hAnsi="仿宋" w:eastAsia="仿宋" w:cs="仿宋"/>
                <w:b/>
                <w:bCs/>
                <w:i w:val="0"/>
                <w:iCs w:val="0"/>
                <w:color w:val="000000"/>
                <w:sz w:val="22"/>
                <w:szCs w:val="22"/>
                <w:u w:val="none"/>
              </w:rPr>
            </w:pPr>
          </w:p>
        </w:tc>
      </w:tr>
      <w:tr w14:paraId="6EC7C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AEA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D0ADD">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95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安葬、祭祀、寄存工单提醒</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0F6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客户上传公墓证或合同等信息，填写购墓人信息、安葬人姓名、初葬或合葬、安葬时间、祭祀时间、寄存时间等，可在工单派发后，及时向对应员工推送待办提醒。员工接收后可进行接单、处理进度反馈及完成上报，确保任务不遗漏，实现工单全程可追踪，提升陵园服务响应速度与执行效率。</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BC56B">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3638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D1E0A">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25116">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1D793">
            <w:pPr>
              <w:jc w:val="center"/>
              <w:rPr>
                <w:rFonts w:hint="eastAsia" w:ascii="仿宋" w:hAnsi="仿宋" w:eastAsia="仿宋" w:cs="仿宋"/>
                <w:b/>
                <w:bCs/>
                <w:i w:val="0"/>
                <w:iCs w:val="0"/>
                <w:color w:val="000000"/>
                <w:sz w:val="22"/>
                <w:szCs w:val="22"/>
                <w:u w:val="none"/>
              </w:rPr>
            </w:pPr>
          </w:p>
        </w:tc>
      </w:tr>
      <w:tr w14:paraId="5FB47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60D34C">
            <w:pPr>
              <w:jc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三、平板业务服务系统</w:t>
            </w:r>
          </w:p>
        </w:tc>
      </w:tr>
      <w:tr w14:paraId="07E81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A53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A43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平板业务服务系统</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867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信息查询</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0FC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信息查询功能，工作人员在平板业务端可依据设定的查询条件，快速精准地获取墓穴相关信息。无论是按墓位编号、墓区位置，还是其他特定条件，都能方便快捷地检索到所需内容，极大提升信息获取的效率。</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BB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E76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24765">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6A098">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4C645">
            <w:pPr>
              <w:jc w:val="right"/>
              <w:rPr>
                <w:rFonts w:hint="eastAsia" w:ascii="仿宋" w:hAnsi="仿宋" w:eastAsia="仿宋" w:cs="仿宋"/>
                <w:i w:val="0"/>
                <w:iCs w:val="0"/>
                <w:color w:val="000000"/>
                <w:sz w:val="22"/>
                <w:szCs w:val="22"/>
                <w:u w:val="none"/>
              </w:rPr>
            </w:pPr>
          </w:p>
        </w:tc>
      </w:tr>
      <w:tr w14:paraId="3F842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AFB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2A1EF">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83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购墓办理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BF0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购买办理功能，进入平板业务端的购墓办理板块，工作人员能够直观看到公墓的墓位结构图。通过直接点击结构图中的相应墓位，即可轻松完成选购动作。在选购期间，用户可随时查看墓位服务的详细信息资料，全面了解与该墓位相关的各项服务内容。随后，工作人员着手办理购墓相关业务，可以填报使用人信息，确保信息准确无误。</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2A7D8">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CAEB0">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4158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92FF2">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A75A7">
            <w:pPr>
              <w:jc w:val="right"/>
              <w:rPr>
                <w:rFonts w:hint="eastAsia" w:ascii="仿宋" w:hAnsi="仿宋" w:eastAsia="仿宋" w:cs="仿宋"/>
                <w:i w:val="0"/>
                <w:iCs w:val="0"/>
                <w:color w:val="000000"/>
                <w:sz w:val="22"/>
                <w:szCs w:val="22"/>
                <w:u w:val="none"/>
              </w:rPr>
            </w:pPr>
          </w:p>
        </w:tc>
      </w:tr>
      <w:tr w14:paraId="72B47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864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10ED8">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FE6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资料上传</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02A7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提供资料上传功能，包含身份证、火化证明、病危通知书等证明材料。系统会对上传的文件格式、清晰度等方面进行即时校验，若出现不符合要求的情况，会及时给予提示，引导用户正确上传。</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062BA">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56556">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81F2E">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87B91">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562D6">
            <w:pPr>
              <w:jc w:val="right"/>
              <w:rPr>
                <w:rFonts w:hint="eastAsia" w:ascii="仿宋" w:hAnsi="仿宋" w:eastAsia="仿宋" w:cs="仿宋"/>
                <w:i w:val="0"/>
                <w:iCs w:val="0"/>
                <w:color w:val="000000"/>
                <w:sz w:val="22"/>
                <w:szCs w:val="22"/>
                <w:u w:val="none"/>
              </w:rPr>
            </w:pPr>
          </w:p>
        </w:tc>
      </w:tr>
      <w:tr w14:paraId="483CC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5BEDCC0">
            <w:pPr>
              <w:jc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四、信息采集服务</w:t>
            </w:r>
          </w:p>
        </w:tc>
      </w:tr>
      <w:tr w14:paraId="6BB15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C9D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CDC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信息采集制作</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67F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全景图像制作</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FD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对陵园三个墓园范围及各个墓区采集全景图像进行制作，标记全景图标墓区名称、墓区价格范围等信息。</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342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6AC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3D4D2">
            <w:pPr>
              <w:jc w:val="center"/>
              <w:rPr>
                <w:rFonts w:hint="eastAsia" w:ascii="仿宋" w:hAnsi="仿宋" w:eastAsia="仿宋" w:cs="仿宋"/>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B104C">
            <w:pPr>
              <w:jc w:val="center"/>
              <w:rPr>
                <w:rFonts w:hint="eastAsia" w:ascii="仿宋" w:hAnsi="仿宋" w:eastAsia="仿宋" w:cs="仿宋"/>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8744">
            <w:pPr>
              <w:jc w:val="right"/>
              <w:rPr>
                <w:rFonts w:hint="eastAsia" w:ascii="仿宋" w:hAnsi="仿宋" w:eastAsia="仿宋" w:cs="仿宋"/>
                <w:b/>
                <w:bCs/>
                <w:i w:val="0"/>
                <w:iCs w:val="0"/>
                <w:color w:val="000000"/>
                <w:sz w:val="22"/>
                <w:szCs w:val="22"/>
                <w:u w:val="none"/>
              </w:rPr>
            </w:pPr>
          </w:p>
        </w:tc>
      </w:tr>
      <w:tr w14:paraId="4DFDD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7D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1C7F2">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BAF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墓穴照片采集</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0B62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对园区内所有墓穴、墓碑类型进行照片采集，确保每个墓碑、墓穴照片完整、清晰，采集完成后及时上传至系统存档，为后续查询、展示提供精准图像依据。</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0F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C93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8309F">
            <w:pPr>
              <w:jc w:val="center"/>
              <w:rPr>
                <w:rFonts w:hint="eastAsia" w:ascii="仿宋" w:hAnsi="仿宋" w:eastAsia="仿宋" w:cs="仿宋"/>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40E77">
            <w:pPr>
              <w:jc w:val="center"/>
              <w:rPr>
                <w:rFonts w:hint="eastAsia" w:ascii="仿宋" w:hAnsi="仿宋" w:eastAsia="仿宋" w:cs="仿宋"/>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07DE3">
            <w:pPr>
              <w:jc w:val="right"/>
              <w:rPr>
                <w:rFonts w:hint="eastAsia" w:ascii="仿宋" w:hAnsi="仿宋" w:eastAsia="仿宋" w:cs="仿宋"/>
                <w:b/>
                <w:bCs/>
                <w:i w:val="0"/>
                <w:iCs w:val="0"/>
                <w:color w:val="000000"/>
                <w:sz w:val="22"/>
                <w:szCs w:val="22"/>
                <w:u w:val="none"/>
              </w:rPr>
            </w:pPr>
          </w:p>
        </w:tc>
      </w:tr>
      <w:tr w14:paraId="664AC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4798E0F">
            <w:pPr>
              <w:jc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五、硬件设备</w:t>
            </w:r>
          </w:p>
        </w:tc>
      </w:tr>
      <w:tr w14:paraId="0CF06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435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8CD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服务大厅硬件</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974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高拍仪</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745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购墓凭证、经办人身份证、业务登记表、购墓合同、碑文稿、墓穴照片、墓穴证、逝者头像等相关信息录入</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936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1AA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4AF3F">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9493A">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5D902">
            <w:pPr>
              <w:jc w:val="right"/>
              <w:rPr>
                <w:rFonts w:hint="eastAsia" w:ascii="仿宋" w:hAnsi="仿宋" w:eastAsia="仿宋" w:cs="仿宋"/>
                <w:b/>
                <w:bCs/>
                <w:i w:val="0"/>
                <w:iCs w:val="0"/>
                <w:color w:val="000000"/>
                <w:sz w:val="22"/>
                <w:szCs w:val="22"/>
                <w:u w:val="none"/>
              </w:rPr>
            </w:pPr>
          </w:p>
        </w:tc>
      </w:tr>
      <w:tr w14:paraId="1B643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87265">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10FC5">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A73B7">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588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主摄像头：CMOS镜头；1600万像素；</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C4FA5">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4914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221C7">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ABCD6">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5B4F4">
            <w:pPr>
              <w:jc w:val="right"/>
              <w:rPr>
                <w:rFonts w:hint="eastAsia" w:ascii="仿宋" w:hAnsi="仿宋" w:eastAsia="仿宋" w:cs="仿宋"/>
                <w:b/>
                <w:bCs/>
                <w:i w:val="0"/>
                <w:iCs w:val="0"/>
                <w:color w:val="000000"/>
                <w:sz w:val="22"/>
                <w:szCs w:val="22"/>
                <w:u w:val="none"/>
              </w:rPr>
            </w:pPr>
          </w:p>
        </w:tc>
      </w:tr>
      <w:tr w14:paraId="045B4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AB437">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90AB1">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76942">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003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主摄像头性能: 生成图像为JPEG格式300DPI无插值；图像要求RGB24位真彩；支持手动/自动对焦；支持手动/自动白平衡调整；支持手动/自动曝光控制调整；支持像素自定义；图象畸变指标：≤2%，信噪比：≥48dB。</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25B9E">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F6668">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5ADF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86FC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1679E">
            <w:pPr>
              <w:jc w:val="right"/>
              <w:rPr>
                <w:rFonts w:hint="eastAsia" w:ascii="仿宋" w:hAnsi="仿宋" w:eastAsia="仿宋" w:cs="仿宋"/>
                <w:b/>
                <w:bCs/>
                <w:i w:val="0"/>
                <w:iCs w:val="0"/>
                <w:color w:val="000000"/>
                <w:sz w:val="22"/>
                <w:szCs w:val="22"/>
                <w:u w:val="none"/>
              </w:rPr>
            </w:pPr>
          </w:p>
        </w:tc>
      </w:tr>
      <w:tr w14:paraId="5574B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C30F1">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F6D33">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68D75">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5D5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（须提供具有CMA或CNAS标志的产品质量检验机构出具的检验报告复印件加盖公章佐证）</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05AF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5C8CE">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F3C8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09247">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00C0F">
            <w:pPr>
              <w:jc w:val="right"/>
              <w:rPr>
                <w:rFonts w:hint="eastAsia" w:ascii="仿宋" w:hAnsi="仿宋" w:eastAsia="仿宋" w:cs="仿宋"/>
                <w:b/>
                <w:bCs/>
                <w:i w:val="0"/>
                <w:iCs w:val="0"/>
                <w:color w:val="000000"/>
                <w:sz w:val="22"/>
                <w:szCs w:val="22"/>
                <w:u w:val="none"/>
              </w:rPr>
            </w:pPr>
          </w:p>
        </w:tc>
      </w:tr>
      <w:tr w14:paraId="61B2E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53749">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E1DF7">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B86F9">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4251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外观尺寸:约360mm(L)x330mm(W)x400mm(H) ；</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1AC96">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1724D">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DECED">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1F929">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F8086">
            <w:pPr>
              <w:jc w:val="right"/>
              <w:rPr>
                <w:rFonts w:hint="eastAsia" w:ascii="仿宋" w:hAnsi="仿宋" w:eastAsia="仿宋" w:cs="仿宋"/>
                <w:b/>
                <w:bCs/>
                <w:i w:val="0"/>
                <w:iCs w:val="0"/>
                <w:color w:val="000000"/>
                <w:sz w:val="22"/>
                <w:szCs w:val="22"/>
                <w:u w:val="none"/>
              </w:rPr>
            </w:pPr>
          </w:p>
        </w:tc>
      </w:tr>
      <w:tr w14:paraId="7E6FD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9913A">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E22EB">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A1B49">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E27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机身材质：ABS（头壳）+铝合金（伸缩杆）+ABS（底座）；</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87A87">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A55EE">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C258B">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C1A2B">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711D5">
            <w:pPr>
              <w:jc w:val="right"/>
              <w:rPr>
                <w:rFonts w:hint="eastAsia" w:ascii="仿宋" w:hAnsi="仿宋" w:eastAsia="仿宋" w:cs="仿宋"/>
                <w:b/>
                <w:bCs/>
                <w:i w:val="0"/>
                <w:iCs w:val="0"/>
                <w:color w:val="000000"/>
                <w:sz w:val="22"/>
                <w:szCs w:val="22"/>
                <w:u w:val="none"/>
              </w:rPr>
            </w:pPr>
          </w:p>
        </w:tc>
      </w:tr>
      <w:tr w14:paraId="6B4EA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F952">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62711">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FCB1">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501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机身结构：镜头头壳和支撑杆采用非折叠式设计，有效降低图像畸变；</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0D310">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041FC">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D50D0">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12FEC">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D5CE5">
            <w:pPr>
              <w:jc w:val="right"/>
              <w:rPr>
                <w:rFonts w:hint="eastAsia" w:ascii="仿宋" w:hAnsi="仿宋" w:eastAsia="仿宋" w:cs="仿宋"/>
                <w:b/>
                <w:bCs/>
                <w:i w:val="0"/>
                <w:iCs w:val="0"/>
                <w:color w:val="000000"/>
                <w:sz w:val="22"/>
                <w:szCs w:val="22"/>
                <w:u w:val="none"/>
              </w:rPr>
            </w:pPr>
          </w:p>
        </w:tc>
      </w:tr>
      <w:tr w14:paraId="456B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2770F">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4B0F3">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12B02">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0601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机身设计：机身文稿台一体式设计，精准定位各种文稿；安装方便，单颗螺丝手拧固定；电源线和数据线插口位于文稿台底部，由线槽固定，防治松动和脱落。</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39E16">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E4558">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C5C3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84E13">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A26DC">
            <w:pPr>
              <w:jc w:val="right"/>
              <w:rPr>
                <w:rFonts w:hint="eastAsia" w:ascii="仿宋" w:hAnsi="仿宋" w:eastAsia="仿宋" w:cs="仿宋"/>
                <w:b/>
                <w:bCs/>
                <w:i w:val="0"/>
                <w:iCs w:val="0"/>
                <w:color w:val="000000"/>
                <w:sz w:val="22"/>
                <w:szCs w:val="22"/>
                <w:u w:val="none"/>
              </w:rPr>
            </w:pPr>
          </w:p>
        </w:tc>
      </w:tr>
      <w:tr w14:paraId="74D9F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8695B">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D1ED0">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B56B0">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B70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底座标识：应能方便标识出2-3个便于放置需拍摄实物的最佳位置，包括业务凭证、A4纸、各种类别身份证件等几种规格。</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6FFD3">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C65A8">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13452">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89D40">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DA580">
            <w:pPr>
              <w:jc w:val="right"/>
              <w:rPr>
                <w:rFonts w:hint="eastAsia" w:ascii="仿宋" w:hAnsi="仿宋" w:eastAsia="仿宋" w:cs="仿宋"/>
                <w:b/>
                <w:bCs/>
                <w:i w:val="0"/>
                <w:iCs w:val="0"/>
                <w:color w:val="000000"/>
                <w:sz w:val="22"/>
                <w:szCs w:val="22"/>
                <w:u w:val="none"/>
              </w:rPr>
            </w:pPr>
          </w:p>
        </w:tc>
      </w:tr>
      <w:tr w14:paraId="671C1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48530">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729E0">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89F06">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FFEA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OCR识别:强大的OCR软件，轻松地将文档图像转化为WORD/EXCEL/TXT文件。</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57F48">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0EF51">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A5C0A">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6C90C">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D6F2F">
            <w:pPr>
              <w:jc w:val="right"/>
              <w:rPr>
                <w:rFonts w:hint="eastAsia" w:ascii="仿宋" w:hAnsi="仿宋" w:eastAsia="仿宋" w:cs="仿宋"/>
                <w:b/>
                <w:bCs/>
                <w:i w:val="0"/>
                <w:iCs w:val="0"/>
                <w:color w:val="000000"/>
                <w:sz w:val="22"/>
                <w:szCs w:val="22"/>
                <w:u w:val="none"/>
              </w:rPr>
            </w:pPr>
          </w:p>
        </w:tc>
      </w:tr>
      <w:tr w14:paraId="74130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AC75F">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0C322">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6FFD2">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A3AB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保修服务及授权:出具原厂商售后服务承诺函、3C证书、原厂家具备麒麟系统认证证明等。</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14E04">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7FA81">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DAF75">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994C0">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95BEB">
            <w:pPr>
              <w:jc w:val="right"/>
              <w:rPr>
                <w:rFonts w:hint="eastAsia" w:ascii="仿宋" w:hAnsi="仿宋" w:eastAsia="仿宋" w:cs="仿宋"/>
                <w:b/>
                <w:bCs/>
                <w:i w:val="0"/>
                <w:iCs w:val="0"/>
                <w:color w:val="000000"/>
                <w:sz w:val="22"/>
                <w:szCs w:val="22"/>
                <w:u w:val="none"/>
              </w:rPr>
            </w:pPr>
          </w:p>
        </w:tc>
      </w:tr>
      <w:tr w14:paraId="68C2A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5AB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43C89">
            <w:pPr>
              <w:jc w:val="center"/>
              <w:rPr>
                <w:rFonts w:hint="eastAsia" w:ascii="仿宋" w:hAnsi="仿宋" w:eastAsia="仿宋" w:cs="仿宋"/>
                <w:i w:val="0"/>
                <w:iCs w:val="0"/>
                <w:color w:val="000000"/>
                <w:sz w:val="22"/>
                <w:szCs w:val="22"/>
                <w:u w:val="none"/>
              </w:rPr>
            </w:pP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89A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墓穴证打印机</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776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用于打印墓穴使用证等标准化单据，支持高清打印；打印方式：</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257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2A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54F9D">
            <w:pPr>
              <w:jc w:val="center"/>
              <w:rPr>
                <w:rFonts w:hint="eastAsia" w:ascii="仿宋" w:hAnsi="仿宋" w:eastAsia="仿宋" w:cs="仿宋"/>
                <w:i w:val="0"/>
                <w:iCs w:val="0"/>
                <w:color w:val="000000"/>
                <w:sz w:val="22"/>
                <w:szCs w:val="22"/>
                <w:u w:val="none"/>
              </w:rPr>
            </w:pP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087D8">
            <w:pPr>
              <w:jc w:val="center"/>
              <w:rPr>
                <w:rFonts w:hint="eastAsia" w:ascii="仿宋" w:hAnsi="仿宋" w:eastAsia="仿宋" w:cs="仿宋"/>
                <w:i w:val="0"/>
                <w:iCs w:val="0"/>
                <w:color w:val="000000"/>
                <w:sz w:val="22"/>
                <w:szCs w:val="22"/>
                <w:u w:val="none"/>
              </w:rPr>
            </w:pP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D0EE3">
            <w:pPr>
              <w:jc w:val="right"/>
              <w:rPr>
                <w:rFonts w:hint="eastAsia" w:ascii="仿宋" w:hAnsi="仿宋" w:eastAsia="仿宋" w:cs="仿宋"/>
                <w:b/>
                <w:bCs/>
                <w:i w:val="0"/>
                <w:iCs w:val="0"/>
                <w:color w:val="000000"/>
                <w:sz w:val="22"/>
                <w:szCs w:val="22"/>
                <w:u w:val="none"/>
              </w:rPr>
            </w:pPr>
          </w:p>
        </w:tc>
      </w:tr>
      <w:tr w14:paraId="0055F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E5475">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1F3E0">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9EB76">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4BE2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24针点阵式击打，双向逻辑查找打印，主打存折证卡打印，同时适配园区墓穴信息单据、台账等打印，可清晰打印字符、简单图形及表格。</w:t>
            </w:r>
            <w:r>
              <w:rPr>
                <w:rFonts w:hint="default" w:ascii="Times New Roman" w:hAnsi="Times New Roman" w:eastAsia="仿宋" w:cs="Times New Roman"/>
                <w:i w:val="0"/>
                <w:iCs w:val="0"/>
                <w:color w:val="000000"/>
                <w:kern w:val="0"/>
                <w:sz w:val="22"/>
                <w:szCs w:val="22"/>
                <w:u w:val="none"/>
                <w:lang w:val="en-US" w:eastAsia="zh-CN" w:bidi="ar"/>
              </w:rPr>
              <w:t>​</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B6BAE">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0E064">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768C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C4B9D">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910A3">
            <w:pPr>
              <w:jc w:val="right"/>
              <w:rPr>
                <w:rFonts w:hint="eastAsia" w:ascii="仿宋" w:hAnsi="仿宋" w:eastAsia="仿宋" w:cs="仿宋"/>
                <w:b/>
                <w:bCs/>
                <w:i w:val="0"/>
                <w:iCs w:val="0"/>
                <w:color w:val="000000"/>
                <w:sz w:val="22"/>
                <w:szCs w:val="22"/>
                <w:u w:val="none"/>
              </w:rPr>
            </w:pPr>
          </w:p>
        </w:tc>
      </w:tr>
      <w:tr w14:paraId="26C24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5D659">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68649">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45A59">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0F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分辨率：最高360dpi，信函质量模式下分辨率360×180dpi，打印字迹清晰、无模糊，适配墓穴编号、亲属信息等精细内容打印。</w:t>
            </w:r>
            <w:r>
              <w:rPr>
                <w:rFonts w:hint="default" w:ascii="Times New Roman" w:hAnsi="Times New Roman" w:eastAsia="仿宋" w:cs="Times New Roman"/>
                <w:i w:val="0"/>
                <w:iCs w:val="0"/>
                <w:color w:val="000000"/>
                <w:kern w:val="0"/>
                <w:sz w:val="22"/>
                <w:szCs w:val="22"/>
                <w:u w:val="none"/>
                <w:lang w:val="en-US" w:eastAsia="zh-CN" w:bidi="ar"/>
              </w:rPr>
              <w:t>​</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CD84A">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643B9">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34963">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2A82E">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05C81">
            <w:pPr>
              <w:jc w:val="right"/>
              <w:rPr>
                <w:rFonts w:hint="eastAsia" w:ascii="仿宋" w:hAnsi="仿宋" w:eastAsia="仿宋" w:cs="仿宋"/>
                <w:b/>
                <w:bCs/>
                <w:i w:val="0"/>
                <w:iCs w:val="0"/>
                <w:color w:val="000000"/>
                <w:sz w:val="22"/>
                <w:szCs w:val="22"/>
                <w:u w:val="none"/>
              </w:rPr>
            </w:pPr>
          </w:p>
        </w:tc>
      </w:tr>
      <w:tr w14:paraId="5B13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96177">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AD689">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88C5A">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1AF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打印列数：94列（10cpi），适配园区常规尺寸的墓穴信息单据、台账打印，兼顾实用性与便捷性。</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C9D22">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EC9F4">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23331">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E2DF6">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B9BA5">
            <w:pPr>
              <w:jc w:val="right"/>
              <w:rPr>
                <w:rFonts w:hint="eastAsia" w:ascii="仿宋" w:hAnsi="仿宋" w:eastAsia="仿宋" w:cs="仿宋"/>
                <w:b/>
                <w:bCs/>
                <w:i w:val="0"/>
                <w:iCs w:val="0"/>
                <w:color w:val="000000"/>
                <w:sz w:val="22"/>
                <w:szCs w:val="22"/>
                <w:u w:val="none"/>
              </w:rPr>
            </w:pPr>
          </w:p>
        </w:tc>
      </w:tr>
      <w:tr w14:paraId="77C0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C9336">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DC5E9">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AD195">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13BB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纸张厚度：最大打印厚度2.6mm，可适配单页纸、多联表格、墓穴信息卡片、存折等多种纸张类型，覆盖园区各类办公场景。</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DC2C8">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9314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0D925">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D1A7D">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13041">
            <w:pPr>
              <w:jc w:val="right"/>
              <w:rPr>
                <w:rFonts w:hint="eastAsia" w:ascii="仿宋" w:hAnsi="仿宋" w:eastAsia="仿宋" w:cs="仿宋"/>
                <w:b/>
                <w:bCs/>
                <w:i w:val="0"/>
                <w:iCs w:val="0"/>
                <w:color w:val="000000"/>
                <w:sz w:val="22"/>
                <w:szCs w:val="22"/>
                <w:u w:val="none"/>
              </w:rPr>
            </w:pPr>
          </w:p>
        </w:tc>
      </w:tr>
      <w:tr w14:paraId="0E48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ABADF">
            <w:pPr>
              <w:jc w:val="center"/>
              <w:rPr>
                <w:rFonts w:hint="eastAsia" w:ascii="仿宋" w:hAnsi="仿宋" w:eastAsia="仿宋" w:cs="仿宋"/>
                <w:i w:val="0"/>
                <w:iCs w:val="0"/>
                <w:color w:val="000000"/>
                <w:sz w:val="22"/>
                <w:szCs w:val="22"/>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610B3">
            <w:pPr>
              <w:jc w:val="center"/>
              <w:rPr>
                <w:rFonts w:hint="eastAsia" w:ascii="仿宋" w:hAnsi="仿宋" w:eastAsia="仿宋" w:cs="仿宋"/>
                <w:i w:val="0"/>
                <w:iCs w:val="0"/>
                <w:color w:val="000000"/>
                <w:sz w:val="22"/>
                <w:szCs w:val="22"/>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183FB">
            <w:pPr>
              <w:jc w:val="center"/>
              <w:rPr>
                <w:rFonts w:hint="eastAsia" w:ascii="仿宋" w:hAnsi="仿宋" w:eastAsia="仿宋" w:cs="仿宋"/>
                <w:i w:val="0"/>
                <w:iCs w:val="0"/>
                <w:color w:val="000000"/>
                <w:sz w:val="22"/>
                <w:szCs w:val="22"/>
                <w:u w:val="none"/>
              </w:rPr>
            </w:pP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33F4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（须提供具有CMA或CNAS标志的产品质量检验机构出具的检验报告复印件加盖公章佐证）</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C44B2">
            <w:pPr>
              <w:jc w:val="center"/>
              <w:rPr>
                <w:rFonts w:hint="eastAsia" w:ascii="仿宋" w:hAnsi="仿宋" w:eastAsia="仿宋" w:cs="仿宋"/>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693AB">
            <w:pPr>
              <w:jc w:val="center"/>
              <w:rPr>
                <w:rFonts w:hint="eastAsia" w:ascii="仿宋" w:hAnsi="仿宋" w:eastAsia="仿宋" w:cs="仿宋"/>
                <w:i w:val="0"/>
                <w:iCs w:val="0"/>
                <w:color w:val="000000"/>
                <w:sz w:val="22"/>
                <w:szCs w:val="22"/>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C7179">
            <w:pPr>
              <w:jc w:val="center"/>
              <w:rPr>
                <w:rFonts w:hint="eastAsia" w:ascii="仿宋" w:hAnsi="仿宋" w:eastAsia="仿宋" w:cs="仿宋"/>
                <w:i w:val="0"/>
                <w:iCs w:val="0"/>
                <w:color w:val="000000"/>
                <w:sz w:val="22"/>
                <w:szCs w:val="22"/>
                <w:u w:val="none"/>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D76FA">
            <w:pPr>
              <w:jc w:val="center"/>
              <w:rPr>
                <w:rFonts w:hint="eastAsia" w:ascii="仿宋" w:hAnsi="仿宋" w:eastAsia="仿宋" w:cs="仿宋"/>
                <w:i w:val="0"/>
                <w:iCs w:val="0"/>
                <w:color w:val="000000"/>
                <w:sz w:val="22"/>
                <w:szCs w:val="22"/>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3372E">
            <w:pPr>
              <w:jc w:val="right"/>
              <w:rPr>
                <w:rFonts w:hint="eastAsia" w:ascii="仿宋" w:hAnsi="仿宋" w:eastAsia="仿宋" w:cs="仿宋"/>
                <w:b/>
                <w:bCs/>
                <w:i w:val="0"/>
                <w:iCs w:val="0"/>
                <w:color w:val="000000"/>
                <w:sz w:val="22"/>
                <w:szCs w:val="22"/>
                <w:u w:val="none"/>
              </w:rPr>
            </w:pPr>
          </w:p>
        </w:tc>
      </w:tr>
      <w:tr w14:paraId="50B1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ABF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BA611">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5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平板电脑</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9DF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供业务员外出巡查、现场办理业务（如墓穴信息核对、维护记录录入），12G+256G，屏幕尺寸</w:t>
            </w:r>
            <w:r>
              <w:rPr>
                <w:rFonts w:hint="eastAsia" w:ascii="宋体" w:hAnsi="宋体" w:eastAsia="宋体" w:cs="宋体"/>
                <w:i w:val="0"/>
                <w:iCs w:val="0"/>
                <w:color w:val="000000"/>
                <w:kern w:val="0"/>
                <w:sz w:val="22"/>
                <w:szCs w:val="22"/>
                <w:u w:val="none"/>
                <w:lang w:val="en-US" w:eastAsia="zh-CN" w:bidi="ar"/>
              </w:rPr>
              <w:t>≧</w:t>
            </w:r>
            <w:r>
              <w:rPr>
                <w:rFonts w:hint="eastAsia" w:ascii="仿宋" w:hAnsi="仿宋" w:eastAsia="仿宋" w:cs="仿宋"/>
                <w:i w:val="0"/>
                <w:iCs w:val="0"/>
                <w:color w:val="000000"/>
                <w:kern w:val="0"/>
                <w:sz w:val="22"/>
                <w:szCs w:val="22"/>
                <w:u w:val="none"/>
                <w:lang w:val="en-US" w:eastAsia="zh-CN" w:bidi="ar"/>
              </w:rPr>
              <w:t>11寸，（含平板外置电话网卡）。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1B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B23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3C47">
            <w:pPr>
              <w:jc w:val="center"/>
              <w:rPr>
                <w:rFonts w:hint="eastAsia" w:ascii="仿宋" w:hAnsi="仿宋" w:eastAsia="仿宋" w:cs="仿宋"/>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17719">
            <w:pPr>
              <w:jc w:val="center"/>
              <w:rPr>
                <w:rFonts w:hint="eastAsia" w:ascii="仿宋" w:hAnsi="仿宋" w:eastAsia="仿宋" w:cs="仿宋"/>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464B7">
            <w:pPr>
              <w:jc w:val="right"/>
              <w:rPr>
                <w:rFonts w:hint="eastAsia" w:ascii="仿宋" w:hAnsi="仿宋" w:eastAsia="仿宋" w:cs="仿宋"/>
                <w:b/>
                <w:bCs/>
                <w:i w:val="0"/>
                <w:iCs w:val="0"/>
                <w:color w:val="000000"/>
                <w:sz w:val="22"/>
                <w:szCs w:val="22"/>
                <w:u w:val="none"/>
              </w:rPr>
            </w:pPr>
          </w:p>
        </w:tc>
      </w:tr>
      <w:tr w14:paraId="56F1C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0F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F7D24">
            <w:pPr>
              <w:jc w:val="center"/>
              <w:rPr>
                <w:rFonts w:hint="eastAsia" w:ascii="仿宋" w:hAnsi="仿宋" w:eastAsia="仿宋" w:cs="仿宋"/>
                <w:i w:val="0"/>
                <w:iCs w:val="0"/>
                <w:color w:val="000000"/>
                <w:sz w:val="22"/>
                <w:szCs w:val="22"/>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E2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信息发布屏</w:t>
            </w:r>
          </w:p>
        </w:tc>
        <w:tc>
          <w:tcPr>
            <w:tcW w:w="27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291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屏幕尺寸43寸。</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F72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DB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49D7A">
            <w:pPr>
              <w:jc w:val="center"/>
              <w:rPr>
                <w:rFonts w:hint="eastAsia" w:ascii="仿宋" w:hAnsi="仿宋" w:eastAsia="仿宋" w:cs="仿宋"/>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151EE">
            <w:pPr>
              <w:jc w:val="center"/>
              <w:rPr>
                <w:rFonts w:hint="eastAsia" w:ascii="仿宋" w:hAnsi="仿宋" w:eastAsia="仿宋" w:cs="仿宋"/>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0FA63">
            <w:pPr>
              <w:jc w:val="right"/>
              <w:rPr>
                <w:rFonts w:hint="eastAsia" w:ascii="仿宋" w:hAnsi="仿宋" w:eastAsia="仿宋" w:cs="仿宋"/>
                <w:b/>
                <w:bCs/>
                <w:i w:val="0"/>
                <w:iCs w:val="0"/>
                <w:color w:val="000000"/>
                <w:sz w:val="22"/>
                <w:szCs w:val="22"/>
                <w:u w:val="none"/>
              </w:rPr>
            </w:pPr>
          </w:p>
        </w:tc>
      </w:tr>
      <w:tr w14:paraId="23A64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6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848E">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总计：</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B965">
            <w:pPr>
              <w:jc w:val="center"/>
              <w:rPr>
                <w:rFonts w:hint="eastAsia" w:ascii="仿宋" w:hAnsi="仿宋" w:eastAsia="仿宋" w:cs="仿宋"/>
                <w:b/>
                <w:bCs/>
                <w:i w:val="0"/>
                <w:iCs w:val="0"/>
                <w:color w:val="000000"/>
                <w:sz w:val="22"/>
                <w:szCs w:val="22"/>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3EA18">
            <w:pPr>
              <w:jc w:val="center"/>
              <w:rPr>
                <w:rFonts w:hint="eastAsia" w:ascii="仿宋" w:hAnsi="仿宋" w:eastAsia="仿宋" w:cs="仿宋"/>
                <w:b/>
                <w:bCs/>
                <w:i w:val="0"/>
                <w:iCs w:val="0"/>
                <w:color w:val="000000"/>
                <w:sz w:val="22"/>
                <w:szCs w:val="22"/>
                <w:u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12ED2">
            <w:pPr>
              <w:jc w:val="center"/>
              <w:rPr>
                <w:rFonts w:hint="eastAsia" w:ascii="仿宋" w:hAnsi="仿宋" w:eastAsia="仿宋" w:cs="仿宋"/>
                <w:b/>
                <w:bCs/>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AFE1">
            <w:pPr>
              <w:jc w:val="center"/>
              <w:rPr>
                <w:rFonts w:hint="eastAsia" w:ascii="仿宋" w:hAnsi="仿宋" w:eastAsia="仿宋" w:cs="仿宋"/>
                <w:b/>
                <w:bCs/>
                <w:i w:val="0"/>
                <w:iCs w:val="0"/>
                <w:color w:val="000000"/>
                <w:sz w:val="22"/>
                <w:szCs w:val="22"/>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8B2F">
            <w:pPr>
              <w:jc w:val="center"/>
              <w:rPr>
                <w:rFonts w:hint="eastAsia" w:ascii="仿宋" w:hAnsi="仿宋" w:eastAsia="仿宋" w:cs="仿宋"/>
                <w:b/>
                <w:bCs/>
                <w:i w:val="0"/>
                <w:iCs w:val="0"/>
                <w:color w:val="000000"/>
                <w:sz w:val="22"/>
                <w:szCs w:val="22"/>
                <w:u w:val="none"/>
              </w:rPr>
            </w:pPr>
          </w:p>
        </w:tc>
      </w:tr>
      <w:tr w14:paraId="052CA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4FD1">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备注：以上报价含关联安徽省殡葬管理系统费用、2年内日常维护费、税金（13%，提供增值税专用发票），软件部署服务器由中标方提供，质保期满后，费用包含在日常维护费用内。</w:t>
            </w:r>
          </w:p>
          <w:p w14:paraId="1D0DDAA4">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1、操作培训：中标方免费提供操作培训，在系统搭建后开展人员培训，满足采购人正常使用。</w:t>
            </w:r>
          </w:p>
          <w:p w14:paraId="485952C4">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2、免费维保：系统提供2年免费日常运维保障，中标方负责系统7×24小时稳定运行，定期对程序、数据库、接口、服务器进行巡检并形成书面运维记录；建立专人对接机制，1小时内响应、4小时内排查、24小时内解决故障与业务咨询，确保系统不间断服务；运维包含功能优化、漏洞修复、接口适配、数据同步保障，采购人不支付任何额外费用；系统维保期间，采购人提供的墓区全景图片及时更新至VR系统，中标方不得额外收取费用。</w:t>
            </w:r>
          </w:p>
          <w:p w14:paraId="1532A94A">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3、系统对接要求：应与安徽省殡葬管理系统选择性单通关联，系统对接所需的全部技术开发、接口调试、数据映射、沟通协调、第三方费用及相关成本均由中标方自行承担，采购人不支付任何额外费用；中标方须确保对接成功、数据准确可追溯，对接不成功、数据不合规不予验收。</w:t>
            </w:r>
          </w:p>
          <w:p w14:paraId="3C80B2AC">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4、付费维保：免费维保期满后进入付费维保期，年度维保费用以中标报价为准，合同一年一签，经采购人考核合格后续签下一年度合同，维保费用不得超过系统建设（不含硬件设备投入）的10%。</w:t>
            </w:r>
          </w:p>
          <w:p w14:paraId="1E81DA43">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5、系统所需服务器、运行环境及网络安全防护由中标方免费提供并全权负责部署、运维与安全保障，服务期内不额外收取费用。服务器须具备数据备份、容灾、防篡改、日志审计等安全能力，每半年开展灾备演练，出具灾备演练报告。项目所有数据（含基础数据、业务数据、档案、图片）产权与使用权均归采购方所有，合同终止或到期后，中标方须无条件完整导出全量数据交付采购方，并删除服务器留存数据，不得留存、使用或泄露。</w:t>
            </w:r>
          </w:p>
          <w:p w14:paraId="543FFF83">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6、平板业务服务系统由中标方提供完整离线安装包，采购方后期可自行采购平板安装此软件，安装与使用过程不强制厂商远程协助，相关权限归采购方所有。</w:t>
            </w:r>
          </w:p>
          <w:p w14:paraId="6D8E0BE0">
            <w:pPr>
              <w:jc w:val="left"/>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sz w:val="22"/>
                <w:szCs w:val="22"/>
                <w:u w:val="none"/>
              </w:rPr>
              <w:t>7、中标方与采购方签订保密协议后，中标方应无偿向采购方移交完整可编译软件源代码、标准数据字典、系统架构文档等全部技术成果，全权配合采购方单独申请办理软件著作权，著作权最终归属采购方所有，办证流程、材料、费用均由中标方负责完成。</w:t>
            </w:r>
          </w:p>
          <w:p w14:paraId="26CFEB0B">
            <w:pPr>
              <w:jc w:val="left"/>
              <w:rPr>
                <w:rFonts w:hint="eastAsia" w:ascii="仿宋" w:hAnsi="仿宋" w:eastAsia="仿宋" w:cs="仿宋"/>
                <w:b/>
                <w:bCs/>
                <w:i w:val="0"/>
                <w:iCs w:val="0"/>
                <w:color w:val="000000"/>
                <w:sz w:val="22"/>
                <w:szCs w:val="22"/>
                <w:u w:val="none"/>
              </w:rPr>
            </w:pPr>
            <w:r>
              <w:rPr>
                <w:rFonts w:hint="eastAsia" w:ascii="仿宋" w:hAnsi="仿宋" w:eastAsia="仿宋" w:cs="仿宋"/>
                <w:b w:val="0"/>
                <w:bCs w:val="0"/>
                <w:i w:val="0"/>
                <w:iCs w:val="0"/>
                <w:color w:val="000000"/>
                <w:sz w:val="22"/>
                <w:szCs w:val="22"/>
                <w:u w:val="none"/>
              </w:rPr>
              <w:t>8、平板业务服务系统由中标方提供完整可用的离线安装包，采购方后期可自行采购平板设备安装该软件，软件安装与使用过程中不强制要求厂商提供远程协助，相关使用及操作权限均归采购方所有。</w:t>
            </w:r>
          </w:p>
        </w:tc>
      </w:tr>
    </w:tbl>
    <w:p w14:paraId="3C8A3FCE">
      <w:pPr>
        <w:rPr>
          <w:rFonts w:hint="eastAsia" w:ascii="宋体" w:hAnsi="宋体" w:cs="宋体"/>
          <w:b/>
          <w:bCs/>
          <w:color w:val="auto"/>
          <w:kern w:val="2"/>
          <w:sz w:val="30"/>
          <w:szCs w:val="30"/>
          <w:highlight w:val="none"/>
          <w:lang w:val="en-US" w:eastAsia="zh-CN"/>
        </w:rPr>
        <w:sectPr>
          <w:pgSz w:w="16838" w:h="11906" w:orient="landscape"/>
          <w:pgMar w:top="1531" w:right="1440" w:bottom="1531" w:left="1440" w:header="851" w:footer="992" w:gutter="0"/>
          <w:pgNumType w:fmt="decimal"/>
          <w:cols w:space="425" w:num="1"/>
          <w:docGrid w:type="lines" w:linePitch="312" w:charSpace="0"/>
        </w:sectPr>
      </w:pP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516969106"/>
      <w:bookmarkStart w:id="67" w:name="_Toc172171561"/>
      <w:bookmarkStart w:id="68" w:name="_Toc121626298"/>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4"/>
        <w:ind w:left="0" w:leftChars="0" w:firstLine="0" w:firstLineChars="0"/>
        <w:rPr>
          <w:rFonts w:hint="eastAsia" w:ascii="宋体" w:hAnsi="宋体" w:eastAsia="宋体" w:cs="宋体"/>
          <w:b w:val="0"/>
          <w:bCs w:val="0"/>
          <w:color w:val="auto"/>
          <w:sz w:val="24"/>
          <w:szCs w:val="24"/>
          <w:highlight w:val="none"/>
        </w:rPr>
      </w:pPr>
    </w:p>
    <w:p w14:paraId="084E8891">
      <w:pPr>
        <w:pStyle w:val="16"/>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6"/>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5"/>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eastAsia" w:ascii="宋体" w:hAnsi="宋体" w:cs="宋体"/>
          <w:b/>
          <w:bCs/>
          <w:color w:val="auto"/>
          <w:spacing w:val="119"/>
          <w:sz w:val="24"/>
          <w:szCs w:val="24"/>
          <w:highlight w:val="none"/>
          <w:u w:val="singl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3A0959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pacing w:val="119"/>
          <w:sz w:val="24"/>
          <w:szCs w:val="24"/>
          <w:highlight w:val="none"/>
          <w:u w:val="single"/>
          <w:lang w:val="en-US" w:bidi="zh-CN"/>
        </w:rPr>
      </w:pPr>
    </w:p>
    <w:tbl>
      <w:tblPr>
        <w:tblStyle w:val="36"/>
        <w:tblW w:w="91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25"/>
        <w:gridCol w:w="2320"/>
        <w:gridCol w:w="4859"/>
      </w:tblGrid>
      <w:tr w14:paraId="6B703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1925" w:type="dxa"/>
            <w:noWrap w:val="0"/>
            <w:vAlign w:val="center"/>
          </w:tcPr>
          <w:p w14:paraId="1C68BC8E">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供应商名称</w:t>
            </w:r>
          </w:p>
        </w:tc>
        <w:tc>
          <w:tcPr>
            <w:tcW w:w="7179" w:type="dxa"/>
            <w:gridSpan w:val="2"/>
            <w:noWrap w:val="0"/>
            <w:vAlign w:val="center"/>
          </w:tcPr>
          <w:p w14:paraId="068D7382">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p>
        </w:tc>
      </w:tr>
      <w:tr w14:paraId="29D8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1925" w:type="dxa"/>
            <w:noWrap w:val="0"/>
            <w:vAlign w:val="center"/>
          </w:tcPr>
          <w:p w14:paraId="3A20CDE9">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bidi="zh-CN"/>
              </w:rPr>
              <w:t>谈判</w:t>
            </w:r>
            <w:r>
              <w:rPr>
                <w:rFonts w:ascii="宋体" w:hAnsi="宋体" w:cs="宋体"/>
                <w:b/>
                <w:color w:val="auto"/>
                <w:sz w:val="24"/>
                <w:szCs w:val="22"/>
                <w:highlight w:val="none"/>
                <w:lang w:val="zh-CN" w:bidi="zh-CN"/>
              </w:rPr>
              <w:t>范围</w:t>
            </w:r>
          </w:p>
        </w:tc>
        <w:tc>
          <w:tcPr>
            <w:tcW w:w="7179" w:type="dxa"/>
            <w:gridSpan w:val="2"/>
            <w:noWrap w:val="0"/>
            <w:vAlign w:val="center"/>
          </w:tcPr>
          <w:p w14:paraId="5EF641D0">
            <w:pPr>
              <w:keepNext w:val="0"/>
              <w:keepLines w:val="0"/>
              <w:pageBreakBefore w:val="0"/>
              <w:tabs>
                <w:tab w:val="left" w:pos="1547"/>
              </w:tabs>
              <w:kinsoku/>
              <w:wordWrap/>
              <w:overflowPunct/>
              <w:topLinePunct w:val="0"/>
              <w:autoSpaceDE w:val="0"/>
              <w:autoSpaceDN w:val="0"/>
              <w:bidi w:val="0"/>
              <w:adjustRightInd w:val="0"/>
              <w:snapToGrid w:val="0"/>
              <w:ind w:left="0" w:right="0"/>
              <w:jc w:val="left"/>
              <w:textAlignment w:val="auto"/>
              <w:rPr>
                <w:rFonts w:ascii="宋体" w:hAnsi="宋体" w:cs="宋体"/>
                <w:color w:val="auto"/>
                <w:sz w:val="24"/>
                <w:szCs w:val="22"/>
                <w:highlight w:val="none"/>
                <w:lang w:val="zh-CN" w:bidi="zh-CN"/>
              </w:rPr>
            </w:pPr>
            <w:r>
              <w:rPr>
                <w:rFonts w:ascii="宋体" w:hAnsi="宋体" w:cs="宋体"/>
                <w:color w:val="auto"/>
                <w:sz w:val="24"/>
                <w:szCs w:val="22"/>
                <w:highlight w:val="none"/>
                <w:lang w:val="zh-CN" w:bidi="zh-CN"/>
              </w:rPr>
              <w:t>全部 / 第</w:t>
            </w:r>
            <w:r>
              <w:rPr>
                <w:rFonts w:ascii="宋体" w:hAnsi="宋体" w:cs="宋体"/>
                <w:color w:val="auto"/>
                <w:sz w:val="24"/>
                <w:szCs w:val="22"/>
                <w:highlight w:val="none"/>
                <w:u w:val="single"/>
                <w:lang w:val="zh-CN" w:bidi="zh-CN"/>
              </w:rPr>
              <w:t xml:space="preserve"> </w:t>
            </w:r>
            <w:r>
              <w:rPr>
                <w:rFonts w:ascii="宋体" w:hAnsi="宋体" w:cs="宋体"/>
                <w:color w:val="auto"/>
                <w:sz w:val="24"/>
                <w:szCs w:val="22"/>
                <w:highlight w:val="none"/>
                <w:u w:val="single"/>
                <w:lang w:val="zh-CN" w:bidi="zh-CN"/>
              </w:rPr>
              <w:tab/>
            </w:r>
            <w:r>
              <w:rPr>
                <w:rFonts w:ascii="宋体" w:hAnsi="宋体" w:cs="宋体"/>
                <w:color w:val="auto"/>
                <w:sz w:val="24"/>
                <w:szCs w:val="22"/>
                <w:highlight w:val="none"/>
                <w:lang w:val="zh-CN" w:bidi="zh-CN"/>
              </w:rPr>
              <w:t>包</w:t>
            </w:r>
          </w:p>
        </w:tc>
      </w:tr>
      <w:tr w14:paraId="0C12C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atLeast"/>
          <w:jc w:val="center"/>
        </w:trPr>
        <w:tc>
          <w:tcPr>
            <w:tcW w:w="1925" w:type="dxa"/>
            <w:vMerge w:val="restart"/>
            <w:noWrap w:val="0"/>
            <w:vAlign w:val="center"/>
          </w:tcPr>
          <w:p w14:paraId="298D449D">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val="en-US" w:bidi="zh-CN"/>
              </w:rPr>
              <w:t>投标报价</w:t>
            </w:r>
          </w:p>
        </w:tc>
        <w:tc>
          <w:tcPr>
            <w:tcW w:w="2320" w:type="dxa"/>
            <w:noWrap w:val="0"/>
            <w:vAlign w:val="center"/>
          </w:tcPr>
          <w:p w14:paraId="2FE34635">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rPr>
              <w:t>系统</w:t>
            </w:r>
            <w:r>
              <w:rPr>
                <w:rFonts w:hint="eastAsia" w:ascii="宋体" w:hAnsi="宋体" w:cs="宋体"/>
                <w:bCs/>
                <w:color w:val="auto"/>
                <w:sz w:val="24"/>
                <w:szCs w:val="24"/>
                <w:highlight w:val="none"/>
                <w:lang w:val="en-US" w:eastAsia="zh-CN"/>
              </w:rPr>
              <w:t>建设</w:t>
            </w:r>
          </w:p>
          <w:p w14:paraId="49E37FE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Ansi="宋体" w:eastAsia="Times New Roman" w:cs="宋体"/>
                <w:color w:val="auto"/>
                <w:sz w:val="24"/>
                <w:szCs w:val="22"/>
                <w:highlight w:val="none"/>
                <w:lang w:val="zh-CN" w:bidi="zh-CN"/>
              </w:rPr>
            </w:pPr>
            <w:r>
              <w:rPr>
                <w:rFonts w:hint="eastAsia" w:ascii="宋体" w:hAnsi="宋体" w:cs="宋体"/>
                <w:bCs/>
                <w:color w:val="auto"/>
                <w:sz w:val="24"/>
                <w:szCs w:val="24"/>
                <w:highlight w:val="none"/>
                <w:lang w:val="en-US" w:eastAsia="zh-CN"/>
              </w:rPr>
              <w:t>（须提供13%增值税专用发票）</w:t>
            </w:r>
          </w:p>
        </w:tc>
        <w:tc>
          <w:tcPr>
            <w:tcW w:w="4859" w:type="dxa"/>
            <w:noWrap w:val="0"/>
            <w:vAlign w:val="center"/>
          </w:tcPr>
          <w:p w14:paraId="55C12AC6">
            <w:pPr>
              <w:keepNext w:val="0"/>
              <w:keepLines w:val="0"/>
              <w:pageBreakBefore w:val="0"/>
              <w:widowControl/>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lang w:val="en-US" w:eastAsia="zh-CN"/>
              </w:rPr>
              <w:t>元</w:t>
            </w:r>
          </w:p>
          <w:p w14:paraId="6330A8B0">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Ansi="宋体" w:eastAsia="Times New Roman" w:cs="宋体"/>
                <w:color w:val="auto"/>
                <w:sz w:val="24"/>
                <w:szCs w:val="22"/>
                <w:highlight w:val="none"/>
                <w:lang w:val="zh-CN" w:bidi="zh-CN"/>
              </w:rPr>
            </w:pPr>
            <w:r>
              <w:rPr>
                <w:rFonts w:hint="eastAsia" w:ascii="宋体" w:hAnsi="宋体" w:cs="宋体"/>
                <w:bCs/>
                <w:color w:val="auto"/>
                <w:sz w:val="24"/>
                <w:szCs w:val="24"/>
                <w:highlight w:val="none"/>
                <w:lang w:val="en-US" w:eastAsia="zh-CN"/>
              </w:rPr>
              <w:t>大写：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p>
        </w:tc>
      </w:tr>
      <w:tr w14:paraId="51065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9" w:hRule="atLeast"/>
          <w:jc w:val="center"/>
        </w:trPr>
        <w:tc>
          <w:tcPr>
            <w:tcW w:w="1925" w:type="dxa"/>
            <w:vMerge w:val="continue"/>
            <w:noWrap w:val="0"/>
            <w:vAlign w:val="center"/>
          </w:tcPr>
          <w:p w14:paraId="7238F4FA">
            <w:pPr>
              <w:keepNext w:val="0"/>
              <w:keepLines w:val="0"/>
              <w:pageBreakBefore w:val="0"/>
              <w:kinsoku/>
              <w:wordWrap/>
              <w:overflowPunct/>
              <w:topLinePunct w:val="0"/>
              <w:bidi w:val="0"/>
              <w:adjustRightInd w:val="0"/>
              <w:snapToGrid w:val="0"/>
              <w:spacing w:line="640" w:lineRule="exact"/>
              <w:ind w:left="0" w:right="0"/>
              <w:jc w:val="left"/>
              <w:textAlignment w:val="auto"/>
              <w:rPr>
                <w:color w:val="auto"/>
                <w:highlight w:val="none"/>
              </w:rPr>
            </w:pPr>
          </w:p>
        </w:tc>
        <w:tc>
          <w:tcPr>
            <w:tcW w:w="2320" w:type="dxa"/>
            <w:noWrap w:val="0"/>
            <w:vAlign w:val="center"/>
          </w:tcPr>
          <w:p w14:paraId="33BBDF1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付费维保</w:t>
            </w:r>
          </w:p>
          <w:p w14:paraId="545C6D6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color w:val="auto"/>
                <w:highlight w:val="none"/>
              </w:rPr>
            </w:pPr>
            <w:r>
              <w:rPr>
                <w:rFonts w:hint="eastAsia" w:ascii="宋体" w:hAnsi="宋体" w:cs="宋体"/>
                <w:bCs/>
                <w:color w:val="auto"/>
                <w:sz w:val="24"/>
                <w:szCs w:val="24"/>
                <w:highlight w:val="none"/>
                <w:lang w:val="en-US" w:eastAsia="zh-CN"/>
              </w:rPr>
              <w:t>（须提供6%增值税专用发票）</w:t>
            </w:r>
          </w:p>
        </w:tc>
        <w:tc>
          <w:tcPr>
            <w:tcW w:w="4859" w:type="dxa"/>
            <w:noWrap w:val="0"/>
            <w:vAlign w:val="center"/>
          </w:tcPr>
          <w:p w14:paraId="6562612C">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lang w:val="en-US" w:eastAsia="zh-CN"/>
              </w:rPr>
              <w:t>元/年</w:t>
            </w:r>
          </w:p>
          <w:p w14:paraId="5675C966">
            <w:pPr>
              <w:widowControl/>
              <w:adjustRightInd w:val="0"/>
              <w:snapToGrid w:val="0"/>
              <w:spacing w:line="320" w:lineRule="auto"/>
              <w:ind w:firstLine="480" w:firstLineChars="200"/>
              <w:rPr>
                <w:rFonts w:hAnsi="宋体" w:eastAsia="Times New Roman" w:cs="宋体"/>
                <w:color w:val="auto"/>
                <w:sz w:val="24"/>
                <w:szCs w:val="22"/>
                <w:highlight w:val="none"/>
                <w:lang w:val="zh-CN" w:bidi="zh-CN"/>
              </w:rPr>
            </w:pPr>
            <w:r>
              <w:rPr>
                <w:rFonts w:hint="eastAsia" w:ascii="宋体" w:hAnsi="宋体" w:cs="宋体"/>
                <w:bCs/>
                <w:color w:val="auto"/>
                <w:sz w:val="24"/>
                <w:szCs w:val="24"/>
                <w:highlight w:val="none"/>
                <w:lang w:val="en-US" w:eastAsia="zh-CN"/>
              </w:rPr>
              <w:t>大写：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cs="宋体"/>
                <w:b w:val="0"/>
                <w:bCs w:val="0"/>
                <w:color w:val="auto"/>
                <w:sz w:val="24"/>
                <w:szCs w:val="24"/>
                <w:highlight w:val="none"/>
                <w:u w:val="none"/>
                <w:lang w:val="en-US" w:eastAsia="zh-CN"/>
              </w:rPr>
              <w:t>/年</w:t>
            </w:r>
          </w:p>
        </w:tc>
      </w:tr>
      <w:tr w14:paraId="42619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1925" w:type="dxa"/>
            <w:noWrap w:val="0"/>
            <w:vAlign w:val="center"/>
          </w:tcPr>
          <w:p w14:paraId="24F5AD1C">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备注说明</w:t>
            </w:r>
          </w:p>
        </w:tc>
        <w:tc>
          <w:tcPr>
            <w:tcW w:w="7179" w:type="dxa"/>
            <w:gridSpan w:val="2"/>
            <w:noWrap w:val="0"/>
            <w:vAlign w:val="center"/>
          </w:tcPr>
          <w:p w14:paraId="503CDC04">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r>
              <w:rPr>
                <w:rFonts w:hint="eastAsia" w:ascii="宋体" w:hAnsi="宋体" w:cs="宋体"/>
                <w:b/>
                <w:color w:val="auto"/>
                <w:highlight w:val="none"/>
              </w:rPr>
              <w:t>付费维保</w:t>
            </w:r>
            <w:r>
              <w:rPr>
                <w:rFonts w:hint="eastAsia" w:ascii="宋体" w:hAnsi="宋体" w:cs="宋体"/>
                <w:b/>
                <w:color w:val="auto"/>
                <w:highlight w:val="none"/>
                <w:lang w:val="en-US" w:eastAsia="zh-CN"/>
              </w:rPr>
              <w:t>年度费用</w:t>
            </w:r>
            <w:r>
              <w:rPr>
                <w:rFonts w:hint="eastAsia" w:ascii="宋体" w:hAnsi="宋体" w:cs="宋体"/>
                <w:b/>
                <w:color w:val="auto"/>
                <w:highlight w:val="none"/>
              </w:rPr>
              <w:t>不高于系统建设（不含硬件设备投入）</w:t>
            </w:r>
            <w:r>
              <w:rPr>
                <w:rFonts w:hint="eastAsia" w:ascii="宋体" w:hAnsi="宋体" w:cs="宋体"/>
                <w:b/>
                <w:color w:val="auto"/>
                <w:highlight w:val="none"/>
                <w:lang w:val="en-US" w:eastAsia="zh-CN"/>
              </w:rPr>
              <w:t>报价的</w:t>
            </w:r>
            <w:r>
              <w:rPr>
                <w:rFonts w:hint="eastAsia" w:ascii="宋体" w:hAnsi="宋体" w:cs="宋体"/>
                <w:b/>
                <w:color w:val="auto"/>
                <w:highlight w:val="none"/>
              </w:rPr>
              <w:t>10%</w:t>
            </w:r>
            <w:r>
              <w:rPr>
                <w:rFonts w:hint="eastAsia" w:ascii="宋体" w:hAnsi="宋体" w:cs="宋体"/>
                <w:b/>
                <w:color w:val="auto"/>
                <w:highlight w:val="none"/>
                <w:lang w:eastAsia="zh-CN"/>
              </w:rPr>
              <w:t>。</w:t>
            </w:r>
          </w:p>
        </w:tc>
      </w:tr>
    </w:tbl>
    <w:p w14:paraId="6FAE50E6">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3865D592">
      <w:pPr>
        <w:autoSpaceDE w:val="0"/>
        <w:autoSpaceDN w:val="0"/>
        <w:spacing w:before="66" w:line="364" w:lineRule="auto"/>
        <w:ind w:right="353"/>
        <w:rPr>
          <w:rFonts w:ascii="宋体" w:hAnsi="宋体" w:cs="宋体"/>
          <w:b/>
          <w:color w:val="auto"/>
          <w:spacing w:val="-9"/>
          <w:sz w:val="24"/>
          <w:szCs w:val="24"/>
          <w:highlight w:val="none"/>
          <w:lang w:val="zh-CN" w:bidi="zh-CN"/>
        </w:rPr>
      </w:pPr>
      <w:r>
        <w:rPr>
          <w:rFonts w:ascii="宋体" w:hAnsi="宋体" w:cs="宋体"/>
          <w:b/>
          <w:color w:val="auto"/>
          <w:spacing w:val="-9"/>
          <w:sz w:val="24"/>
          <w:szCs w:val="24"/>
          <w:highlight w:val="none"/>
          <w:lang w:val="zh-CN" w:bidi="zh-CN"/>
        </w:rPr>
        <w:t>注：</w:t>
      </w:r>
    </w:p>
    <w:p w14:paraId="59B4FBC5">
      <w:pPr>
        <w:autoSpaceDE w:val="0"/>
        <w:autoSpaceDN w:val="0"/>
        <w:spacing w:before="66" w:line="364" w:lineRule="auto"/>
        <w:ind w:right="353"/>
        <w:rPr>
          <w:b w:val="0"/>
          <w:bCs/>
          <w:color w:val="auto"/>
          <w:highlight w:val="none"/>
        </w:rPr>
      </w:pPr>
      <w:r>
        <w:rPr>
          <w:rFonts w:hint="eastAsia" w:ascii="宋体" w:hAnsi="宋体" w:cs="宋体"/>
          <w:b w:val="0"/>
          <w:bCs/>
          <w:color w:val="auto"/>
          <w:spacing w:val="-9"/>
          <w:sz w:val="24"/>
          <w:szCs w:val="24"/>
          <w:highlight w:val="none"/>
          <w:lang w:val="en-US" w:bidi="zh-CN"/>
        </w:rPr>
        <w:t>1、</w:t>
      </w:r>
      <w:r>
        <w:rPr>
          <w:rFonts w:ascii="宋体" w:hAnsi="宋体" w:eastAsia="宋体" w:cs="宋体"/>
          <w:b w:val="0"/>
          <w:bCs/>
          <w:color w:val="auto"/>
          <w:spacing w:val="-5"/>
          <w:sz w:val="24"/>
          <w:szCs w:val="24"/>
          <w:highlight w:val="none"/>
          <w:lang w:val="zh-CN" w:bidi="zh-CN"/>
        </w:rPr>
        <w:t>本页《</w:t>
      </w:r>
      <w:r>
        <w:rPr>
          <w:rFonts w:hint="eastAsia" w:ascii="宋体" w:hAnsi="宋体" w:eastAsia="宋体" w:cs="宋体"/>
          <w:b w:val="0"/>
          <w:bCs/>
          <w:color w:val="auto"/>
          <w:spacing w:val="-5"/>
          <w:sz w:val="24"/>
          <w:szCs w:val="24"/>
          <w:highlight w:val="none"/>
          <w:lang w:val="en-US" w:bidi="zh-CN"/>
        </w:rPr>
        <w:t>最终承诺</w:t>
      </w:r>
      <w:r>
        <w:rPr>
          <w:rFonts w:ascii="宋体" w:hAnsi="宋体" w:eastAsia="宋体" w:cs="宋体"/>
          <w:b w:val="0"/>
          <w:bCs/>
          <w:color w:val="auto"/>
          <w:spacing w:val="-5"/>
          <w:sz w:val="24"/>
          <w:szCs w:val="24"/>
          <w:highlight w:val="none"/>
          <w:lang w:val="zh-CN" w:bidi="zh-CN"/>
        </w:rPr>
        <w:t>报价表》由供应商在现场依</w:t>
      </w:r>
      <w:r>
        <w:rPr>
          <w:rFonts w:hint="eastAsia" w:ascii="宋体" w:hAnsi="宋体" w:eastAsia="宋体" w:cs="宋体"/>
          <w:b w:val="0"/>
          <w:bCs/>
          <w:color w:val="auto"/>
          <w:spacing w:val="-5"/>
          <w:sz w:val="24"/>
          <w:szCs w:val="24"/>
          <w:highlight w:val="none"/>
          <w:lang w:val="zh-CN" w:bidi="zh-CN"/>
        </w:rPr>
        <w:t>谈判</w:t>
      </w:r>
      <w:r>
        <w:rPr>
          <w:rFonts w:ascii="宋体" w:hAnsi="宋体" w:eastAsia="宋体" w:cs="宋体"/>
          <w:b w:val="0"/>
          <w:bCs/>
          <w:color w:val="auto"/>
          <w:spacing w:val="-5"/>
          <w:sz w:val="24"/>
          <w:szCs w:val="24"/>
          <w:highlight w:val="none"/>
          <w:lang w:val="zh-CN" w:bidi="zh-CN"/>
        </w:rPr>
        <w:t>情况填写</w:t>
      </w:r>
      <w:r>
        <w:rPr>
          <w:rFonts w:ascii="宋体" w:hAnsi="宋体" w:cs="宋体"/>
          <w:b w:val="0"/>
          <w:bCs/>
          <w:color w:val="auto"/>
          <w:sz w:val="24"/>
          <w:szCs w:val="24"/>
          <w:highlight w:val="none"/>
          <w:lang w:val="zh-CN" w:bidi="zh-CN"/>
        </w:rPr>
        <w:t>。</w:t>
      </w:r>
      <w:r>
        <w:rPr>
          <w:rFonts w:hint="eastAsia" w:ascii="宋体" w:hAnsi="宋体" w:cs="宋体"/>
          <w:b w:val="0"/>
          <w:bCs/>
          <w:color w:val="auto"/>
          <w:sz w:val="24"/>
          <w:szCs w:val="24"/>
          <w:highlight w:val="none"/>
          <w:lang w:val="zh-CN" w:bidi="zh-CN"/>
        </w:rPr>
        <w:t>考虑谈判报价的方便，供应商在填写最后承诺报价后，（第一次报价-最后承诺报价）除以第一次报价后得出的优惠率视同</w:t>
      </w:r>
      <w:r>
        <w:rPr>
          <w:rFonts w:hint="eastAsia" w:ascii="宋体" w:hAnsi="宋体" w:cs="宋体"/>
          <w:b w:val="0"/>
          <w:bCs/>
          <w:color w:val="auto"/>
          <w:sz w:val="24"/>
          <w:szCs w:val="24"/>
          <w:highlight w:val="none"/>
          <w:lang w:val="en-US" w:bidi="zh-CN"/>
        </w:rPr>
        <w:t>响应文件中明细报价</w:t>
      </w:r>
      <w:r>
        <w:rPr>
          <w:rFonts w:hint="eastAsia" w:ascii="宋体" w:hAnsi="宋体" w:cs="宋体"/>
          <w:b w:val="0"/>
          <w:bCs/>
          <w:color w:val="auto"/>
          <w:sz w:val="24"/>
          <w:szCs w:val="24"/>
          <w:highlight w:val="none"/>
          <w:lang w:val="zh-CN" w:bidi="zh-CN"/>
        </w:rPr>
        <w:t>的优惠浮动值。</w:t>
      </w:r>
    </w:p>
    <w:p w14:paraId="09563C13">
      <w:pPr>
        <w:pStyle w:val="34"/>
        <w:ind w:left="0" w:leftChars="0" w:firstLine="0" w:firstLineChars="0"/>
        <w:rPr>
          <w:rFonts w:hint="eastAsia" w:ascii="宋体" w:hAnsi="宋体" w:cs="宋体"/>
          <w:b w:val="0"/>
          <w:bCs/>
          <w:color w:val="auto"/>
          <w:sz w:val="24"/>
          <w:szCs w:val="24"/>
          <w:highlight w:val="none"/>
          <w:lang w:val="zh-CN" w:bidi="zh-CN"/>
        </w:rPr>
      </w:pPr>
      <w:r>
        <w:rPr>
          <w:rFonts w:hint="eastAsia" w:ascii="宋体" w:hAnsi="宋体" w:cs="宋体"/>
          <w:b w:val="0"/>
          <w:bCs/>
          <w:color w:val="auto"/>
          <w:sz w:val="24"/>
          <w:szCs w:val="24"/>
          <w:highlight w:val="none"/>
          <w:lang w:val="en-US" w:bidi="zh-CN"/>
        </w:rPr>
        <w:t>2、</w:t>
      </w:r>
      <w:r>
        <w:rPr>
          <w:rFonts w:hint="eastAsia" w:ascii="宋体" w:hAnsi="宋体" w:cs="宋体"/>
          <w:b w:val="0"/>
          <w:bCs/>
          <w:color w:val="auto"/>
          <w:sz w:val="24"/>
          <w:szCs w:val="24"/>
          <w:highlight w:val="none"/>
          <w:lang w:val="zh-CN" w:bidi="zh-CN"/>
        </w:rPr>
        <w:t>供应商报价大小写不一致的，以大写为准。</w:t>
      </w:r>
    </w:p>
    <w:p w14:paraId="28A82F56">
      <w:pPr>
        <w:pStyle w:val="34"/>
        <w:ind w:left="0" w:leftChars="0" w:firstLine="0" w:firstLineChars="0"/>
        <w:rPr>
          <w:rFonts w:hint="default" w:ascii="宋体" w:hAnsi="宋体" w:cs="宋体"/>
          <w:b w:val="0"/>
          <w:bCs/>
          <w:color w:val="auto"/>
          <w:sz w:val="24"/>
          <w:szCs w:val="24"/>
          <w:highlight w:val="none"/>
          <w:lang w:val="en-US" w:bidi="zh-CN"/>
        </w:rPr>
      </w:pPr>
      <w:r>
        <w:rPr>
          <w:rFonts w:hint="eastAsia" w:ascii="宋体" w:hAnsi="宋体" w:cs="宋体"/>
          <w:b w:val="0"/>
          <w:bCs/>
          <w:color w:val="auto"/>
          <w:sz w:val="24"/>
          <w:szCs w:val="24"/>
          <w:highlight w:val="none"/>
          <w:lang w:val="en-US" w:bidi="zh-CN"/>
        </w:rPr>
        <w:t>3、</w:t>
      </w:r>
      <w:r>
        <w:rPr>
          <w:rFonts w:hint="eastAsia" w:ascii="宋体" w:hAnsi="宋体" w:cs="宋体"/>
          <w:b w:val="0"/>
          <w:bCs/>
          <w:color w:val="auto"/>
          <w:sz w:val="24"/>
          <w:szCs w:val="24"/>
          <w:highlight w:val="none"/>
          <w:lang w:val="zh-CN" w:bidi="zh-CN"/>
        </w:rPr>
        <w:t>供应商最后承诺报价</w:t>
      </w:r>
      <w:r>
        <w:rPr>
          <w:rFonts w:hint="eastAsia" w:ascii="宋体" w:hAnsi="宋体" w:cs="宋体"/>
          <w:b w:val="0"/>
          <w:bCs/>
          <w:color w:val="auto"/>
          <w:sz w:val="24"/>
          <w:szCs w:val="24"/>
          <w:highlight w:val="none"/>
          <w:lang w:val="en-US" w:bidi="zh-CN"/>
        </w:rPr>
        <w:t>不得高于响应文件中第一次报价</w:t>
      </w:r>
      <w:r>
        <w:rPr>
          <w:rFonts w:hint="eastAsia" w:ascii="宋体" w:hAnsi="宋体" w:cs="宋体"/>
          <w:b w:val="0"/>
          <w:bCs/>
          <w:color w:val="auto"/>
          <w:sz w:val="24"/>
          <w:szCs w:val="24"/>
          <w:highlight w:val="none"/>
          <w:lang w:val="zh-CN" w:bidi="zh-CN"/>
        </w:rPr>
        <w:t>。</w:t>
      </w: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1"/>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1"/>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614AE1A8">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3871D88">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201E1"/>
    <w:rsid w:val="039C3B2E"/>
    <w:rsid w:val="03B22505"/>
    <w:rsid w:val="03D23972"/>
    <w:rsid w:val="03E602D7"/>
    <w:rsid w:val="03FE01E1"/>
    <w:rsid w:val="04067181"/>
    <w:rsid w:val="04350127"/>
    <w:rsid w:val="04352076"/>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9E17FB"/>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AA47CE"/>
    <w:rsid w:val="0CC50080"/>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443166"/>
    <w:rsid w:val="0F574044"/>
    <w:rsid w:val="0F8F57EF"/>
    <w:rsid w:val="0FF97625"/>
    <w:rsid w:val="0FFA6300"/>
    <w:rsid w:val="10044E18"/>
    <w:rsid w:val="1018304A"/>
    <w:rsid w:val="10527F30"/>
    <w:rsid w:val="10722611"/>
    <w:rsid w:val="10765998"/>
    <w:rsid w:val="1096353C"/>
    <w:rsid w:val="10A85300"/>
    <w:rsid w:val="10C761F4"/>
    <w:rsid w:val="110475FD"/>
    <w:rsid w:val="11200448"/>
    <w:rsid w:val="112E0021"/>
    <w:rsid w:val="1169216B"/>
    <w:rsid w:val="11790C6E"/>
    <w:rsid w:val="11845080"/>
    <w:rsid w:val="119066D9"/>
    <w:rsid w:val="11A335B5"/>
    <w:rsid w:val="11AE35E8"/>
    <w:rsid w:val="11DD1222"/>
    <w:rsid w:val="11FC4CE3"/>
    <w:rsid w:val="1219428E"/>
    <w:rsid w:val="125F1A5C"/>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623721"/>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C348A0"/>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ACE3B2D"/>
    <w:rsid w:val="2AEF162A"/>
    <w:rsid w:val="2B404B09"/>
    <w:rsid w:val="2B487A3E"/>
    <w:rsid w:val="2B6C37C8"/>
    <w:rsid w:val="2B930796"/>
    <w:rsid w:val="2BB0697B"/>
    <w:rsid w:val="2BFA65A3"/>
    <w:rsid w:val="2C101F53"/>
    <w:rsid w:val="2C2D2785"/>
    <w:rsid w:val="2C8F0922"/>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9A358E"/>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1F73A6"/>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0C6A32"/>
    <w:rsid w:val="4E1A59EE"/>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5E4775"/>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5D45F2"/>
    <w:rsid w:val="52892F5B"/>
    <w:rsid w:val="52F61709"/>
    <w:rsid w:val="52FD061C"/>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3E258D"/>
    <w:rsid w:val="5B7F45A2"/>
    <w:rsid w:val="5BB71F8E"/>
    <w:rsid w:val="5BBC1D09"/>
    <w:rsid w:val="5BDB3215"/>
    <w:rsid w:val="5C34380B"/>
    <w:rsid w:val="5C441E45"/>
    <w:rsid w:val="5C6C09AA"/>
    <w:rsid w:val="5CAE7CAB"/>
    <w:rsid w:val="5CBA4C19"/>
    <w:rsid w:val="5D0D2A67"/>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153D3C"/>
    <w:rsid w:val="602F50D5"/>
    <w:rsid w:val="60700F30"/>
    <w:rsid w:val="607B7DDA"/>
    <w:rsid w:val="60B62E5B"/>
    <w:rsid w:val="60E87B88"/>
    <w:rsid w:val="60F172CF"/>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3EB5FB8"/>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6E42696"/>
    <w:rsid w:val="67102453"/>
    <w:rsid w:val="67120A9E"/>
    <w:rsid w:val="6734799D"/>
    <w:rsid w:val="673E4038"/>
    <w:rsid w:val="67500178"/>
    <w:rsid w:val="679F3CC8"/>
    <w:rsid w:val="67D201EB"/>
    <w:rsid w:val="67E01163"/>
    <w:rsid w:val="680622D3"/>
    <w:rsid w:val="681168A6"/>
    <w:rsid w:val="681E28FF"/>
    <w:rsid w:val="68222C9E"/>
    <w:rsid w:val="68582403"/>
    <w:rsid w:val="686C2F70"/>
    <w:rsid w:val="688573AD"/>
    <w:rsid w:val="688651C2"/>
    <w:rsid w:val="68A67F29"/>
    <w:rsid w:val="68AF6DA4"/>
    <w:rsid w:val="68C15CCA"/>
    <w:rsid w:val="68D118F1"/>
    <w:rsid w:val="68DA2BC3"/>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6FE42F2A"/>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39F8"/>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1F4F57"/>
    <w:rsid w:val="7D241628"/>
    <w:rsid w:val="7D5C3335"/>
    <w:rsid w:val="7D733ECF"/>
    <w:rsid w:val="7DB40A20"/>
    <w:rsid w:val="7DC2451F"/>
    <w:rsid w:val="7DCA13D1"/>
    <w:rsid w:val="7DE7143A"/>
    <w:rsid w:val="7E136A50"/>
    <w:rsid w:val="7E49765A"/>
    <w:rsid w:val="7E4C0FEB"/>
    <w:rsid w:val="7E7654DB"/>
    <w:rsid w:val="7EA857C5"/>
    <w:rsid w:val="7EBE0C5A"/>
    <w:rsid w:val="7EFB3C47"/>
    <w:rsid w:val="7F150DF6"/>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2">
    <w:name w:val="Body Text Indent"/>
    <w:basedOn w:val="1"/>
    <w:next w:val="13"/>
    <w:link w:val="66"/>
    <w:autoRedefine/>
    <w:qFormat/>
    <w:uiPriority w:val="0"/>
    <w:pPr>
      <w:ind w:firstLine="540"/>
    </w:pPr>
    <w:rPr>
      <w:rFonts w:eastAsia="仿宋_GB2312"/>
      <w:sz w:val="28"/>
    </w:rPr>
  </w:style>
  <w:style w:type="paragraph" w:styleId="13">
    <w:name w:val="envelope return"/>
    <w:basedOn w:val="1"/>
    <w:autoRedefine/>
    <w:unhideWhenUsed/>
    <w:qFormat/>
    <w:uiPriority w:val="99"/>
    <w:pPr>
      <w:snapToGrid w:val="0"/>
      <w:spacing w:line="360" w:lineRule="auto"/>
    </w:pPr>
    <w:rPr>
      <w:rFonts w:ascii="Arial" w:hAnsi="Arial" w:cs="Arial"/>
    </w:rPr>
  </w:style>
  <w:style w:type="paragraph" w:styleId="14">
    <w:name w:val="toc 5"/>
    <w:basedOn w:val="1"/>
    <w:next w:val="1"/>
    <w:autoRedefine/>
    <w:qFormat/>
    <w:uiPriority w:val="0"/>
    <w:pPr>
      <w:ind w:left="1680" w:leftChars="800"/>
    </w:pPr>
  </w:style>
  <w:style w:type="paragraph" w:styleId="15">
    <w:name w:val="toc 3"/>
    <w:basedOn w:val="1"/>
    <w:next w:val="1"/>
    <w:autoRedefine/>
    <w:qFormat/>
    <w:uiPriority w:val="39"/>
    <w:pPr>
      <w:ind w:left="840" w:leftChars="400"/>
    </w:pPr>
  </w:style>
  <w:style w:type="paragraph" w:styleId="16">
    <w:name w:val="Plain Text"/>
    <w:basedOn w:val="1"/>
    <w:link w:val="85"/>
    <w:autoRedefine/>
    <w:qFormat/>
    <w:uiPriority w:val="0"/>
    <w:rPr>
      <w:rFonts w:ascii="宋体" w:hAnsi="Courier New" w:cstheme="minorBidi"/>
      <w:szCs w:val="22"/>
    </w:rPr>
  </w:style>
  <w:style w:type="paragraph" w:styleId="17">
    <w:name w:val="toc 8"/>
    <w:basedOn w:val="1"/>
    <w:next w:val="1"/>
    <w:autoRedefine/>
    <w:qFormat/>
    <w:uiPriority w:val="0"/>
    <w:pPr>
      <w:ind w:left="2940" w:leftChars="1400"/>
    </w:pPr>
  </w:style>
  <w:style w:type="paragraph" w:styleId="18">
    <w:name w:val="Date"/>
    <w:basedOn w:val="1"/>
    <w:next w:val="1"/>
    <w:link w:val="65"/>
    <w:autoRedefine/>
    <w:qFormat/>
    <w:uiPriority w:val="0"/>
    <w:rPr>
      <w:rFonts w:ascii="Arial" w:hAnsi="Arial" w:eastAsia="楷体_GB2312"/>
      <w:sz w:val="28"/>
    </w:rPr>
  </w:style>
  <w:style w:type="paragraph" w:styleId="19">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0">
    <w:name w:val="Balloon Text"/>
    <w:basedOn w:val="1"/>
    <w:link w:val="79"/>
    <w:autoRedefine/>
    <w:qFormat/>
    <w:uiPriority w:val="0"/>
    <w:rPr>
      <w:sz w:val="18"/>
      <w:szCs w:val="18"/>
    </w:rPr>
  </w:style>
  <w:style w:type="paragraph" w:styleId="21">
    <w:name w:val="footer"/>
    <w:basedOn w:val="1"/>
    <w:link w:val="60"/>
    <w:autoRedefine/>
    <w:unhideWhenUsed/>
    <w:qFormat/>
    <w:uiPriority w:val="99"/>
    <w:pPr>
      <w:tabs>
        <w:tab w:val="center" w:pos="4153"/>
        <w:tab w:val="right" w:pos="8306"/>
      </w:tabs>
      <w:snapToGrid w:val="0"/>
      <w:jc w:val="left"/>
    </w:pPr>
    <w:rPr>
      <w:sz w:val="18"/>
      <w:szCs w:val="18"/>
    </w:rPr>
  </w:style>
  <w:style w:type="paragraph" w:styleId="22">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0"/>
  </w:style>
  <w:style w:type="paragraph" w:styleId="24">
    <w:name w:val="toc 4"/>
    <w:basedOn w:val="1"/>
    <w:next w:val="1"/>
    <w:autoRedefine/>
    <w:qFormat/>
    <w:uiPriority w:val="0"/>
    <w:pPr>
      <w:ind w:left="1260" w:leftChars="600"/>
    </w:pPr>
  </w:style>
  <w:style w:type="paragraph" w:styleId="25">
    <w:name w:val="toc 6"/>
    <w:basedOn w:val="1"/>
    <w:next w:val="1"/>
    <w:autoRedefine/>
    <w:qFormat/>
    <w:uiPriority w:val="0"/>
    <w:pPr>
      <w:ind w:left="2100" w:leftChars="1000"/>
    </w:pPr>
  </w:style>
  <w:style w:type="paragraph" w:styleId="26">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autoRedefine/>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8"/>
    <w:next w:val="8"/>
    <w:link w:val="83"/>
    <w:autoRedefine/>
    <w:semiHidden/>
    <w:qFormat/>
    <w:uiPriority w:val="99"/>
    <w:rPr>
      <w:b/>
      <w:bCs/>
    </w:rPr>
  </w:style>
  <w:style w:type="paragraph" w:styleId="34">
    <w:name w:val="Body Text First Indent"/>
    <w:basedOn w:val="10"/>
    <w:autoRedefine/>
    <w:unhideWhenUsed/>
    <w:qFormat/>
    <w:uiPriority w:val="99"/>
    <w:pPr>
      <w:spacing w:line="400" w:lineRule="atLeast"/>
      <w:ind w:firstLine="426"/>
    </w:pPr>
    <w:rPr>
      <w:sz w:val="24"/>
      <w:szCs w:val="20"/>
    </w:rPr>
  </w:style>
  <w:style w:type="paragraph" w:styleId="35">
    <w:name w:val="Body Text First Indent 2"/>
    <w:basedOn w:val="12"/>
    <w:next w:val="1"/>
    <w:autoRedefine/>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autoRedefine/>
    <w:qFormat/>
    <w:uiPriority w:val="0"/>
    <w:rPr>
      <w:b/>
      <w:bCs/>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Emphasis"/>
    <w:basedOn w:val="38"/>
    <w:autoRedefine/>
    <w:qFormat/>
    <w:uiPriority w:val="20"/>
    <w:rPr>
      <w:b/>
      <w:bCs/>
    </w:rPr>
  </w:style>
  <w:style w:type="character" w:styleId="43">
    <w:name w:val="HTML Definition"/>
    <w:basedOn w:val="38"/>
    <w:autoRedefine/>
    <w:semiHidden/>
    <w:unhideWhenUsed/>
    <w:qFormat/>
    <w:uiPriority w:val="99"/>
  </w:style>
  <w:style w:type="character" w:styleId="44">
    <w:name w:val="HTML Typewriter"/>
    <w:basedOn w:val="38"/>
    <w:autoRedefine/>
    <w:semiHidden/>
    <w:unhideWhenUsed/>
    <w:qFormat/>
    <w:uiPriority w:val="99"/>
    <w:rPr>
      <w:rFonts w:hint="default" w:ascii="monospace" w:hAnsi="monospace" w:eastAsia="monospace" w:cs="monospace"/>
      <w:sz w:val="20"/>
    </w:rPr>
  </w:style>
  <w:style w:type="character" w:styleId="45">
    <w:name w:val="HTML Acronym"/>
    <w:basedOn w:val="38"/>
    <w:autoRedefine/>
    <w:semiHidden/>
    <w:unhideWhenUsed/>
    <w:qFormat/>
    <w:uiPriority w:val="99"/>
  </w:style>
  <w:style w:type="character" w:styleId="46">
    <w:name w:val="HTML Variable"/>
    <w:basedOn w:val="38"/>
    <w:autoRedefine/>
    <w:semiHidden/>
    <w:unhideWhenUsed/>
    <w:qFormat/>
    <w:uiPriority w:val="99"/>
  </w:style>
  <w:style w:type="character" w:styleId="47">
    <w:name w:val="Hyperlink"/>
    <w:basedOn w:val="38"/>
    <w:autoRedefine/>
    <w:qFormat/>
    <w:uiPriority w:val="99"/>
    <w:rPr>
      <w:color w:val="333333"/>
      <w:u w:val="none"/>
    </w:rPr>
  </w:style>
  <w:style w:type="character" w:styleId="48">
    <w:name w:val="HTML Code"/>
    <w:basedOn w:val="38"/>
    <w:autoRedefine/>
    <w:semiHidden/>
    <w:unhideWhenUsed/>
    <w:qFormat/>
    <w:uiPriority w:val="99"/>
    <w:rPr>
      <w:rFonts w:hint="default" w:ascii="monospace" w:hAnsi="monospace" w:eastAsia="monospace" w:cs="monospace"/>
      <w:sz w:val="20"/>
    </w:rPr>
  </w:style>
  <w:style w:type="character" w:styleId="49">
    <w:name w:val="annotation reference"/>
    <w:autoRedefine/>
    <w:semiHidden/>
    <w:qFormat/>
    <w:uiPriority w:val="99"/>
    <w:rPr>
      <w:sz w:val="21"/>
      <w:szCs w:val="21"/>
    </w:rPr>
  </w:style>
  <w:style w:type="character" w:styleId="50">
    <w:name w:val="HTML Cite"/>
    <w:basedOn w:val="38"/>
    <w:autoRedefine/>
    <w:semiHidden/>
    <w:unhideWhenUsed/>
    <w:qFormat/>
    <w:uiPriority w:val="99"/>
  </w:style>
  <w:style w:type="character" w:styleId="51">
    <w:name w:val="HTML Keyboard"/>
    <w:basedOn w:val="38"/>
    <w:autoRedefine/>
    <w:semiHidden/>
    <w:unhideWhenUsed/>
    <w:qFormat/>
    <w:uiPriority w:val="99"/>
    <w:rPr>
      <w:rFonts w:ascii="monospace" w:hAnsi="monospace" w:eastAsia="monospace" w:cs="monospace"/>
      <w:sz w:val="20"/>
    </w:rPr>
  </w:style>
  <w:style w:type="character" w:styleId="52">
    <w:name w:val="HTML Sample"/>
    <w:basedOn w:val="38"/>
    <w:autoRedefine/>
    <w:semiHidden/>
    <w:unhideWhenUsed/>
    <w:qFormat/>
    <w:uiPriority w:val="99"/>
    <w:rPr>
      <w:rFonts w:hint="default" w:ascii="monospace" w:hAnsi="monospace" w:eastAsia="monospace" w:cs="monospace"/>
    </w:rPr>
  </w:style>
  <w:style w:type="paragraph" w:customStyle="1" w:styleId="53">
    <w:name w:val="表格文字"/>
    <w:basedOn w:val="1"/>
    <w:autoRedefine/>
    <w:qFormat/>
    <w:uiPriority w:val="0"/>
    <w:pPr>
      <w:spacing w:line="360" w:lineRule="exact"/>
      <w:jc w:val="center"/>
    </w:pPr>
    <w:rPr>
      <w:szCs w:val="20"/>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8"/>
    <w:link w:val="22"/>
    <w:autoRedefine/>
    <w:qFormat/>
    <w:uiPriority w:val="0"/>
    <w:rPr>
      <w:sz w:val="18"/>
      <w:szCs w:val="18"/>
    </w:rPr>
  </w:style>
  <w:style w:type="character" w:customStyle="1" w:styleId="60">
    <w:name w:val="页脚 字符"/>
    <w:basedOn w:val="38"/>
    <w:link w:val="21"/>
    <w:autoRedefine/>
    <w:qFormat/>
    <w:uiPriority w:val="0"/>
    <w:rPr>
      <w:sz w:val="18"/>
      <w:szCs w:val="18"/>
    </w:rPr>
  </w:style>
  <w:style w:type="character" w:customStyle="1" w:styleId="61">
    <w:name w:val="标题 1 字符"/>
    <w:basedOn w:val="38"/>
    <w:link w:val="2"/>
    <w:autoRedefine/>
    <w:qFormat/>
    <w:uiPriority w:val="0"/>
    <w:rPr>
      <w:rFonts w:ascii="Times New Roman" w:hAnsi="Times New Roman" w:eastAsia="宋体" w:cs="Times New Roman"/>
      <w:sz w:val="28"/>
      <w:szCs w:val="24"/>
    </w:rPr>
  </w:style>
  <w:style w:type="character" w:customStyle="1" w:styleId="62">
    <w:name w:val="标题 2 Char"/>
    <w:basedOn w:val="38"/>
    <w:link w:val="3"/>
    <w:autoRedefine/>
    <w:qFormat/>
    <w:uiPriority w:val="0"/>
    <w:rPr>
      <w:rFonts w:ascii="Arial" w:hAnsi="Arial" w:eastAsia="黑体" w:cs="Times New Roman"/>
      <w:b/>
      <w:kern w:val="0"/>
      <w:sz w:val="32"/>
      <w:szCs w:val="20"/>
    </w:rPr>
  </w:style>
  <w:style w:type="character" w:customStyle="1" w:styleId="63">
    <w:name w:val="标题 3 字符"/>
    <w:basedOn w:val="38"/>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8"/>
    <w:link w:val="5"/>
    <w:autoRedefine/>
    <w:qFormat/>
    <w:uiPriority w:val="0"/>
    <w:rPr>
      <w:rFonts w:ascii="Arial" w:hAnsi="Arial" w:eastAsia="黑体" w:cs="Times New Roman"/>
      <w:b/>
      <w:kern w:val="0"/>
      <w:sz w:val="28"/>
      <w:szCs w:val="20"/>
    </w:rPr>
  </w:style>
  <w:style w:type="character" w:customStyle="1" w:styleId="65">
    <w:name w:val="日期 字符"/>
    <w:basedOn w:val="38"/>
    <w:link w:val="18"/>
    <w:autoRedefine/>
    <w:qFormat/>
    <w:uiPriority w:val="0"/>
    <w:rPr>
      <w:rFonts w:ascii="Arial" w:hAnsi="Arial" w:eastAsia="楷体_GB2312" w:cs="Times New Roman"/>
      <w:sz w:val="28"/>
      <w:szCs w:val="20"/>
    </w:rPr>
  </w:style>
  <w:style w:type="character" w:customStyle="1" w:styleId="66">
    <w:name w:val="正文文本缩进 字符"/>
    <w:basedOn w:val="38"/>
    <w:link w:val="12"/>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8"/>
    <w:link w:val="19"/>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8"/>
    <w:link w:val="26"/>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8"/>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8"/>
    <w:link w:val="20"/>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8"/>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3"/>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6"/>
    <w:autoRedefine/>
    <w:qFormat/>
    <w:uiPriority w:val="0"/>
    <w:rPr>
      <w:rFonts w:ascii="宋体" w:hAnsi="Courier New" w:eastAsia="宋体"/>
    </w:rPr>
  </w:style>
  <w:style w:type="character" w:customStyle="1" w:styleId="86">
    <w:name w:val="纯文本 Char1"/>
    <w:basedOn w:val="38"/>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8"/>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8"/>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8"/>
    <w:autoRedefine/>
    <w:qFormat/>
    <w:uiPriority w:val="0"/>
  </w:style>
  <w:style w:type="character" w:customStyle="1" w:styleId="112">
    <w:name w:val="layui-this"/>
    <w:basedOn w:val="38"/>
    <w:autoRedefine/>
    <w:qFormat/>
    <w:uiPriority w:val="0"/>
    <w:rPr>
      <w:bdr w:val="single" w:color="EEEEEE" w:sz="4" w:space="0"/>
      <w:shd w:val="clear" w:color="auto" w:fill="FFFFFF"/>
    </w:rPr>
  </w:style>
  <w:style w:type="character" w:customStyle="1" w:styleId="113">
    <w:name w:val="first-child2"/>
    <w:basedOn w:val="38"/>
    <w:autoRedefine/>
    <w:qFormat/>
    <w:uiPriority w:val="0"/>
  </w:style>
  <w:style w:type="character" w:customStyle="1" w:styleId="114">
    <w:name w:val="first-child"/>
    <w:basedOn w:val="38"/>
    <w:autoRedefine/>
    <w:qFormat/>
    <w:uiPriority w:val="0"/>
  </w:style>
  <w:style w:type="character" w:customStyle="1" w:styleId="115">
    <w:name w:val="first-child1"/>
    <w:basedOn w:val="38"/>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8"/>
    <w:autoRedefine/>
    <w:qFormat/>
    <w:uiPriority w:val="0"/>
  </w:style>
  <w:style w:type="character" w:customStyle="1" w:styleId="119">
    <w:name w:val="place1"/>
    <w:basedOn w:val="38"/>
    <w:autoRedefine/>
    <w:qFormat/>
    <w:uiPriority w:val="0"/>
  </w:style>
  <w:style w:type="character" w:customStyle="1" w:styleId="120">
    <w:name w:val="place2"/>
    <w:basedOn w:val="38"/>
    <w:autoRedefine/>
    <w:qFormat/>
    <w:uiPriority w:val="0"/>
    <w:rPr>
      <w:rFonts w:ascii="微软雅黑" w:hAnsi="微软雅黑" w:eastAsia="微软雅黑" w:cs="微软雅黑"/>
      <w:color w:val="888888"/>
      <w:sz w:val="20"/>
      <w:szCs w:val="20"/>
    </w:rPr>
  </w:style>
  <w:style w:type="character" w:customStyle="1" w:styleId="121">
    <w:name w:val="place3"/>
    <w:basedOn w:val="38"/>
    <w:autoRedefine/>
    <w:qFormat/>
    <w:uiPriority w:val="0"/>
  </w:style>
  <w:style w:type="character" w:customStyle="1" w:styleId="122">
    <w:name w:val="font"/>
    <w:basedOn w:val="38"/>
    <w:autoRedefine/>
    <w:qFormat/>
    <w:uiPriority w:val="0"/>
  </w:style>
  <w:style w:type="character" w:customStyle="1" w:styleId="123">
    <w:name w:val="font1"/>
    <w:basedOn w:val="38"/>
    <w:autoRedefine/>
    <w:qFormat/>
    <w:uiPriority w:val="0"/>
  </w:style>
  <w:style w:type="character" w:customStyle="1" w:styleId="124">
    <w:name w:val="gwds_nopic"/>
    <w:basedOn w:val="38"/>
    <w:autoRedefine/>
    <w:qFormat/>
    <w:uiPriority w:val="0"/>
  </w:style>
  <w:style w:type="character" w:customStyle="1" w:styleId="125">
    <w:name w:val="gwds_nopic1"/>
    <w:basedOn w:val="38"/>
    <w:autoRedefine/>
    <w:qFormat/>
    <w:uiPriority w:val="0"/>
  </w:style>
  <w:style w:type="character" w:customStyle="1" w:styleId="126">
    <w:name w:val="gwds_nopic2"/>
    <w:basedOn w:val="38"/>
    <w:autoRedefine/>
    <w:qFormat/>
    <w:uiPriority w:val="0"/>
  </w:style>
  <w:style w:type="character" w:customStyle="1" w:styleId="127">
    <w:name w:val="noline"/>
    <w:basedOn w:val="38"/>
    <w:autoRedefine/>
    <w:qFormat/>
    <w:uiPriority w:val="0"/>
  </w:style>
  <w:style w:type="character" w:customStyle="1" w:styleId="128">
    <w:name w:val="hover17"/>
    <w:basedOn w:val="38"/>
    <w:autoRedefine/>
    <w:qFormat/>
    <w:uiPriority w:val="0"/>
    <w:rPr>
      <w:color w:val="025291"/>
    </w:rPr>
  </w:style>
  <w:style w:type="character" w:customStyle="1" w:styleId="129">
    <w:name w:val="Unresolved Mention"/>
    <w:basedOn w:val="38"/>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8"/>
    <w:autoRedefine/>
    <w:qFormat/>
    <w:uiPriority w:val="0"/>
    <w:rPr>
      <w:color w:val="2590EB"/>
      <w:shd w:val="clear" w:fill="E9F4FD"/>
    </w:rPr>
  </w:style>
  <w:style w:type="character" w:customStyle="1" w:styleId="132">
    <w:name w:val="hover2"/>
    <w:basedOn w:val="38"/>
    <w:autoRedefine/>
    <w:qFormat/>
    <w:uiPriority w:val="0"/>
    <w:rPr>
      <w:color w:val="2590EB"/>
    </w:rPr>
  </w:style>
  <w:style w:type="character" w:customStyle="1" w:styleId="133">
    <w:name w:val="hover3"/>
    <w:basedOn w:val="38"/>
    <w:autoRedefine/>
    <w:qFormat/>
    <w:uiPriority w:val="0"/>
    <w:rPr>
      <w:color w:val="2590EB"/>
    </w:rPr>
  </w:style>
  <w:style w:type="character" w:customStyle="1" w:styleId="134">
    <w:name w:val="hover4"/>
    <w:basedOn w:val="38"/>
    <w:autoRedefine/>
    <w:qFormat/>
    <w:uiPriority w:val="0"/>
  </w:style>
  <w:style w:type="character" w:customStyle="1" w:styleId="135">
    <w:name w:val="hover"/>
    <w:basedOn w:val="38"/>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2"/>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8"/>
    <w:qFormat/>
    <w:uiPriority w:val="0"/>
    <w:rPr>
      <w:rFonts w:hint="default" w:ascii="Times New Roman" w:hAnsi="Times New Roman" w:cs="Times New Roman"/>
      <w:color w:val="000000"/>
      <w:sz w:val="21"/>
      <w:szCs w:val="21"/>
      <w:u w:val="none"/>
    </w:rPr>
  </w:style>
  <w:style w:type="character" w:customStyle="1" w:styleId="143">
    <w:name w:val="font61"/>
    <w:basedOn w:val="38"/>
    <w:qFormat/>
    <w:uiPriority w:val="0"/>
    <w:rPr>
      <w:rFonts w:hint="default" w:ascii="Times New Roman" w:hAnsi="Times New Roman" w:cs="Times New Roman"/>
      <w:color w:val="000000"/>
      <w:sz w:val="22"/>
      <w:szCs w:val="22"/>
      <w:u w:val="none"/>
    </w:rPr>
  </w:style>
  <w:style w:type="character" w:customStyle="1" w:styleId="144">
    <w:name w:val="font71"/>
    <w:basedOn w:val="38"/>
    <w:qFormat/>
    <w:uiPriority w:val="0"/>
    <w:rPr>
      <w:rFonts w:hint="eastAsia" w:ascii="宋体" w:hAnsi="宋体" w:eastAsia="宋体" w:cs="宋体"/>
      <w:color w:val="000000"/>
      <w:sz w:val="22"/>
      <w:szCs w:val="22"/>
      <w:u w:val="none"/>
    </w:rPr>
  </w:style>
  <w:style w:type="character" w:customStyle="1" w:styleId="145">
    <w:name w:val="font81"/>
    <w:basedOn w:val="38"/>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9838</Words>
  <Characters>10448</Characters>
  <Lines>294</Lines>
  <Paragraphs>82</Paragraphs>
  <TotalTime>4</TotalTime>
  <ScaleCrop>false</ScaleCrop>
  <LinksUpToDate>false</LinksUpToDate>
  <CharactersWithSpaces>10596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2026-05-25T03:17:34Z</cp:lastPrinted>
  <dcterms:modified xsi:type="dcterms:W3CDTF">2026-05-25T09:00:11Z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47790F90AE8745B596E8F4B1B28A3F15_13</vt:lpwstr>
  </property>
  <property fmtid="{D5CDD505-2E9C-101B-9397-08002B2CF9AE}" pid="4" name="KSOTemplateDocerSaveRecord">
    <vt:lpwstr>eyJoZGlkIjoiM2ZhNjZjZjVlNjMwMDZlNmY4N2I5ZGIzODM5MTdhZjciLCJ1c2VySWQiOiIxNjczNTA4MTc2In0=</vt:lpwstr>
  </property>
</Properties>
</file>