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FB702">
      <w:pPr>
        <w:spacing w:line="360" w:lineRule="auto"/>
        <w:jc w:val="center"/>
        <w:rPr>
          <w:rFonts w:hint="eastAsia" w:ascii="宋体" w:hAnsi="宋体"/>
          <w:b/>
          <w:color w:val="auto"/>
          <w:sz w:val="40"/>
          <w:szCs w:val="40"/>
          <w:highlight w:val="none"/>
          <w:lang w:eastAsia="zh-CN"/>
        </w:rPr>
      </w:pPr>
    </w:p>
    <w:p w14:paraId="284FFEA1">
      <w:pPr>
        <w:adjustRightInd w:val="0"/>
        <w:snapToGrid w:val="0"/>
        <w:spacing w:line="800" w:lineRule="exact"/>
        <w:jc w:val="center"/>
        <w:outlineLvl w:val="9"/>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lang w:val="en-US" w:eastAsia="zh-CN"/>
        </w:rPr>
        <w:t>谈判</w:t>
      </w:r>
      <w:r>
        <w:rPr>
          <w:rFonts w:hint="eastAsia" w:ascii="宋体" w:hAnsi="宋体" w:eastAsia="宋体" w:cs="宋体"/>
          <w:b/>
          <w:bCs/>
          <w:color w:val="auto"/>
          <w:sz w:val="48"/>
          <w:szCs w:val="48"/>
          <w:highlight w:val="none"/>
        </w:rPr>
        <w:t>文件</w:t>
      </w:r>
    </w:p>
    <w:p w14:paraId="553D172B">
      <w:pPr>
        <w:pStyle w:val="36"/>
        <w:ind w:left="0" w:leftChars="0" w:firstLine="0" w:firstLineChars="0"/>
        <w:jc w:val="center"/>
        <w:rPr>
          <w:rFonts w:hint="default" w:ascii="宋体" w:hAnsi="宋体" w:eastAsia="宋体" w:cs="宋体"/>
          <w:b/>
          <w:bCs/>
          <w:color w:val="auto"/>
          <w:kern w:val="2"/>
          <w:sz w:val="44"/>
          <w:szCs w:val="44"/>
          <w:highlight w:val="none"/>
          <w:lang w:val="en-US" w:eastAsia="zh-CN" w:bidi="ar-SA"/>
        </w:rPr>
      </w:pPr>
      <w:r>
        <w:rPr>
          <w:rFonts w:hint="eastAsia" w:ascii="宋体" w:hAnsi="宋体" w:cs="宋体"/>
          <w:b/>
          <w:bCs/>
          <w:color w:val="auto"/>
          <w:kern w:val="2"/>
          <w:sz w:val="44"/>
          <w:szCs w:val="44"/>
          <w:highlight w:val="none"/>
          <w:lang w:val="en-US" w:eastAsia="zh-CN" w:bidi="ar-SA"/>
        </w:rPr>
        <w:t>（服务</w:t>
      </w:r>
      <w:r>
        <w:rPr>
          <w:rFonts w:hint="eastAsia" w:ascii="宋体" w:hAnsi="宋体" w:eastAsia="宋体" w:cs="宋体"/>
          <w:b/>
          <w:bCs/>
          <w:color w:val="auto"/>
          <w:kern w:val="2"/>
          <w:sz w:val="44"/>
          <w:szCs w:val="44"/>
          <w:highlight w:val="none"/>
          <w:lang w:val="en-US" w:eastAsia="zh-CN" w:bidi="ar-SA"/>
        </w:rPr>
        <w:t>类)</w:t>
      </w:r>
    </w:p>
    <w:p w14:paraId="72F26F8D">
      <w:pPr>
        <w:pStyle w:val="10"/>
        <w:rPr>
          <w:rFonts w:hint="eastAsia" w:eastAsia="宋体"/>
          <w:color w:val="auto"/>
          <w:highlight w:val="none"/>
          <w:lang w:eastAsia="zh-CN"/>
        </w:rPr>
      </w:pPr>
    </w:p>
    <w:p w14:paraId="5395B038">
      <w:pPr>
        <w:pStyle w:val="11"/>
        <w:rPr>
          <w:rFonts w:hint="eastAsia"/>
          <w:color w:val="auto"/>
          <w:highlight w:val="none"/>
        </w:rPr>
      </w:pPr>
    </w:p>
    <w:p w14:paraId="47C0A50C">
      <w:pPr>
        <w:pStyle w:val="11"/>
        <w:rPr>
          <w:rFonts w:hint="eastAsia"/>
          <w:color w:val="auto"/>
          <w:highlight w:val="none"/>
        </w:rPr>
      </w:pPr>
    </w:p>
    <w:p w14:paraId="650E258C">
      <w:pPr>
        <w:pStyle w:val="11"/>
        <w:rPr>
          <w:rFonts w:hint="eastAsia"/>
          <w:color w:val="auto"/>
          <w:highlight w:val="none"/>
        </w:rPr>
      </w:pPr>
    </w:p>
    <w:p w14:paraId="18E52B50">
      <w:pPr>
        <w:pStyle w:val="11"/>
        <w:rPr>
          <w:rFonts w:hint="eastAsia"/>
          <w:color w:val="auto"/>
          <w:highlight w:val="none"/>
        </w:rPr>
      </w:pPr>
    </w:p>
    <w:p w14:paraId="7C763F68">
      <w:pPr>
        <w:bidi w:val="0"/>
        <w:jc w:val="center"/>
        <w:rPr>
          <w:rFonts w:hint="eastAsia"/>
          <w:color w:val="auto"/>
          <w:highlight w:val="none"/>
        </w:rPr>
      </w:pPr>
      <w:r>
        <w:rPr>
          <w:rFonts w:hint="eastAsia"/>
          <w:color w:val="auto"/>
          <w:highlight w:val="none"/>
        </w:rPr>
        <w:drawing>
          <wp:inline distT="0" distB="0" distL="114300" distR="114300">
            <wp:extent cx="1961515" cy="1332230"/>
            <wp:effectExtent l="0" t="0" r="635" b="1270"/>
            <wp:docPr id="4"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logo"/>
                    <pic:cNvPicPr>
                      <a:picLocks noChangeAspect="1"/>
                    </pic:cNvPicPr>
                  </pic:nvPicPr>
                  <pic:blipFill>
                    <a:blip r:embed="rId10"/>
                    <a:stretch>
                      <a:fillRect/>
                    </a:stretch>
                  </pic:blipFill>
                  <pic:spPr>
                    <a:xfrm>
                      <a:off x="0" y="0"/>
                      <a:ext cx="1961515" cy="1332230"/>
                    </a:xfrm>
                    <a:prstGeom prst="rect">
                      <a:avLst/>
                    </a:prstGeom>
                    <a:noFill/>
                    <a:ln>
                      <a:noFill/>
                    </a:ln>
                  </pic:spPr>
                </pic:pic>
              </a:graphicData>
            </a:graphic>
          </wp:inline>
        </w:drawing>
      </w:r>
    </w:p>
    <w:p w14:paraId="730062CB">
      <w:pPr>
        <w:adjustRightInd w:val="0"/>
        <w:snapToGrid w:val="0"/>
        <w:spacing w:line="240" w:lineRule="auto"/>
        <w:jc w:val="center"/>
        <w:outlineLvl w:val="9"/>
        <w:rPr>
          <w:rFonts w:hint="eastAsia" w:ascii="宋体" w:hAnsi="宋体" w:eastAsia="宋体" w:cs="宋体"/>
          <w:b/>
          <w:bCs/>
          <w:color w:val="auto"/>
          <w:sz w:val="48"/>
          <w:szCs w:val="48"/>
          <w:highlight w:val="none"/>
        </w:rPr>
      </w:pPr>
      <w:r>
        <w:rPr>
          <w:rFonts w:hint="eastAsia" w:ascii="宋体" w:hAnsi="等线" w:eastAsia="宋体" w:cs="Times New Roman"/>
          <w:b/>
          <w:bCs/>
          <w:color w:val="auto"/>
          <w:spacing w:val="20"/>
          <w:kern w:val="0"/>
          <w:sz w:val="32"/>
          <w:szCs w:val="32"/>
          <w:highlight w:val="none"/>
        </w:rPr>
        <w:fldChar w:fldCharType="begin"/>
      </w:r>
      <w:r>
        <w:rPr>
          <w:rFonts w:hint="eastAsia" w:ascii="宋体" w:hAnsi="等线" w:eastAsia="宋体" w:cs="Times New Roman"/>
          <w:b/>
          <w:bCs/>
          <w:color w:val="auto"/>
          <w:spacing w:val="20"/>
          <w:kern w:val="0"/>
          <w:sz w:val="32"/>
          <w:szCs w:val="32"/>
          <w:highlight w:val="none"/>
        </w:rPr>
        <w:instrText xml:space="preserve"> HYPERLINK "http://www.ahdmig.cn/?tdsourcetag=s_pcqq_aiomsg" </w:instrText>
      </w:r>
      <w:r>
        <w:rPr>
          <w:rFonts w:hint="eastAsia" w:ascii="宋体" w:hAnsi="等线" w:eastAsia="宋体" w:cs="Times New Roman"/>
          <w:b/>
          <w:bCs/>
          <w:color w:val="auto"/>
          <w:spacing w:val="20"/>
          <w:kern w:val="0"/>
          <w:sz w:val="32"/>
          <w:szCs w:val="32"/>
          <w:highlight w:val="none"/>
        </w:rPr>
        <w:fldChar w:fldCharType="separate"/>
      </w:r>
      <w:r>
        <w:rPr>
          <w:rFonts w:hint="eastAsia" w:ascii="宋体" w:hAnsi="等线" w:eastAsia="宋体" w:cs="Times New Roman"/>
          <w:b/>
          <w:bCs/>
          <w:color w:val="auto"/>
          <w:spacing w:val="20"/>
          <w:kern w:val="0"/>
          <w:sz w:val="32"/>
          <w:szCs w:val="32"/>
          <w:highlight w:val="none"/>
        </w:rPr>
        <w:t>http</w:t>
      </w:r>
      <w:r>
        <w:rPr>
          <w:rFonts w:hint="eastAsia" w:ascii="宋体" w:hAnsi="等线" w:cs="Times New Roman"/>
          <w:b/>
          <w:bCs/>
          <w:color w:val="auto"/>
          <w:spacing w:val="20"/>
          <w:kern w:val="0"/>
          <w:sz w:val="32"/>
          <w:szCs w:val="32"/>
          <w:highlight w:val="none"/>
          <w:lang w:eastAsia="zh-CN"/>
        </w:rPr>
        <w:t>：</w:t>
      </w:r>
      <w:r>
        <w:rPr>
          <w:rFonts w:hint="eastAsia" w:ascii="宋体" w:hAnsi="等线" w:eastAsia="宋体" w:cs="Times New Roman"/>
          <w:b/>
          <w:bCs/>
          <w:color w:val="auto"/>
          <w:spacing w:val="20"/>
          <w:kern w:val="0"/>
          <w:sz w:val="32"/>
          <w:szCs w:val="32"/>
          <w:highlight w:val="none"/>
        </w:rPr>
        <w:t>//www.ahdmig.cn</w:t>
      </w:r>
      <w:r>
        <w:rPr>
          <w:rFonts w:hint="eastAsia" w:ascii="宋体" w:hAnsi="等线" w:eastAsia="宋体" w:cs="Times New Roman"/>
          <w:b/>
          <w:bCs/>
          <w:color w:val="auto"/>
          <w:spacing w:val="20"/>
          <w:kern w:val="0"/>
          <w:sz w:val="32"/>
          <w:szCs w:val="32"/>
          <w:highlight w:val="none"/>
        </w:rPr>
        <w:fldChar w:fldCharType="end"/>
      </w:r>
    </w:p>
    <w:p w14:paraId="633A754F">
      <w:pPr>
        <w:spacing w:line="600" w:lineRule="exact"/>
        <w:jc w:val="both"/>
        <w:rPr>
          <w:rFonts w:hint="eastAsia" w:ascii="宋体" w:hAnsi="宋体" w:eastAsia="宋体" w:cs="宋体"/>
          <w:b/>
          <w:bCs/>
          <w:color w:val="auto"/>
          <w:kern w:val="10"/>
          <w:position w:val="-12"/>
          <w:sz w:val="44"/>
          <w:szCs w:val="44"/>
          <w:highlight w:val="none"/>
        </w:rPr>
      </w:pPr>
    </w:p>
    <w:p w14:paraId="5953F54C">
      <w:pPr>
        <w:rPr>
          <w:rFonts w:hint="eastAsia" w:ascii="宋体" w:hAnsi="宋体" w:eastAsia="宋体" w:cs="宋体"/>
          <w:b/>
          <w:color w:val="auto"/>
          <w:sz w:val="30"/>
          <w:szCs w:val="30"/>
          <w:highlight w:val="none"/>
        </w:rPr>
      </w:pPr>
    </w:p>
    <w:p w14:paraId="5FD64288">
      <w:pPr>
        <w:pStyle w:val="37"/>
        <w:ind w:left="0" w:leftChars="0" w:firstLine="0" w:firstLineChars="0"/>
        <w:rPr>
          <w:rFonts w:hint="eastAsia"/>
          <w:color w:val="auto"/>
          <w:highlight w:val="none"/>
        </w:rPr>
      </w:pPr>
    </w:p>
    <w:p w14:paraId="03EDE4D2">
      <w:pPr>
        <w:pStyle w:val="11"/>
        <w:rPr>
          <w:rFonts w:hint="eastAsia"/>
          <w:color w:val="auto"/>
          <w:highlight w:val="none"/>
        </w:rPr>
      </w:pPr>
    </w:p>
    <w:p w14:paraId="34D1F4F2">
      <w:pPr>
        <w:pStyle w:val="11"/>
        <w:rPr>
          <w:rFonts w:hint="eastAsia"/>
          <w:color w:val="auto"/>
          <w:highlight w:val="none"/>
        </w:rPr>
      </w:pPr>
    </w:p>
    <w:p w14:paraId="133A280A">
      <w:pPr>
        <w:pStyle w:val="11"/>
        <w:rPr>
          <w:rFonts w:hint="eastAsia"/>
          <w:color w:val="auto"/>
          <w:highlight w:val="none"/>
        </w:rPr>
      </w:pPr>
    </w:p>
    <w:p w14:paraId="76C76294">
      <w:pPr>
        <w:pStyle w:val="11"/>
        <w:rPr>
          <w:rFonts w:hint="eastAsia"/>
          <w:color w:val="auto"/>
          <w:highlight w:val="none"/>
        </w:rPr>
      </w:pPr>
    </w:p>
    <w:p w14:paraId="500425F8">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1866" w:leftChars="200" w:hanging="1446" w:hangingChars="450"/>
        <w:jc w:val="left"/>
        <w:textAlignment w:val="auto"/>
        <w:outlineLvl w:val="9"/>
        <w:rPr>
          <w:rFonts w:hint="default" w:ascii="宋体" w:hAnsi="宋体" w:eastAsia="宋体" w:cs="宋体"/>
          <w:b/>
          <w:color w:val="auto"/>
          <w:spacing w:val="0"/>
          <w:kern w:val="0"/>
          <w:sz w:val="32"/>
          <w:szCs w:val="32"/>
          <w:highlight w:val="none"/>
          <w:lang w:val="en-US" w:eastAsia="zh-CN"/>
        </w:rPr>
      </w:pPr>
      <w:r>
        <w:rPr>
          <w:rFonts w:hint="eastAsia" w:ascii="宋体" w:hAnsi="宋体" w:eastAsia="宋体" w:cs="宋体"/>
          <w:b/>
          <w:color w:val="auto"/>
          <w:spacing w:val="0"/>
          <w:kern w:val="0"/>
          <w:sz w:val="32"/>
          <w:szCs w:val="32"/>
          <w:highlight w:val="none"/>
        </w:rPr>
        <w:t>项目名称：</w:t>
      </w:r>
      <w:r>
        <w:rPr>
          <w:rFonts w:hint="eastAsia" w:ascii="宋体" w:hAnsi="宋体" w:cs="宋体"/>
          <w:b/>
          <w:color w:val="auto"/>
          <w:spacing w:val="0"/>
          <w:kern w:val="0"/>
          <w:sz w:val="32"/>
          <w:szCs w:val="32"/>
          <w:highlight w:val="none"/>
          <w:lang w:val="en-US" w:eastAsia="zh-CN"/>
        </w:rPr>
        <w:t>安徽霍山国有资产投资控股集团有限公司产业债发行主体资产评估服务采购项目</w:t>
      </w:r>
    </w:p>
    <w:p w14:paraId="1E5808EF">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2026" w:leftChars="200" w:hanging="1606" w:hangingChars="500"/>
        <w:jc w:val="left"/>
        <w:textAlignment w:val="auto"/>
        <w:outlineLvl w:val="9"/>
        <w:rPr>
          <w:rFonts w:hint="default" w:ascii="宋体" w:hAnsi="宋体" w:eastAsia="宋体" w:cs="宋体"/>
          <w:b/>
          <w:color w:val="auto"/>
          <w:spacing w:val="0"/>
          <w:kern w:val="0"/>
          <w:sz w:val="32"/>
          <w:szCs w:val="32"/>
          <w:highlight w:val="none"/>
          <w:lang w:val="en-US" w:eastAsia="zh-CN"/>
        </w:rPr>
      </w:pPr>
      <w:r>
        <w:rPr>
          <w:rFonts w:hint="eastAsia" w:ascii="宋体" w:hAnsi="宋体" w:eastAsia="宋体" w:cs="宋体"/>
          <w:b/>
          <w:color w:val="auto"/>
          <w:spacing w:val="0"/>
          <w:kern w:val="0"/>
          <w:sz w:val="32"/>
          <w:szCs w:val="32"/>
          <w:highlight w:val="none"/>
        </w:rPr>
        <w:t>项目编号：</w:t>
      </w:r>
      <w:r>
        <w:rPr>
          <w:rFonts w:hint="eastAsia" w:ascii="宋体" w:hAnsi="宋体" w:cs="宋体"/>
          <w:b/>
          <w:color w:val="auto"/>
          <w:spacing w:val="0"/>
          <w:kern w:val="0"/>
          <w:sz w:val="32"/>
          <w:szCs w:val="32"/>
          <w:highlight w:val="none"/>
          <w:lang w:eastAsia="zh-CN"/>
        </w:rPr>
        <w:t>DBSCG-2026-093</w:t>
      </w:r>
    </w:p>
    <w:p w14:paraId="47BC9A18">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2026" w:leftChars="200" w:hanging="1606" w:hangingChars="500"/>
        <w:jc w:val="left"/>
        <w:textAlignment w:val="auto"/>
        <w:outlineLvl w:val="9"/>
        <w:rPr>
          <w:rFonts w:hint="default" w:ascii="宋体" w:hAnsi="宋体" w:eastAsia="宋体" w:cs="宋体"/>
          <w:b/>
          <w:color w:val="auto"/>
          <w:spacing w:val="0"/>
          <w:kern w:val="0"/>
          <w:sz w:val="32"/>
          <w:szCs w:val="32"/>
          <w:highlight w:val="none"/>
          <w:lang w:val="en-US"/>
        </w:rPr>
      </w:pPr>
      <w:r>
        <w:rPr>
          <w:rFonts w:hint="eastAsia" w:ascii="宋体" w:hAnsi="宋体" w:eastAsia="宋体" w:cs="宋体"/>
          <w:b/>
          <w:color w:val="auto"/>
          <w:spacing w:val="0"/>
          <w:kern w:val="0"/>
          <w:sz w:val="32"/>
          <w:szCs w:val="32"/>
          <w:highlight w:val="none"/>
        </w:rPr>
        <w:t>采</w:t>
      </w:r>
      <w:r>
        <w:rPr>
          <w:rFonts w:hint="eastAsia" w:ascii="宋体" w:hAnsi="宋体" w:eastAsia="宋体" w:cs="宋体"/>
          <w:b/>
          <w:color w:val="auto"/>
          <w:spacing w:val="0"/>
          <w:kern w:val="0"/>
          <w:sz w:val="32"/>
          <w:szCs w:val="32"/>
          <w:highlight w:val="none"/>
          <w:lang w:val="en-US" w:eastAsia="zh-CN"/>
        </w:rPr>
        <w:t xml:space="preserve"> </w:t>
      </w:r>
      <w:r>
        <w:rPr>
          <w:rFonts w:hint="eastAsia" w:ascii="宋体" w:hAnsi="宋体" w:eastAsia="宋体" w:cs="宋体"/>
          <w:b/>
          <w:color w:val="auto"/>
          <w:spacing w:val="0"/>
          <w:kern w:val="0"/>
          <w:sz w:val="32"/>
          <w:szCs w:val="32"/>
          <w:highlight w:val="none"/>
        </w:rPr>
        <w:t>购</w:t>
      </w:r>
      <w:r>
        <w:rPr>
          <w:rFonts w:hint="eastAsia" w:ascii="宋体" w:hAnsi="宋体" w:eastAsia="宋体" w:cs="宋体"/>
          <w:b/>
          <w:color w:val="auto"/>
          <w:spacing w:val="0"/>
          <w:kern w:val="0"/>
          <w:sz w:val="32"/>
          <w:szCs w:val="32"/>
          <w:highlight w:val="none"/>
          <w:lang w:val="en-US" w:eastAsia="zh-CN"/>
        </w:rPr>
        <w:t xml:space="preserve"> </w:t>
      </w:r>
      <w:r>
        <w:rPr>
          <w:rFonts w:hint="eastAsia" w:ascii="宋体" w:hAnsi="宋体" w:eastAsia="宋体" w:cs="宋体"/>
          <w:b/>
          <w:color w:val="auto"/>
          <w:spacing w:val="0"/>
          <w:kern w:val="0"/>
          <w:sz w:val="32"/>
          <w:szCs w:val="32"/>
          <w:highlight w:val="none"/>
        </w:rPr>
        <w:t>人：</w:t>
      </w:r>
      <w:r>
        <w:rPr>
          <w:rFonts w:hint="eastAsia" w:ascii="宋体" w:hAnsi="宋体" w:eastAsia="宋体" w:cs="宋体"/>
          <w:b/>
          <w:color w:val="auto"/>
          <w:spacing w:val="0"/>
          <w:kern w:val="0"/>
          <w:sz w:val="32"/>
          <w:szCs w:val="32"/>
          <w:highlight w:val="none"/>
          <w:lang w:val="en-US" w:eastAsia="zh-CN"/>
        </w:rPr>
        <w:t>安徽霍山国有资产投资控股集团有限公司</w:t>
      </w:r>
    </w:p>
    <w:p w14:paraId="7664FD9C">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2026" w:leftChars="200" w:hanging="1606" w:hangingChars="500"/>
        <w:jc w:val="left"/>
        <w:textAlignment w:val="auto"/>
        <w:outlineLvl w:val="9"/>
        <w:rPr>
          <w:rFonts w:hint="eastAsia" w:ascii="宋体" w:hAnsi="宋体" w:eastAsia="宋体" w:cs="宋体"/>
          <w:b/>
          <w:color w:val="auto"/>
          <w:spacing w:val="0"/>
          <w:kern w:val="0"/>
          <w:sz w:val="32"/>
          <w:szCs w:val="32"/>
          <w:highlight w:val="none"/>
          <w:lang w:eastAsia="zh-CN"/>
        </w:rPr>
      </w:pPr>
      <w:r>
        <w:rPr>
          <w:rFonts w:hint="eastAsia" w:ascii="宋体" w:hAnsi="宋体" w:eastAsia="宋体" w:cs="宋体"/>
          <w:b/>
          <w:color w:val="auto"/>
          <w:spacing w:val="0"/>
          <w:kern w:val="0"/>
          <w:sz w:val="32"/>
          <w:szCs w:val="32"/>
          <w:highlight w:val="none"/>
          <w:lang w:eastAsia="zh-CN"/>
        </w:rPr>
        <w:t>代理</w:t>
      </w:r>
      <w:r>
        <w:rPr>
          <w:rFonts w:hint="eastAsia" w:ascii="宋体" w:hAnsi="宋体" w:eastAsia="宋体" w:cs="宋体"/>
          <w:b/>
          <w:color w:val="auto"/>
          <w:spacing w:val="0"/>
          <w:kern w:val="0"/>
          <w:sz w:val="32"/>
          <w:szCs w:val="32"/>
          <w:highlight w:val="none"/>
        </w:rPr>
        <w:t>机构：</w:t>
      </w:r>
      <w:r>
        <w:rPr>
          <w:rFonts w:hint="eastAsia" w:ascii="宋体" w:hAnsi="宋体" w:eastAsia="宋体" w:cs="宋体"/>
          <w:b/>
          <w:color w:val="auto"/>
          <w:spacing w:val="0"/>
          <w:kern w:val="0"/>
          <w:sz w:val="32"/>
          <w:szCs w:val="32"/>
          <w:highlight w:val="none"/>
          <w:lang w:eastAsia="zh-CN"/>
        </w:rPr>
        <w:t>安徽大别山工程咨询有限公司</w:t>
      </w:r>
    </w:p>
    <w:p w14:paraId="5245B0F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left="2026" w:leftChars="200" w:hanging="1606" w:hangingChars="500"/>
        <w:jc w:val="left"/>
        <w:textAlignment w:val="auto"/>
        <w:outlineLvl w:val="9"/>
        <w:rPr>
          <w:rFonts w:hint="eastAsia" w:ascii="仿宋" w:hAnsi="仿宋" w:eastAsia="仿宋" w:cs="仿宋"/>
          <w:color w:val="auto"/>
          <w:sz w:val="32"/>
          <w:szCs w:val="32"/>
          <w:highlight w:val="none"/>
        </w:rPr>
      </w:pPr>
      <w:r>
        <w:rPr>
          <w:rFonts w:hint="eastAsia" w:ascii="宋体" w:hAnsi="宋体" w:eastAsia="宋体" w:cs="宋体"/>
          <w:b/>
          <w:color w:val="auto"/>
          <w:spacing w:val="0"/>
          <w:kern w:val="0"/>
          <w:sz w:val="32"/>
          <w:szCs w:val="32"/>
          <w:highlight w:val="none"/>
          <w:lang w:eastAsia="zh-CN"/>
        </w:rPr>
        <w:t>采购时间：</w:t>
      </w:r>
      <w:r>
        <w:rPr>
          <w:rFonts w:hint="eastAsia" w:ascii="宋体" w:hAnsi="宋体" w:eastAsia="宋体" w:cs="宋体"/>
          <w:b/>
          <w:color w:val="auto"/>
          <w:spacing w:val="0"/>
          <w:kern w:val="0"/>
          <w:sz w:val="32"/>
          <w:szCs w:val="32"/>
          <w:highlight w:val="none"/>
          <w:lang w:val="en-US" w:eastAsia="zh-CN"/>
        </w:rPr>
        <w:t>2026</w:t>
      </w:r>
      <w:r>
        <w:rPr>
          <w:rFonts w:hint="eastAsia" w:ascii="宋体" w:hAnsi="宋体" w:eastAsia="宋体" w:cs="宋体"/>
          <w:b/>
          <w:color w:val="auto"/>
          <w:spacing w:val="0"/>
          <w:kern w:val="0"/>
          <w:sz w:val="32"/>
          <w:szCs w:val="32"/>
          <w:highlight w:val="none"/>
          <w:lang w:eastAsia="zh-CN"/>
        </w:rPr>
        <w:t>年</w:t>
      </w:r>
      <w:r>
        <w:rPr>
          <w:rFonts w:hint="eastAsia" w:ascii="宋体" w:hAnsi="宋体" w:cs="宋体"/>
          <w:b/>
          <w:color w:val="auto"/>
          <w:spacing w:val="0"/>
          <w:kern w:val="0"/>
          <w:sz w:val="32"/>
          <w:szCs w:val="32"/>
          <w:highlight w:val="none"/>
          <w:lang w:val="en-US" w:eastAsia="zh-CN"/>
        </w:rPr>
        <w:t>9</w:t>
      </w:r>
      <w:r>
        <w:rPr>
          <w:rFonts w:hint="eastAsia" w:ascii="宋体" w:hAnsi="宋体" w:eastAsia="宋体" w:cs="宋体"/>
          <w:b/>
          <w:color w:val="auto"/>
          <w:spacing w:val="0"/>
          <w:kern w:val="0"/>
          <w:sz w:val="32"/>
          <w:szCs w:val="32"/>
          <w:highlight w:val="none"/>
          <w:lang w:val="en-US" w:eastAsia="zh-CN"/>
        </w:rPr>
        <w:t>月</w:t>
      </w:r>
    </w:p>
    <w:p w14:paraId="6FA69A95">
      <w:pPr>
        <w:rPr>
          <w:rFonts w:hint="eastAsia" w:ascii="仿宋" w:hAnsi="仿宋" w:eastAsia="仿宋" w:cs="仿宋"/>
          <w:color w:val="auto"/>
          <w:sz w:val="32"/>
          <w:szCs w:val="32"/>
          <w:highlight w:val="none"/>
        </w:rPr>
        <w:sectPr>
          <w:headerReference r:id="rId3" w:type="first"/>
          <w:footerReference r:id="rId4" w:type="first"/>
          <w:pgSz w:w="11906" w:h="16838"/>
          <w:pgMar w:top="1440" w:right="1800" w:bottom="1440" w:left="1800" w:header="851" w:footer="992" w:gutter="0"/>
          <w:pgNumType w:fmt="decimal" w:start="1"/>
          <w:cols w:space="720" w:num="1"/>
          <w:titlePg/>
          <w:docGrid w:type="lines" w:linePitch="312" w:charSpace="0"/>
        </w:sectPr>
      </w:pPr>
    </w:p>
    <w:p w14:paraId="6D98B27F">
      <w:pPr>
        <w:pStyle w:val="25"/>
        <w:tabs>
          <w:tab w:val="right" w:leader="dot" w:pos="9746"/>
        </w:tabs>
        <w:jc w:val="center"/>
        <w:outlineLvl w:val="1"/>
        <w:rPr>
          <w:rFonts w:hint="eastAsia" w:ascii="微软雅黑" w:hAnsi="微软雅黑" w:eastAsia="微软雅黑" w:cs="微软雅黑"/>
          <w:b/>
          <w:bCs/>
          <w:color w:val="auto"/>
          <w:sz w:val="32"/>
          <w:szCs w:val="32"/>
          <w:highlight w:val="none"/>
          <w:lang w:val="en-US" w:eastAsia="zh-CN"/>
        </w:rPr>
      </w:pPr>
      <w:bookmarkStart w:id="63" w:name="_GoBack"/>
      <w:bookmarkEnd w:id="63"/>
      <w:r>
        <w:rPr>
          <w:rFonts w:hint="eastAsia" w:ascii="微软雅黑" w:hAnsi="微软雅黑" w:eastAsia="微软雅黑" w:cs="微软雅黑"/>
          <w:b/>
          <w:bCs/>
          <w:color w:val="auto"/>
          <w:sz w:val="32"/>
          <w:szCs w:val="32"/>
          <w:highlight w:val="none"/>
          <w:lang w:val="en-US" w:eastAsia="zh-CN"/>
        </w:rPr>
        <w:t>目  录</w:t>
      </w:r>
    </w:p>
    <w:p w14:paraId="3752DB55">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_Toc17998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w:t>
      </w:r>
      <w:r>
        <w:rPr>
          <w:rFonts w:hint="eastAsia" w:ascii="宋体" w:hAnsi="宋体" w:eastAsia="宋体" w:cs="宋体"/>
          <w:bCs/>
          <w:sz w:val="28"/>
          <w:szCs w:val="28"/>
          <w:highlight w:val="none"/>
          <w:lang w:eastAsia="zh-CN"/>
        </w:rPr>
        <w:t xml:space="preserve">一章 </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lang w:eastAsia="zh-CN"/>
        </w:rPr>
        <w:t>竞争谈判公告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_Toc17998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3EAE6F4A">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_Toc29888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 xml:space="preserve">第二章  </w:t>
      </w:r>
      <w:r>
        <w:rPr>
          <w:rFonts w:hint="eastAsia" w:ascii="宋体" w:hAnsi="宋体" w:eastAsia="宋体" w:cs="宋体"/>
          <w:bCs/>
          <w:sz w:val="28"/>
          <w:szCs w:val="28"/>
          <w:highlight w:val="none"/>
        </w:rPr>
        <w:t>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_Toc29888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5FD7F4F6">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_Toc11803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eastAsia="zh-CN" w:bidi="ar-SA"/>
        </w:rPr>
        <w:t>第</w:t>
      </w:r>
      <w:r>
        <w:rPr>
          <w:rFonts w:hint="eastAsia" w:ascii="宋体" w:hAnsi="宋体" w:eastAsia="宋体" w:cs="宋体"/>
          <w:bCs/>
          <w:caps/>
          <w:kern w:val="2"/>
          <w:sz w:val="28"/>
          <w:szCs w:val="28"/>
          <w:highlight w:val="none"/>
          <w:lang w:val="en-US" w:eastAsia="zh-CN" w:bidi="ar-SA"/>
        </w:rPr>
        <w:t>三</w:t>
      </w:r>
      <w:r>
        <w:rPr>
          <w:rFonts w:hint="eastAsia" w:ascii="宋体" w:hAnsi="宋体" w:eastAsia="宋体" w:cs="宋体"/>
          <w:bCs/>
          <w:caps/>
          <w:kern w:val="2"/>
          <w:sz w:val="28"/>
          <w:szCs w:val="28"/>
          <w:highlight w:val="none"/>
          <w:lang w:val="zh-CN" w:eastAsia="zh-CN" w:bidi="ar-SA"/>
        </w:rPr>
        <w:t>章</w:t>
      </w:r>
      <w:r>
        <w:rPr>
          <w:rFonts w:hint="eastAsia" w:ascii="宋体" w:hAnsi="宋体" w:eastAsia="宋体" w:cs="宋体"/>
          <w:bCs/>
          <w:caps/>
          <w:kern w:val="2"/>
          <w:sz w:val="28"/>
          <w:szCs w:val="28"/>
          <w:highlight w:val="none"/>
          <w:lang w:val="en-US" w:eastAsia="zh-CN" w:bidi="ar-SA"/>
        </w:rPr>
        <w:t xml:space="preserve">  </w:t>
      </w:r>
      <w:r>
        <w:rPr>
          <w:rFonts w:hint="eastAsia" w:ascii="宋体" w:hAnsi="宋体" w:eastAsia="宋体" w:cs="宋体"/>
          <w:bCs/>
          <w:sz w:val="28"/>
          <w:szCs w:val="28"/>
          <w:highlight w:val="none"/>
        </w:rPr>
        <w:t>采购合同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_Toc11803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6496AE53">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_Toc19685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eastAsia="zh-CN" w:bidi="ar-SA"/>
        </w:rPr>
        <w:t>第</w:t>
      </w:r>
      <w:r>
        <w:rPr>
          <w:rFonts w:hint="eastAsia" w:ascii="宋体" w:hAnsi="宋体" w:eastAsia="宋体" w:cs="宋体"/>
          <w:bCs/>
          <w:caps/>
          <w:kern w:val="2"/>
          <w:sz w:val="28"/>
          <w:szCs w:val="28"/>
          <w:highlight w:val="none"/>
          <w:lang w:val="en-US" w:eastAsia="zh-CN" w:bidi="ar-SA"/>
        </w:rPr>
        <w:t>四</w:t>
      </w:r>
      <w:r>
        <w:rPr>
          <w:rFonts w:hint="eastAsia" w:ascii="宋体" w:hAnsi="宋体" w:eastAsia="宋体" w:cs="宋体"/>
          <w:bCs/>
          <w:caps/>
          <w:kern w:val="2"/>
          <w:sz w:val="28"/>
          <w:szCs w:val="28"/>
          <w:highlight w:val="none"/>
          <w:lang w:val="zh-CN" w:eastAsia="zh-CN" w:bidi="ar-SA"/>
        </w:rPr>
        <w:t>章</w:t>
      </w:r>
      <w:r>
        <w:rPr>
          <w:rFonts w:hint="eastAsia" w:ascii="宋体" w:hAnsi="宋体" w:eastAsia="宋体" w:cs="宋体"/>
          <w:bCs/>
          <w:caps/>
          <w:kern w:val="2"/>
          <w:sz w:val="28"/>
          <w:szCs w:val="28"/>
          <w:highlight w:val="none"/>
          <w:lang w:val="en-US" w:eastAsia="zh-CN" w:bidi="ar-SA"/>
        </w:rPr>
        <w:t xml:space="preserve">  </w:t>
      </w:r>
      <w:r>
        <w:rPr>
          <w:rFonts w:hint="eastAsia" w:ascii="宋体" w:hAnsi="宋体" w:eastAsia="宋体" w:cs="宋体"/>
          <w:bCs/>
          <w:sz w:val="28"/>
          <w:szCs w:val="28"/>
          <w:highlight w:val="none"/>
        </w:rPr>
        <w:t>采购</w:t>
      </w:r>
      <w:r>
        <w:rPr>
          <w:rFonts w:hint="eastAsia" w:ascii="宋体" w:hAnsi="宋体" w:eastAsia="宋体" w:cs="宋体"/>
          <w:bCs/>
          <w:sz w:val="28"/>
          <w:szCs w:val="28"/>
          <w:highlight w:val="none"/>
          <w:lang w:val="en-US" w:eastAsia="zh-CN"/>
        </w:rPr>
        <w:t>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_Toc19685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28A69310">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_Toc1315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rPr>
        <w:t>第</w:t>
      </w:r>
      <w:r>
        <w:rPr>
          <w:rFonts w:hint="eastAsia" w:ascii="宋体" w:hAnsi="宋体" w:eastAsia="宋体" w:cs="宋体"/>
          <w:bCs/>
          <w:caps/>
          <w:kern w:val="2"/>
          <w:sz w:val="28"/>
          <w:szCs w:val="28"/>
          <w:highlight w:val="none"/>
          <w:lang w:val="en-US" w:eastAsia="zh-CN"/>
        </w:rPr>
        <w:t>五</w:t>
      </w:r>
      <w:r>
        <w:rPr>
          <w:rFonts w:hint="eastAsia" w:ascii="宋体" w:hAnsi="宋体" w:eastAsia="宋体" w:cs="宋体"/>
          <w:bCs/>
          <w:caps/>
          <w:kern w:val="2"/>
          <w:sz w:val="28"/>
          <w:szCs w:val="28"/>
          <w:highlight w:val="none"/>
          <w:lang w:val="zh-CN"/>
        </w:rPr>
        <w:t>章  评审方法和标准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_Toc1315 \h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0C0B1383">
      <w:pPr>
        <w:pStyle w:val="25"/>
        <w:tabs>
          <w:tab w:val="right" w:leader="dot" w:pos="9746"/>
        </w:tabs>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_Toc32513 </w:instrText>
      </w:r>
      <w:r>
        <w:rPr>
          <w:rFonts w:hint="eastAsia" w:ascii="宋体" w:hAnsi="宋体" w:eastAsia="宋体" w:cs="宋体"/>
          <w:sz w:val="28"/>
          <w:szCs w:val="28"/>
          <w:highlight w:val="none"/>
        </w:rPr>
        <w:fldChar w:fldCharType="separate"/>
      </w:r>
      <w:r>
        <w:rPr>
          <w:rFonts w:hint="eastAsia" w:ascii="宋体" w:hAnsi="宋体" w:eastAsia="宋体" w:cs="宋体"/>
          <w:bCs/>
          <w:caps/>
          <w:kern w:val="2"/>
          <w:sz w:val="28"/>
          <w:szCs w:val="28"/>
          <w:highlight w:val="none"/>
          <w:lang w:val="zh-CN"/>
        </w:rPr>
        <w:t>第</w:t>
      </w:r>
      <w:r>
        <w:rPr>
          <w:rFonts w:hint="eastAsia" w:ascii="宋体" w:hAnsi="宋体" w:eastAsia="宋体" w:cs="宋体"/>
          <w:bCs/>
          <w:caps/>
          <w:kern w:val="2"/>
          <w:sz w:val="28"/>
          <w:szCs w:val="28"/>
          <w:highlight w:val="none"/>
          <w:lang w:val="en-US" w:eastAsia="zh-CN"/>
        </w:rPr>
        <w:t>六</w:t>
      </w:r>
      <w:r>
        <w:rPr>
          <w:rFonts w:hint="eastAsia" w:ascii="宋体" w:hAnsi="宋体" w:eastAsia="宋体" w:cs="宋体"/>
          <w:bCs/>
          <w:caps/>
          <w:kern w:val="2"/>
          <w:sz w:val="28"/>
          <w:szCs w:val="28"/>
          <w:highlight w:val="none"/>
          <w:lang w:val="zh-CN"/>
        </w:rPr>
        <w:t>章  谈判响应文件格式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_Toc32513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2BE1E156">
      <w:pPr>
        <w:spacing w:line="360" w:lineRule="auto"/>
        <w:rPr>
          <w:rFonts w:ascii="仿宋" w:hAnsi="仿宋" w:eastAsia="仿宋" w:cs="仿宋"/>
          <w:color w:val="auto"/>
          <w:sz w:val="32"/>
          <w:szCs w:val="32"/>
          <w:highlight w:val="none"/>
        </w:rPr>
      </w:pPr>
      <w:r>
        <w:rPr>
          <w:rFonts w:hint="eastAsia" w:ascii="宋体" w:hAnsi="宋体" w:eastAsia="宋体" w:cs="宋体"/>
          <w:color w:val="auto"/>
          <w:sz w:val="28"/>
          <w:szCs w:val="28"/>
          <w:highlight w:val="none"/>
        </w:rPr>
        <w:fldChar w:fldCharType="end"/>
      </w:r>
    </w:p>
    <w:p w14:paraId="08A387E5">
      <w:pPr>
        <w:pStyle w:val="3"/>
        <w:spacing w:before="156" w:beforeLines="50" w:after="156" w:afterLines="50" w:line="520" w:lineRule="exact"/>
        <w:jc w:val="center"/>
        <w:outlineLvl w:val="9"/>
        <w:rPr>
          <w:rFonts w:hint="eastAsia" w:ascii="华文中宋" w:hAnsi="华文中宋" w:eastAsia="华文中宋" w:cs="华文中宋"/>
          <w:b w:val="0"/>
          <w:bCs/>
          <w:color w:val="auto"/>
          <w:sz w:val="28"/>
          <w:szCs w:val="28"/>
          <w:highlight w:val="none"/>
          <w:lang w:val="en-US" w:eastAsia="zh-CN"/>
        </w:rPr>
        <w:sectPr>
          <w:pgSz w:w="11906" w:h="16838"/>
          <w:pgMar w:top="1440" w:right="1080" w:bottom="1440" w:left="1080" w:header="851" w:footer="992" w:gutter="0"/>
          <w:pgNumType w:fmt="decimal" w:start="1"/>
          <w:cols w:space="720" w:num="1"/>
          <w:titlePg/>
          <w:docGrid w:type="lines" w:linePitch="312" w:charSpace="0"/>
        </w:sectPr>
      </w:pPr>
      <w:bookmarkStart w:id="0" w:name="_Toc28964"/>
      <w:bookmarkStart w:id="1" w:name="_Toc30186"/>
      <w:bookmarkStart w:id="2" w:name="_Toc363199264"/>
      <w:bookmarkStart w:id="3" w:name="_Toc216158623"/>
      <w:r>
        <w:rPr>
          <w:rFonts w:hint="eastAsia" w:ascii="华文中宋" w:hAnsi="华文中宋" w:eastAsia="华文中宋" w:cs="华文中宋"/>
          <w:b w:val="0"/>
          <w:bCs/>
          <w:color w:val="auto"/>
          <w:sz w:val="28"/>
          <w:szCs w:val="28"/>
          <w:highlight w:val="none"/>
          <w:lang w:val="en-US" w:eastAsia="zh-CN"/>
        </w:rPr>
        <w:t xml:space="preserve"> </w:t>
      </w:r>
    </w:p>
    <w:bookmarkEnd w:id="0"/>
    <w:bookmarkEnd w:id="1"/>
    <w:p w14:paraId="657BB1B8">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0"/>
        <w:rPr>
          <w:rFonts w:hint="eastAsia"/>
          <w:b/>
          <w:bCs/>
          <w:color w:val="auto"/>
          <w:sz w:val="32"/>
          <w:szCs w:val="32"/>
          <w:highlight w:val="none"/>
        </w:rPr>
      </w:pPr>
      <w:bookmarkStart w:id="4" w:name="_Toc4745"/>
      <w:bookmarkStart w:id="5" w:name="_Toc17998"/>
      <w:r>
        <w:rPr>
          <w:rFonts w:hint="eastAsia"/>
          <w:b/>
          <w:bCs/>
          <w:color w:val="auto"/>
          <w:sz w:val="32"/>
          <w:szCs w:val="32"/>
          <w:highlight w:val="none"/>
          <w:lang w:val="en-US" w:eastAsia="zh-CN"/>
        </w:rPr>
        <w:t>第</w:t>
      </w:r>
      <w:r>
        <w:rPr>
          <w:rFonts w:hint="eastAsia"/>
          <w:b/>
          <w:bCs/>
          <w:color w:val="auto"/>
          <w:sz w:val="32"/>
          <w:szCs w:val="32"/>
          <w:highlight w:val="none"/>
          <w:lang w:eastAsia="zh-CN"/>
        </w:rPr>
        <w:t xml:space="preserve">一章 </w:t>
      </w:r>
      <w:r>
        <w:rPr>
          <w:rFonts w:hint="eastAsia"/>
          <w:b/>
          <w:bCs/>
          <w:color w:val="auto"/>
          <w:sz w:val="32"/>
          <w:szCs w:val="32"/>
          <w:highlight w:val="none"/>
          <w:lang w:val="en-US" w:eastAsia="zh-CN"/>
        </w:rPr>
        <w:t xml:space="preserve"> </w:t>
      </w:r>
      <w:r>
        <w:rPr>
          <w:rFonts w:hint="eastAsia"/>
          <w:b/>
          <w:bCs/>
          <w:color w:val="auto"/>
          <w:sz w:val="32"/>
          <w:szCs w:val="32"/>
          <w:highlight w:val="none"/>
          <w:lang w:eastAsia="zh-CN"/>
        </w:rPr>
        <w:t>竞争谈判公告</w:t>
      </w:r>
      <w:bookmarkEnd w:id="4"/>
      <w:bookmarkEnd w:id="5"/>
    </w:p>
    <w:p w14:paraId="58CE8351">
      <w:pPr>
        <w:keepNext w:val="0"/>
        <w:keepLines w:val="0"/>
        <w:pageBreakBefore w:val="0"/>
        <w:widowControl w:val="0"/>
        <w:kinsoku/>
        <w:wordWrap/>
        <w:overflowPunct/>
        <w:topLinePunct w:val="0"/>
        <w:autoSpaceDE/>
        <w:autoSpaceDN/>
        <w:bidi w:val="0"/>
        <w:adjustRightInd/>
        <w:snapToGrid w:val="0"/>
        <w:spacing w:before="157" w:beforeLines="5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rPr>
      </w:pPr>
      <w:bookmarkStart w:id="6" w:name="_Toc23161"/>
      <w:bookmarkStart w:id="7" w:name="_Toc17456"/>
      <w:bookmarkStart w:id="8" w:name="_Toc35393798"/>
      <w:bookmarkStart w:id="9" w:name="_Toc35393629"/>
      <w:bookmarkStart w:id="10" w:name="_Toc28359012"/>
      <w:bookmarkStart w:id="11" w:name="_Toc7777"/>
      <w:bookmarkStart w:id="12" w:name="_Toc28359089"/>
      <w:r>
        <w:rPr>
          <w:rFonts w:hint="eastAsia" w:ascii="宋体" w:hAnsi="宋体" w:eastAsia="宋体" w:cs="宋体"/>
          <w:b w:val="0"/>
          <w:bCs/>
          <w:color w:val="auto"/>
          <w:sz w:val="21"/>
          <w:szCs w:val="21"/>
          <w:highlight w:val="none"/>
        </w:rPr>
        <w:t>安徽大别山工程咨询有限公司受</w:t>
      </w:r>
      <w:r>
        <w:rPr>
          <w:rFonts w:hint="eastAsia" w:ascii="宋体" w:hAnsi="宋体" w:cs="宋体"/>
          <w:b w:val="0"/>
          <w:bCs/>
          <w:color w:val="auto"/>
          <w:sz w:val="21"/>
          <w:szCs w:val="21"/>
          <w:highlight w:val="none"/>
          <w:u w:val="single"/>
          <w:lang w:eastAsia="zh-CN"/>
        </w:rPr>
        <w:t>安徽霍山国有资产投资控股集团有限公司</w:t>
      </w:r>
      <w:r>
        <w:rPr>
          <w:rFonts w:hint="eastAsia" w:ascii="宋体" w:hAnsi="宋体" w:eastAsia="宋体" w:cs="宋体"/>
          <w:b w:val="0"/>
          <w:bCs/>
          <w:color w:val="auto"/>
          <w:sz w:val="21"/>
          <w:szCs w:val="21"/>
          <w:highlight w:val="none"/>
        </w:rPr>
        <w:t>委托，代理</w:t>
      </w:r>
      <w:r>
        <w:rPr>
          <w:rFonts w:hint="eastAsia" w:ascii="宋体" w:hAnsi="宋体" w:cs="宋体"/>
          <w:b w:val="0"/>
          <w:bCs/>
          <w:color w:val="auto"/>
          <w:sz w:val="21"/>
          <w:szCs w:val="21"/>
          <w:highlight w:val="none"/>
          <w:u w:val="single"/>
          <w:lang w:eastAsia="zh-CN"/>
        </w:rPr>
        <w:t>安徽霍山国有资产投资控股集团有限公司产业债发行主体资产评估服务采购项目</w:t>
      </w:r>
      <w:r>
        <w:rPr>
          <w:rFonts w:hint="eastAsia" w:ascii="宋体" w:hAnsi="宋体" w:eastAsia="宋体" w:cs="宋体"/>
          <w:b w:val="0"/>
          <w:bCs/>
          <w:color w:val="auto"/>
          <w:sz w:val="21"/>
          <w:szCs w:val="21"/>
          <w:highlight w:val="none"/>
        </w:rPr>
        <w:t>，经</w:t>
      </w:r>
      <w:r>
        <w:rPr>
          <w:rFonts w:hint="eastAsia" w:ascii="宋体" w:hAnsi="宋体" w:cs="宋体"/>
          <w:b w:val="0"/>
          <w:bCs/>
          <w:color w:val="auto"/>
          <w:sz w:val="21"/>
          <w:szCs w:val="21"/>
          <w:highlight w:val="none"/>
          <w:lang w:val="en-US" w:eastAsia="zh-CN"/>
        </w:rPr>
        <w:t>采购人确认</w:t>
      </w:r>
      <w:r>
        <w:rPr>
          <w:rFonts w:hint="eastAsia" w:ascii="宋体" w:hAnsi="宋体" w:eastAsia="宋体" w:cs="宋体"/>
          <w:b w:val="0"/>
          <w:bCs/>
          <w:color w:val="auto"/>
          <w:sz w:val="21"/>
          <w:szCs w:val="21"/>
          <w:highlight w:val="none"/>
        </w:rPr>
        <w:t>，本项目采用</w:t>
      </w:r>
      <w:r>
        <w:rPr>
          <w:rFonts w:hint="eastAsia" w:ascii="宋体" w:hAnsi="宋体" w:eastAsia="宋体" w:cs="宋体"/>
          <w:b w:val="0"/>
          <w:bCs/>
          <w:color w:val="auto"/>
          <w:sz w:val="21"/>
          <w:szCs w:val="21"/>
          <w:highlight w:val="none"/>
          <w:u w:val="single"/>
        </w:rPr>
        <w:t>竞争谈判</w:t>
      </w:r>
      <w:r>
        <w:rPr>
          <w:rFonts w:hint="eastAsia" w:ascii="宋体" w:hAnsi="宋体" w:eastAsia="宋体" w:cs="宋体"/>
          <w:b w:val="0"/>
          <w:bCs/>
          <w:color w:val="auto"/>
          <w:sz w:val="21"/>
          <w:szCs w:val="21"/>
          <w:highlight w:val="none"/>
        </w:rPr>
        <w:t>方式采购，已具备采购条件，欢迎符合条件的</w:t>
      </w:r>
      <w:r>
        <w:rPr>
          <w:rFonts w:hint="eastAsia" w:ascii="宋体" w:hAnsi="宋体" w:cs="宋体"/>
          <w:b w:val="0"/>
          <w:bCs/>
          <w:color w:val="auto"/>
          <w:sz w:val="21"/>
          <w:szCs w:val="21"/>
          <w:highlight w:val="none"/>
          <w:lang w:val="en-US" w:eastAsia="zh-CN"/>
        </w:rPr>
        <w:t>国内</w:t>
      </w:r>
      <w:r>
        <w:rPr>
          <w:rFonts w:hint="eastAsia" w:ascii="宋体" w:hAnsi="宋体" w:eastAsia="宋体" w:cs="宋体"/>
          <w:b w:val="0"/>
          <w:bCs/>
          <w:color w:val="auto"/>
          <w:sz w:val="21"/>
          <w:szCs w:val="21"/>
          <w:highlight w:val="none"/>
        </w:rPr>
        <w:t>供应商参加竞争谈判。</w:t>
      </w:r>
    </w:p>
    <w:p w14:paraId="06A0EFED">
      <w:pPr>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jc w:val="left"/>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一、项目基本情况</w:t>
      </w:r>
      <w:bookmarkEnd w:id="6"/>
      <w:bookmarkEnd w:id="7"/>
      <w:bookmarkEnd w:id="8"/>
      <w:bookmarkEnd w:id="9"/>
      <w:bookmarkEnd w:id="10"/>
      <w:bookmarkEnd w:id="11"/>
      <w:bookmarkEnd w:id="12"/>
    </w:p>
    <w:p w14:paraId="6A5B057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安徽霍山国有资产投资控股集团有限公司产业债发行主体资产评估服务采购项目</w:t>
      </w:r>
    </w:p>
    <w:p w14:paraId="31EBDA3A">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项目编号：</w:t>
      </w:r>
      <w:r>
        <w:rPr>
          <w:rFonts w:hint="eastAsia" w:ascii="宋体" w:hAnsi="宋体" w:cs="宋体"/>
          <w:color w:val="auto"/>
          <w:sz w:val="21"/>
          <w:szCs w:val="21"/>
          <w:highlight w:val="none"/>
          <w:lang w:val="en-US" w:eastAsia="zh-CN"/>
        </w:rPr>
        <w:t>DBSCG-2026-093</w:t>
      </w:r>
    </w:p>
    <w:p w14:paraId="0A0B03DC">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项目类型：</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类</w:t>
      </w:r>
    </w:p>
    <w:p w14:paraId="568E1354">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、采购方式：竞争谈判</w:t>
      </w:r>
    </w:p>
    <w:p w14:paraId="307BFA7A">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、预算金额：</w:t>
      </w:r>
      <w:r>
        <w:rPr>
          <w:rFonts w:hint="eastAsia" w:ascii="宋体" w:hAnsi="宋体" w:cs="宋体"/>
          <w:color w:val="auto"/>
          <w:sz w:val="21"/>
          <w:szCs w:val="21"/>
          <w:highlight w:val="none"/>
          <w:lang w:val="en-US" w:eastAsia="zh-CN"/>
        </w:rPr>
        <w:t>300000.00元</w:t>
      </w:r>
    </w:p>
    <w:p w14:paraId="17209661">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val="en-US" w:eastAsia="zh-CN"/>
        </w:rPr>
        <w:t>300000.00元</w:t>
      </w:r>
    </w:p>
    <w:p w14:paraId="519D6E29">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7、采购需求：本项目主要采购内容为选取1家具有资质的服务机构</w:t>
      </w:r>
      <w:r>
        <w:rPr>
          <w:rFonts w:hint="eastAsia" w:ascii="宋体" w:hAnsi="宋体" w:cs="宋体"/>
          <w:color w:val="auto"/>
          <w:sz w:val="21"/>
          <w:szCs w:val="21"/>
          <w:highlight w:val="none"/>
          <w:lang w:val="en-US" w:eastAsia="zh-CN"/>
        </w:rPr>
        <w:t>对纳入本次发债所需要的投资性房地产、无形资产等资产进行价值评估服务并分别出具满足相关部门核准或备案要求的资产评估报告，详见</w:t>
      </w:r>
      <w:r>
        <w:rPr>
          <w:rFonts w:hint="eastAsia" w:ascii="宋体" w:hAnsi="宋体" w:eastAsia="宋体" w:cs="宋体"/>
          <w:color w:val="auto"/>
          <w:sz w:val="21"/>
          <w:szCs w:val="21"/>
          <w:highlight w:val="none"/>
          <w:lang w:val="en-US" w:eastAsia="zh-CN"/>
        </w:rPr>
        <w:t>采购需求。</w:t>
      </w:r>
    </w:p>
    <w:p w14:paraId="3B45F93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服务期</w:t>
      </w:r>
      <w:r>
        <w:rPr>
          <w:rFonts w:hint="eastAsia" w:ascii="宋体" w:hAnsi="宋体" w:eastAsia="宋体" w:cs="宋体"/>
          <w:color w:val="auto"/>
          <w:sz w:val="21"/>
          <w:szCs w:val="21"/>
          <w:highlight w:val="none"/>
        </w:rPr>
        <w:t>：</w:t>
      </w:r>
      <w:r>
        <w:rPr>
          <w:rFonts w:hint="eastAsia" w:ascii="宋体" w:hAnsi="宋体" w:cs="宋体"/>
          <w:b w:val="0"/>
          <w:bCs w:val="0"/>
          <w:color w:val="auto"/>
          <w:sz w:val="21"/>
          <w:szCs w:val="21"/>
          <w:highlight w:val="none"/>
          <w:lang w:val="en-US" w:eastAsia="zh-CN"/>
        </w:rPr>
        <w:t>自合同签订之日起1个月内完成评估并出具评估报告。</w:t>
      </w:r>
    </w:p>
    <w:p w14:paraId="2659A830">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、是否接受联合体：本项目不接受联合体</w:t>
      </w:r>
      <w:r>
        <w:rPr>
          <w:rFonts w:hint="eastAsia" w:ascii="宋体" w:hAnsi="宋体" w:eastAsia="宋体" w:cs="宋体"/>
          <w:color w:val="auto"/>
          <w:sz w:val="21"/>
          <w:szCs w:val="21"/>
          <w:highlight w:val="none"/>
          <w:lang w:eastAsia="zh-CN"/>
        </w:rPr>
        <w:t>。</w:t>
      </w:r>
    </w:p>
    <w:p w14:paraId="04463801">
      <w:pPr>
        <w:pageBreakBefore w:val="0"/>
        <w:kinsoku/>
        <w:wordWrap/>
        <w:overflowPunct/>
        <w:topLinePunct w:val="0"/>
        <w:autoSpaceDE/>
        <w:autoSpaceDN/>
        <w:bidi w:val="0"/>
        <w:adjustRightInd/>
        <w:snapToGrid w:val="0"/>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rPr>
      </w:pPr>
      <w:bookmarkStart w:id="13" w:name="_Toc35393799"/>
      <w:bookmarkStart w:id="14" w:name="_Toc20998"/>
      <w:bookmarkStart w:id="15" w:name="_Toc35393630"/>
      <w:bookmarkStart w:id="16" w:name="_Toc28359013"/>
      <w:bookmarkStart w:id="17" w:name="_Toc11070"/>
      <w:bookmarkStart w:id="18" w:name="_Toc12105"/>
      <w:bookmarkStart w:id="19" w:name="_Toc28359090"/>
      <w:r>
        <w:rPr>
          <w:rFonts w:hint="eastAsia" w:ascii="宋体" w:hAnsi="宋体" w:eastAsia="宋体" w:cs="宋体"/>
          <w:b w:val="0"/>
          <w:bCs/>
          <w:color w:val="auto"/>
          <w:sz w:val="21"/>
          <w:szCs w:val="21"/>
          <w:highlight w:val="none"/>
        </w:rPr>
        <w:t>二、申请人的资格要求</w:t>
      </w:r>
      <w:bookmarkEnd w:id="13"/>
      <w:bookmarkEnd w:id="14"/>
      <w:bookmarkEnd w:id="15"/>
      <w:bookmarkEnd w:id="16"/>
      <w:bookmarkEnd w:id="17"/>
      <w:bookmarkEnd w:id="18"/>
      <w:bookmarkEnd w:id="19"/>
    </w:p>
    <w:p w14:paraId="0CE8FA0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1、供应商须具有有效的营业执照；</w:t>
      </w:r>
    </w:p>
    <w:p w14:paraId="57D238E7">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2、本项目的特定资格要求：</w:t>
      </w:r>
    </w:p>
    <w:p w14:paraId="7CE148E8">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须已通过财政部门资产评估机构备案（须提供以下任一证明材料：财政部“资产评估机构备案信息管理系统”查询截图、中国资产评估协会统一信息平台查询截图、或省级财政部门官网备案公告截图）</w:t>
      </w:r>
      <w:r>
        <w:rPr>
          <w:rFonts w:hint="eastAsia" w:ascii="宋体" w:hAnsi="宋体" w:cs="宋体"/>
          <w:color w:val="auto"/>
          <w:sz w:val="21"/>
          <w:szCs w:val="21"/>
          <w:highlight w:val="none"/>
          <w:lang w:val="en-US" w:eastAsia="zh-CN"/>
        </w:rPr>
        <w:t>；</w:t>
      </w:r>
    </w:p>
    <w:p w14:paraId="0EB92893">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（2）供应商须已通过从事证券服务业务的资产评估机构备案（须提供财政部或证监会官网公布的“从事证券服务业务资产评估机构备案名录”中所在页面截图）</w:t>
      </w:r>
      <w:r>
        <w:rPr>
          <w:rFonts w:hint="eastAsia" w:ascii="宋体" w:hAnsi="宋体" w:cs="宋体"/>
          <w:color w:val="auto"/>
          <w:sz w:val="21"/>
          <w:szCs w:val="21"/>
          <w:highlight w:val="none"/>
          <w:lang w:val="en-US" w:eastAsia="zh-CN"/>
        </w:rPr>
        <w:t>；</w:t>
      </w:r>
    </w:p>
    <w:p w14:paraId="16607D13">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w:t>
      </w:r>
      <w:r>
        <w:rPr>
          <w:rFonts w:hint="eastAsia" w:ascii="宋体" w:hAnsi="宋体" w:cs="宋体"/>
          <w:color w:val="auto"/>
          <w:sz w:val="21"/>
          <w:szCs w:val="21"/>
          <w:highlight w:val="none"/>
          <w:lang w:val="en-US" w:eastAsia="zh-CN"/>
        </w:rPr>
        <w:t>有</w:t>
      </w:r>
      <w:r>
        <w:rPr>
          <w:rFonts w:hint="eastAsia" w:ascii="宋体" w:hAnsi="宋体" w:eastAsia="宋体" w:cs="宋体"/>
          <w:color w:val="auto"/>
          <w:sz w:val="21"/>
          <w:szCs w:val="21"/>
          <w:highlight w:val="none"/>
          <w:lang w:val="en-US" w:eastAsia="zh-CN"/>
        </w:rPr>
        <w:t>省级住房城乡建设（房地产）主管部门颁发的中华人民共和国房地产估价机构备案证书（备案资质等级为一级）；</w:t>
      </w:r>
    </w:p>
    <w:p w14:paraId="267757A0">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（4）具有省级及以上自然资源部门颁发的土地估价机构备案函</w:t>
      </w:r>
      <w:r>
        <w:rPr>
          <w:rFonts w:hint="eastAsia" w:ascii="宋体" w:hAnsi="宋体" w:cs="宋体"/>
          <w:color w:val="auto"/>
          <w:sz w:val="21"/>
          <w:szCs w:val="21"/>
          <w:highlight w:val="none"/>
          <w:lang w:val="en-US" w:eastAsia="zh-CN"/>
        </w:rPr>
        <w:t>；</w:t>
      </w:r>
    </w:p>
    <w:p w14:paraId="2625F5FC">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（5）项目负责人具有有效的注册资产评估师证书。</w:t>
      </w:r>
    </w:p>
    <w:p w14:paraId="438E3EBD">
      <w:pPr>
        <w:pageBreakBefore w:val="0"/>
        <w:kinsoku/>
        <w:wordWrap/>
        <w:overflowPunct/>
        <w:topLinePunct w:val="0"/>
        <w:autoSpaceDE/>
        <w:autoSpaceDN/>
        <w:bidi w:val="0"/>
        <w:adjustRightInd/>
        <w:snapToGrid w:val="0"/>
        <w:spacing w:line="360" w:lineRule="auto"/>
        <w:ind w:firstLine="420" w:firstLineChars="200"/>
        <w:jc w:val="left"/>
        <w:textAlignment w:val="auto"/>
        <w:outlineLvl w:val="9"/>
        <w:rPr>
          <w:rFonts w:hint="eastAsia" w:ascii="宋体" w:hAnsi="宋体" w:eastAsia="宋体" w:cs="宋体"/>
          <w:color w:val="auto"/>
          <w:sz w:val="21"/>
          <w:szCs w:val="21"/>
          <w:highlight w:val="none"/>
          <w:lang w:val="en-US" w:eastAsia="zh-CN"/>
        </w:rPr>
      </w:pPr>
      <w:bookmarkStart w:id="20" w:name="_Toc28359014"/>
      <w:bookmarkStart w:id="21" w:name="_Toc28359091"/>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、供应商存在以下不良信用记录情形之一的，不得推荐为中标候选供应商，不得确定为中标供应商（仅以下述渠道查询结果为准，其他网站无效）：</w:t>
      </w:r>
    </w:p>
    <w:p w14:paraId="7CA8FA8C">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（1）供应商被人民法院列入失信被执行人的，</w:t>
      </w:r>
    </w:p>
    <w:p w14:paraId="5CA11441">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信用中国官网（www.creditchina.gov.cn）；</w:t>
      </w:r>
    </w:p>
    <w:p w14:paraId="321348EF">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（2）供应商被市场监督管理部门列入企业经营异常名录的，</w:t>
      </w:r>
    </w:p>
    <w:p w14:paraId="0C6C9E7D">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信用中国官网（www.creditchina.gov.cn）；</w:t>
      </w:r>
    </w:p>
    <w:p w14:paraId="01C27EC4">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（3）供应商被税务部门列入重大税收违法案件当事人名单的，</w:t>
      </w:r>
    </w:p>
    <w:p w14:paraId="2A094CC6">
      <w:pPr>
        <w:pStyle w:val="3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信用中国官网（www.creditchina.gov.cn）；</w:t>
      </w:r>
    </w:p>
    <w:p w14:paraId="2A73385B">
      <w:pPr>
        <w:pStyle w:val="3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rightChars="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4）</w:t>
      </w:r>
      <w:r>
        <w:rPr>
          <w:rFonts w:hint="eastAsia" w:ascii="宋体" w:hAnsi="宋体" w:cs="宋体"/>
          <w:color w:val="auto"/>
          <w:sz w:val="21"/>
          <w:szCs w:val="21"/>
          <w:highlight w:val="none"/>
          <w:lang w:val="en-US" w:eastAsia="zh-CN"/>
        </w:rPr>
        <w:t>供应商被政府采购监管部门列入政府采购严重违法失信行为记录名单的，</w:t>
      </w:r>
    </w:p>
    <w:p w14:paraId="3BA8026B">
      <w:pPr>
        <w:pStyle w:val="3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360" w:lineRule="auto"/>
        <w:ind w:right="0" w:rightChars="0" w:firstLine="420" w:firstLineChars="200"/>
        <w:jc w:val="left"/>
        <w:textAlignment w:val="auto"/>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中国政府采购官网（www.ccgp.gov.cn）。</w:t>
      </w:r>
    </w:p>
    <w:bookmarkEnd w:id="20"/>
    <w:bookmarkEnd w:id="21"/>
    <w:p w14:paraId="50C8F14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bookmarkStart w:id="22" w:name="_Toc18386"/>
      <w:r>
        <w:rPr>
          <w:rFonts w:hint="eastAsia" w:ascii="宋体" w:hAnsi="宋体" w:eastAsia="宋体" w:cs="宋体"/>
          <w:b w:val="0"/>
          <w:bCs/>
          <w:color w:val="auto"/>
          <w:sz w:val="21"/>
          <w:szCs w:val="21"/>
          <w:highlight w:val="none"/>
        </w:rPr>
        <w:t>三、招标文件获取时间</w:t>
      </w:r>
    </w:p>
    <w:p w14:paraId="2F2CEEB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本项目勿需报名，投标供应商于</w:t>
      </w:r>
      <w:r>
        <w:rPr>
          <w:rFonts w:hint="eastAsia" w:ascii="宋体" w:hAnsi="宋体" w:cs="宋体"/>
          <w:b w:val="0"/>
          <w:bCs/>
          <w:color w:val="auto"/>
          <w:sz w:val="21"/>
          <w:szCs w:val="21"/>
          <w:highlight w:val="none"/>
          <w:lang w:eastAsia="zh-CN"/>
        </w:rPr>
        <w:t>2026年9月2日</w:t>
      </w:r>
      <w:r>
        <w:rPr>
          <w:rFonts w:hint="eastAsia" w:ascii="宋体" w:hAnsi="宋体" w:eastAsia="宋体" w:cs="宋体"/>
          <w:b w:val="0"/>
          <w:bCs/>
          <w:color w:val="auto"/>
          <w:sz w:val="21"/>
          <w:szCs w:val="21"/>
          <w:highlight w:val="none"/>
        </w:rPr>
        <w:t>起（北京时间，下同）起自行登录安徽霍山国有资产投资控股集团有限公司（</w:t>
      </w:r>
      <w:r>
        <w:rPr>
          <w:rFonts w:hint="eastAsia" w:ascii="宋体" w:hAnsi="宋体" w:cs="宋体"/>
          <w:b w:val="0"/>
          <w:bCs/>
          <w:color w:val="auto"/>
          <w:sz w:val="21"/>
          <w:szCs w:val="21"/>
          <w:highlight w:val="none"/>
          <w:lang w:eastAsia="zh-CN"/>
        </w:rPr>
        <w:t>http://www.ahdmig.cn</w:t>
      </w:r>
      <w:r>
        <w:rPr>
          <w:rFonts w:hint="eastAsia" w:ascii="宋体" w:hAnsi="宋体" w:eastAsia="宋体" w:cs="宋体"/>
          <w:b w:val="0"/>
          <w:bCs/>
          <w:color w:val="auto"/>
          <w:sz w:val="21"/>
          <w:szCs w:val="21"/>
          <w:highlight w:val="none"/>
        </w:rPr>
        <w:t>）“招标采购”栏目中下载招标文件等相关资料。请投标供应商关注安徽霍山国有资产投资控股集团有限公司（</w:t>
      </w:r>
      <w:r>
        <w:rPr>
          <w:rFonts w:hint="eastAsia" w:ascii="宋体" w:hAnsi="宋体" w:cs="宋体"/>
          <w:b w:val="0"/>
          <w:bCs/>
          <w:color w:val="auto"/>
          <w:sz w:val="21"/>
          <w:szCs w:val="21"/>
          <w:highlight w:val="none"/>
          <w:lang w:eastAsia="zh-CN"/>
        </w:rPr>
        <w:t>http://www.ahdmig.cn</w:t>
      </w:r>
      <w:r>
        <w:rPr>
          <w:rFonts w:hint="eastAsia" w:ascii="宋体" w:hAnsi="宋体" w:eastAsia="宋体" w:cs="宋体"/>
          <w:b w:val="0"/>
          <w:bCs/>
          <w:color w:val="auto"/>
          <w:sz w:val="21"/>
          <w:szCs w:val="21"/>
          <w:highlight w:val="none"/>
        </w:rPr>
        <w:t>）“招标采购”“补充公告”中关于本项目的补遗、答疑等内容。</w:t>
      </w:r>
    </w:p>
    <w:p w14:paraId="44AD820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四、开标日期和地点</w:t>
      </w:r>
    </w:p>
    <w:p w14:paraId="1166147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（一）开标日期：</w:t>
      </w:r>
      <w:r>
        <w:rPr>
          <w:rFonts w:hint="eastAsia" w:ascii="宋体" w:hAnsi="宋体" w:cs="宋体"/>
          <w:b w:val="0"/>
          <w:bCs/>
          <w:color w:val="auto"/>
          <w:sz w:val="21"/>
          <w:szCs w:val="21"/>
          <w:highlight w:val="none"/>
          <w:lang w:eastAsia="zh-CN"/>
        </w:rPr>
        <w:t>2026年9月7日09时30分</w:t>
      </w:r>
    </w:p>
    <w:p w14:paraId="68F2B2B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（二）开标地点：安徽大别山工程咨询有限公司开标厅201室（霍山县国投大厦）</w:t>
      </w:r>
    </w:p>
    <w:p w14:paraId="77A9143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五、联系方式</w:t>
      </w:r>
    </w:p>
    <w:p w14:paraId="6B02657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一)项目单位：</w:t>
      </w:r>
      <w:r>
        <w:rPr>
          <w:rFonts w:hint="eastAsia" w:ascii="宋体" w:hAnsi="宋体" w:cs="宋体"/>
          <w:b w:val="0"/>
          <w:bCs/>
          <w:color w:val="auto"/>
          <w:sz w:val="21"/>
          <w:szCs w:val="21"/>
          <w:highlight w:val="none"/>
          <w:lang w:eastAsia="zh-CN"/>
        </w:rPr>
        <w:t>安徽霍山国有资产投资控股集团有限公司</w:t>
      </w:r>
    </w:p>
    <w:p w14:paraId="47D0327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地  址：</w:t>
      </w:r>
      <w:r>
        <w:rPr>
          <w:rFonts w:hint="eastAsia" w:ascii="宋体" w:hAnsi="宋体" w:cs="宋体"/>
          <w:b w:val="0"/>
          <w:bCs/>
          <w:color w:val="auto"/>
          <w:sz w:val="21"/>
          <w:szCs w:val="21"/>
          <w:highlight w:val="none"/>
          <w:lang w:eastAsia="zh-CN"/>
        </w:rPr>
        <w:t>霍山县国投大厦</w:t>
      </w:r>
    </w:p>
    <w:p w14:paraId="05BB811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color w:val="auto"/>
          <w:sz w:val="21"/>
          <w:szCs w:val="21"/>
          <w:highlight w:val="none"/>
          <w:lang w:val="en-US"/>
        </w:rPr>
      </w:pPr>
      <w:r>
        <w:rPr>
          <w:rFonts w:hint="eastAsia" w:ascii="宋体" w:hAnsi="宋体" w:eastAsia="宋体" w:cs="宋体"/>
          <w:b w:val="0"/>
          <w:bCs/>
          <w:color w:val="auto"/>
          <w:sz w:val="21"/>
          <w:szCs w:val="21"/>
          <w:highlight w:val="none"/>
        </w:rPr>
        <w:t>联系人：</w:t>
      </w:r>
      <w:r>
        <w:rPr>
          <w:rFonts w:hint="eastAsia" w:ascii="宋体" w:hAnsi="宋体" w:cs="宋体"/>
          <w:color w:val="auto"/>
          <w:highlight w:val="none"/>
          <w:lang w:val="en-US" w:eastAsia="zh-CN"/>
        </w:rPr>
        <w:t>徐先生</w:t>
      </w:r>
    </w:p>
    <w:p w14:paraId="2EADEC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联系方式</w:t>
      </w:r>
      <w:r>
        <w:rPr>
          <w:rFonts w:hint="eastAsia" w:ascii="宋体" w:hAnsi="宋体" w:cs="宋体"/>
          <w:b w:val="0"/>
          <w:bCs/>
          <w:color w:val="auto"/>
          <w:sz w:val="21"/>
          <w:szCs w:val="21"/>
          <w:highlight w:val="none"/>
          <w:lang w:eastAsia="zh-CN"/>
        </w:rPr>
        <w:t>：17754149877</w:t>
      </w:r>
    </w:p>
    <w:p w14:paraId="08E89B4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二)代理机构：安徽大别山工程咨询有限公司</w:t>
      </w:r>
    </w:p>
    <w:p w14:paraId="1EAFDB0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地  址：霍山县国投大厦2楼20</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室</w:t>
      </w:r>
    </w:p>
    <w:p w14:paraId="073ED1A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联系人：</w:t>
      </w:r>
      <w:r>
        <w:rPr>
          <w:rFonts w:hint="eastAsia" w:ascii="宋体" w:hAnsi="宋体" w:cs="宋体"/>
          <w:b w:val="0"/>
          <w:bCs/>
          <w:color w:val="auto"/>
          <w:sz w:val="21"/>
          <w:szCs w:val="21"/>
          <w:highlight w:val="none"/>
          <w:lang w:val="en-US" w:eastAsia="zh-CN"/>
        </w:rPr>
        <w:t>徐先生</w:t>
      </w:r>
    </w:p>
    <w:p w14:paraId="03D7964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联系方式：0564-5020033，</w:t>
      </w:r>
      <w:r>
        <w:rPr>
          <w:rFonts w:hint="eastAsia" w:ascii="宋体" w:hAnsi="宋体" w:cs="宋体"/>
          <w:b w:val="0"/>
          <w:bCs/>
          <w:color w:val="auto"/>
          <w:sz w:val="21"/>
          <w:szCs w:val="21"/>
          <w:highlight w:val="none"/>
          <w:lang w:val="en-US" w:eastAsia="zh-CN"/>
        </w:rPr>
        <w:t>17756405133</w:t>
      </w:r>
    </w:p>
    <w:p w14:paraId="1C5962D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（三）监督部门：安徽霍山国有资产投资控股集团有限公司纪检监察室</w:t>
      </w:r>
    </w:p>
    <w:p w14:paraId="0E5C134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地  址：霍山县国投大厦</w:t>
      </w:r>
      <w:r>
        <w:rPr>
          <w:rFonts w:hint="eastAsia" w:ascii="宋体" w:hAnsi="宋体" w:eastAsia="宋体" w:cs="宋体"/>
          <w:b w:val="0"/>
          <w:bCs/>
          <w:color w:val="auto"/>
          <w:sz w:val="21"/>
          <w:szCs w:val="21"/>
          <w:highlight w:val="none"/>
          <w:lang w:val="en-US" w:eastAsia="zh-CN"/>
        </w:rPr>
        <w:t>16</w:t>
      </w:r>
      <w:r>
        <w:rPr>
          <w:rFonts w:hint="eastAsia" w:ascii="宋体" w:hAnsi="宋体" w:eastAsia="宋体" w:cs="宋体"/>
          <w:b w:val="0"/>
          <w:bCs/>
          <w:color w:val="auto"/>
          <w:sz w:val="21"/>
          <w:szCs w:val="21"/>
          <w:highlight w:val="none"/>
        </w:rPr>
        <w:t>楼</w:t>
      </w:r>
      <w:r>
        <w:rPr>
          <w:rFonts w:hint="eastAsia" w:ascii="宋体" w:hAnsi="宋体" w:cs="宋体"/>
          <w:b w:val="0"/>
          <w:bCs/>
          <w:color w:val="auto"/>
          <w:sz w:val="21"/>
          <w:szCs w:val="21"/>
          <w:highlight w:val="none"/>
          <w:lang w:val="en-US" w:eastAsia="zh-CN"/>
        </w:rPr>
        <w:t>1607室</w:t>
      </w:r>
    </w:p>
    <w:p w14:paraId="33F9F7C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联系人：张</w:t>
      </w:r>
      <w:r>
        <w:rPr>
          <w:rFonts w:hint="eastAsia" w:ascii="宋体" w:hAnsi="宋体" w:cs="宋体"/>
          <w:b w:val="0"/>
          <w:bCs/>
          <w:color w:val="auto"/>
          <w:sz w:val="21"/>
          <w:szCs w:val="21"/>
          <w:highlight w:val="none"/>
          <w:lang w:val="en-US" w:eastAsia="zh-CN"/>
        </w:rPr>
        <w:t>先生</w:t>
      </w:r>
    </w:p>
    <w:p w14:paraId="69966B0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电  话：0564-5020180</w:t>
      </w:r>
    </w:p>
    <w:p w14:paraId="6901DA8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六、发布媒介</w:t>
      </w:r>
    </w:p>
    <w:p w14:paraId="7B45D8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安徽霍山国有资产投资控股集团有限公司（</w:t>
      </w:r>
      <w:r>
        <w:rPr>
          <w:rFonts w:hint="eastAsia" w:ascii="宋体" w:hAnsi="宋体" w:cs="宋体"/>
          <w:b w:val="0"/>
          <w:bCs/>
          <w:color w:val="auto"/>
          <w:sz w:val="21"/>
          <w:szCs w:val="21"/>
          <w:highlight w:val="none"/>
          <w:lang w:eastAsia="zh-CN"/>
        </w:rPr>
        <w:t>http://www.ahdmig.cn</w:t>
      </w: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eastAsia="zh-CN"/>
        </w:rPr>
        <w:t>。</w:t>
      </w:r>
    </w:p>
    <w:p w14:paraId="0BB236AA">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cs="宋体"/>
          <w:b w:val="0"/>
          <w:bCs/>
          <w:color w:val="auto"/>
          <w:sz w:val="21"/>
          <w:szCs w:val="21"/>
          <w:highlight w:val="none"/>
          <w:lang w:eastAsia="zh-CN"/>
        </w:rPr>
      </w:pPr>
    </w:p>
    <w:p w14:paraId="3A0678C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安徽霍山国有资产投资控股集团有限公司</w:t>
      </w:r>
    </w:p>
    <w:p w14:paraId="6C198FF5">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安徽大别山工程咨询有限公司</w:t>
      </w:r>
    </w:p>
    <w:p w14:paraId="30BEA341">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2026年9月2日</w:t>
      </w:r>
    </w:p>
    <w:p w14:paraId="7B64C815">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42F8C6F9">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0"/>
        <w:rPr>
          <w:b/>
          <w:bCs/>
          <w:color w:val="auto"/>
          <w:sz w:val="32"/>
          <w:szCs w:val="32"/>
          <w:highlight w:val="none"/>
        </w:rPr>
      </w:pPr>
      <w:bookmarkStart w:id="23" w:name="_Toc9928"/>
      <w:bookmarkStart w:id="24" w:name="_Toc22581"/>
      <w:bookmarkStart w:id="25" w:name="_Toc29888"/>
      <w:r>
        <w:rPr>
          <w:rFonts w:hint="eastAsia"/>
          <w:b/>
          <w:bCs/>
          <w:color w:val="auto"/>
          <w:sz w:val="32"/>
          <w:szCs w:val="32"/>
          <w:highlight w:val="none"/>
          <w:lang w:val="en-US" w:eastAsia="zh-CN"/>
        </w:rPr>
        <w:t xml:space="preserve">第二章  </w:t>
      </w:r>
      <w:r>
        <w:rPr>
          <w:rFonts w:hint="eastAsia"/>
          <w:b/>
          <w:bCs/>
          <w:color w:val="auto"/>
          <w:sz w:val="32"/>
          <w:szCs w:val="32"/>
          <w:highlight w:val="none"/>
        </w:rPr>
        <w:t>供应商须知</w:t>
      </w:r>
      <w:bookmarkEnd w:id="2"/>
      <w:bookmarkEnd w:id="3"/>
      <w:bookmarkEnd w:id="22"/>
      <w:bookmarkEnd w:id="23"/>
      <w:bookmarkEnd w:id="24"/>
      <w:bookmarkEnd w:id="25"/>
    </w:p>
    <w:p w14:paraId="03AC77EC">
      <w:pPr>
        <w:keepNext w:val="0"/>
        <w:keepLines w:val="0"/>
        <w:pageBreakBefore w:val="0"/>
        <w:widowControl/>
        <w:shd w:val="clear" w:color="auto" w:fill="FFFFFF"/>
        <w:kinsoku/>
        <w:wordWrap/>
        <w:overflowPunct/>
        <w:topLinePunct w:val="0"/>
        <w:autoSpaceDE/>
        <w:autoSpaceDN/>
        <w:bidi w:val="0"/>
        <w:adjustRightInd w:val="0"/>
        <w:snapToGrid w:val="0"/>
        <w:spacing w:line="480" w:lineRule="auto"/>
        <w:jc w:val="center"/>
        <w:textAlignment w:val="auto"/>
        <w:outlineLvl w:val="1"/>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30"/>
          <w:szCs w:val="30"/>
          <w:highlight w:val="none"/>
        </w:rPr>
        <w:t>一、</w:t>
      </w:r>
      <w:r>
        <w:rPr>
          <w:rFonts w:hint="eastAsia" w:ascii="宋体" w:hAnsi="宋体" w:eastAsia="宋体" w:cs="宋体"/>
          <w:b/>
          <w:bCs/>
          <w:color w:val="auto"/>
          <w:kern w:val="0"/>
          <w:sz w:val="30"/>
          <w:szCs w:val="30"/>
          <w:highlight w:val="none"/>
          <w:lang w:val="zh-CN"/>
        </w:rPr>
        <w:t>供应商须知前附表</w:t>
      </w:r>
    </w:p>
    <w:tbl>
      <w:tblPr>
        <w:tblStyle w:val="38"/>
        <w:tblW w:w="100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2190"/>
        <w:gridCol w:w="7090"/>
      </w:tblGrid>
      <w:tr w14:paraId="72A23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44FBB37">
            <w:pPr>
              <w:adjustRightInd w:val="0"/>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AC8011F">
            <w:pPr>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E1D04AE">
            <w:pPr>
              <w:tabs>
                <w:tab w:val="left" w:pos="1180"/>
              </w:tabs>
              <w:adjustRightInd w:val="0"/>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说明与要求</w:t>
            </w:r>
          </w:p>
        </w:tc>
      </w:tr>
      <w:tr w14:paraId="07B15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3CBABC0">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60175E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C64FF1F">
            <w:pPr>
              <w:adjustRightInd w:val="0"/>
              <w:snapToGrid w:val="0"/>
              <w:spacing w:line="310" w:lineRule="exact"/>
              <w:rPr>
                <w:rFonts w:hint="default" w:ascii="宋体" w:hAnsi="宋体" w:cs="宋体"/>
                <w:color w:val="auto"/>
                <w:szCs w:val="21"/>
                <w:highlight w:val="none"/>
                <w:lang w:val="en-US"/>
              </w:rPr>
            </w:pPr>
            <w:r>
              <w:rPr>
                <w:rFonts w:hint="eastAsia" w:ascii="宋体" w:hAnsi="宋体" w:cs="宋体"/>
                <w:color w:val="auto"/>
                <w:sz w:val="21"/>
                <w:szCs w:val="21"/>
                <w:highlight w:val="none"/>
                <w:lang w:val="en-US" w:eastAsia="zh-CN"/>
              </w:rPr>
              <w:t>安徽霍山国有资产投资控股集团有限公司产业债发行主体资产评估服务采购项目</w:t>
            </w:r>
          </w:p>
        </w:tc>
      </w:tr>
      <w:tr w14:paraId="60148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92C47F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E76734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项目性质</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A389ED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服务类</w:t>
            </w:r>
          </w:p>
        </w:tc>
      </w:tr>
      <w:tr w14:paraId="7ACD5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4E0CE3A">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E7E7F27">
            <w:pPr>
              <w:adjustRightInd w:val="0"/>
              <w:snapToGrid w:val="0"/>
              <w:spacing w:line="310" w:lineRule="exact"/>
              <w:rPr>
                <w:rFonts w:hint="eastAsia" w:ascii="Times New Roman" w:hAnsi="Times New Roman" w:eastAsia="宋体" w:cs="Arial"/>
                <w:color w:val="auto"/>
                <w:szCs w:val="21"/>
                <w:highlight w:val="none"/>
                <w:lang w:eastAsia="zh-CN"/>
              </w:rPr>
            </w:pPr>
            <w:r>
              <w:rPr>
                <w:rFonts w:hint="eastAsia" w:ascii="Times New Roman" w:hAnsi="Times New Roman" w:eastAsia="宋体" w:cs="Arial"/>
                <w:color w:val="auto"/>
                <w:szCs w:val="21"/>
                <w:highlight w:val="none"/>
                <w:lang w:eastAsia="zh-CN"/>
              </w:rPr>
              <w:t>采购单位</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D750A16">
            <w:pPr>
              <w:adjustRightInd w:val="0"/>
              <w:snapToGrid w:val="0"/>
              <w:spacing w:line="310" w:lineRule="exact"/>
              <w:rPr>
                <w:rFonts w:hint="eastAsia" w:ascii="宋体" w:hAnsi="宋体" w:cs="宋体"/>
                <w:color w:val="auto"/>
                <w:highlight w:val="none"/>
                <w:lang w:eastAsia="zh-CN"/>
              </w:rPr>
            </w:pPr>
            <w:r>
              <w:rPr>
                <w:rFonts w:hint="eastAsia" w:ascii="宋体" w:hAnsi="宋体" w:cs="宋体"/>
                <w:color w:val="auto"/>
                <w:highlight w:val="none"/>
                <w:lang w:eastAsia="zh-CN"/>
              </w:rPr>
              <w:t>安徽霍山国有资产投资控股集团有限公司</w:t>
            </w:r>
          </w:p>
          <w:p w14:paraId="206649A3">
            <w:pPr>
              <w:adjustRightInd w:val="0"/>
              <w:snapToGrid w:val="0"/>
              <w:spacing w:line="310" w:lineRule="exact"/>
              <w:rPr>
                <w:rFonts w:hint="default" w:ascii="宋体" w:hAnsi="宋体" w:cs="宋体"/>
                <w:color w:val="auto"/>
                <w:highlight w:val="none"/>
                <w:lang w:val="en-US" w:eastAsia="zh-CN"/>
              </w:rPr>
            </w:pPr>
            <w:r>
              <w:rPr>
                <w:rFonts w:hint="eastAsia" w:ascii="宋体" w:hAnsi="宋体" w:cs="宋体"/>
                <w:color w:val="auto"/>
                <w:highlight w:val="none"/>
                <w:lang w:eastAsia="zh-CN"/>
              </w:rPr>
              <w:t>地址：霍山县国投大厦15楼</w:t>
            </w:r>
          </w:p>
          <w:p w14:paraId="64617DE1">
            <w:pPr>
              <w:adjustRightInd w:val="0"/>
              <w:snapToGrid w:val="0"/>
              <w:spacing w:line="310" w:lineRule="exact"/>
              <w:rPr>
                <w:rFonts w:hint="default" w:ascii="宋体" w:hAnsi="宋体" w:cs="宋体"/>
                <w:color w:val="auto"/>
                <w:highlight w:val="none"/>
                <w:lang w:val="en-US" w:eastAsia="zh-CN"/>
              </w:rPr>
            </w:pPr>
            <w:r>
              <w:rPr>
                <w:rFonts w:hint="eastAsia" w:ascii="宋体" w:hAnsi="宋体" w:cs="宋体"/>
                <w:color w:val="auto"/>
                <w:highlight w:val="none"/>
                <w:lang w:eastAsia="zh-CN"/>
              </w:rPr>
              <w:t>联系人：</w:t>
            </w:r>
            <w:r>
              <w:rPr>
                <w:rFonts w:hint="eastAsia" w:ascii="宋体" w:hAnsi="宋体" w:cs="宋体"/>
                <w:color w:val="auto"/>
                <w:highlight w:val="none"/>
                <w:lang w:val="en-US" w:eastAsia="zh-CN"/>
              </w:rPr>
              <w:t>徐先生</w:t>
            </w:r>
          </w:p>
          <w:p w14:paraId="4A3584F4">
            <w:pPr>
              <w:adjustRightInd w:val="0"/>
              <w:snapToGrid w:val="0"/>
              <w:spacing w:line="310" w:lineRule="exact"/>
              <w:rPr>
                <w:rFonts w:hint="default" w:ascii="Times New Roman" w:hAnsi="Times New Roman" w:eastAsia="宋体" w:cs="Arial"/>
                <w:color w:val="auto"/>
                <w:szCs w:val="21"/>
                <w:highlight w:val="none"/>
                <w:lang w:val="en-US" w:eastAsia="zh-CN"/>
              </w:rPr>
            </w:pPr>
            <w:r>
              <w:rPr>
                <w:rFonts w:hint="eastAsia" w:ascii="宋体" w:hAnsi="宋体" w:cs="宋体"/>
                <w:color w:val="auto"/>
                <w:highlight w:val="none"/>
                <w:lang w:eastAsia="zh-CN"/>
              </w:rPr>
              <w:t>联系方式：17754149877</w:t>
            </w:r>
          </w:p>
        </w:tc>
      </w:tr>
      <w:tr w14:paraId="40F3D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F042CB4">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F25DAD4">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代理机构</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C84BF37">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代理机构：安徽大别山工程咨询有限公司</w:t>
            </w:r>
          </w:p>
          <w:p w14:paraId="160A6C53">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地址：霍山县国投大厦2楼20</w:t>
            </w:r>
            <w:r>
              <w:rPr>
                <w:rFonts w:hint="eastAsia" w:ascii="宋体" w:hAnsi="宋体" w:cs="宋体"/>
                <w:color w:val="auto"/>
                <w:highlight w:val="none"/>
                <w:lang w:val="en-US" w:eastAsia="zh-CN"/>
              </w:rPr>
              <w:t>4</w:t>
            </w:r>
            <w:r>
              <w:rPr>
                <w:rFonts w:hint="default" w:ascii="宋体" w:hAnsi="宋体" w:eastAsia="宋体" w:cs="宋体"/>
                <w:color w:val="auto"/>
                <w:highlight w:val="none"/>
                <w:lang w:val="en-US" w:eastAsia="zh-CN"/>
              </w:rPr>
              <w:t>室</w:t>
            </w:r>
          </w:p>
          <w:p w14:paraId="5E02F090">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联系人：</w:t>
            </w:r>
            <w:r>
              <w:rPr>
                <w:rFonts w:hint="eastAsia" w:ascii="宋体" w:hAnsi="宋体" w:cs="宋体"/>
                <w:color w:val="auto"/>
                <w:highlight w:val="none"/>
                <w:lang w:val="en-US" w:eastAsia="zh-CN"/>
              </w:rPr>
              <w:t>徐先生</w:t>
            </w:r>
          </w:p>
          <w:p w14:paraId="6A65E970">
            <w:pPr>
              <w:adjustRightInd w:val="0"/>
              <w:snapToGrid w:val="0"/>
              <w:spacing w:line="310" w:lineRule="exac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电话：0564-5020033，</w:t>
            </w:r>
            <w:r>
              <w:rPr>
                <w:rFonts w:hint="eastAsia" w:ascii="宋体" w:hAnsi="宋体" w:cs="宋体"/>
                <w:color w:val="auto"/>
                <w:highlight w:val="none"/>
                <w:lang w:val="en-US" w:eastAsia="zh-CN"/>
              </w:rPr>
              <w:t>17756405133</w:t>
            </w:r>
          </w:p>
        </w:tc>
      </w:tr>
      <w:tr w14:paraId="26E70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383AB29">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0E71F53">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2232D22">
            <w:pPr>
              <w:adjustRightInd w:val="0"/>
              <w:snapToGrid w:val="0"/>
              <w:spacing w:line="310" w:lineRule="exact"/>
              <w:rPr>
                <w:rFonts w:hint="eastAsia" w:ascii="宋体" w:hAnsi="宋体" w:eastAsia="宋体" w:cs="宋体"/>
                <w:color w:val="auto"/>
                <w:highlight w:val="none"/>
                <w:lang w:eastAsia="zh-CN"/>
              </w:rPr>
            </w:pPr>
            <w:r>
              <w:rPr>
                <w:rFonts w:hint="eastAsia" w:ascii="宋体" w:hAnsi="宋体" w:cs="宋体"/>
                <w:color w:val="auto"/>
                <w:highlight w:val="none"/>
                <w:lang w:eastAsia="zh-CN"/>
              </w:rPr>
              <w:t>竞争谈判</w:t>
            </w:r>
          </w:p>
        </w:tc>
      </w:tr>
      <w:tr w14:paraId="22426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1D5945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1D3452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资金来源</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71F3367">
            <w:pPr>
              <w:adjustRightInd w:val="0"/>
              <w:snapToGrid w:val="0"/>
              <w:spacing w:line="310" w:lineRule="exact"/>
              <w:rPr>
                <w:rFonts w:hint="eastAsia" w:ascii="宋体" w:hAnsi="宋体" w:cs="宋体"/>
                <w:color w:val="auto"/>
                <w:highlight w:val="none"/>
              </w:rPr>
            </w:pPr>
            <w:r>
              <w:rPr>
                <w:rFonts w:hint="eastAsia" w:ascii="宋体" w:hAnsi="宋体" w:cs="宋体"/>
                <w:color w:val="auto"/>
                <w:highlight w:val="none"/>
                <w:lang w:val="en-US" w:eastAsia="zh-CN"/>
              </w:rPr>
              <w:t>自筹资金</w:t>
            </w:r>
          </w:p>
        </w:tc>
      </w:tr>
      <w:tr w14:paraId="6FE2F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378C290">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2EDB78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1B21BBFE">
            <w:pPr>
              <w:keepNext w:val="0"/>
              <w:keepLines w:val="0"/>
              <w:pageBreakBefore w:val="0"/>
              <w:widowControl w:val="0"/>
              <w:kinsoku/>
              <w:wordWrap/>
              <w:overflowPunct/>
              <w:topLinePunct w:val="0"/>
              <w:autoSpaceDE/>
              <w:autoSpaceDN/>
              <w:bidi w:val="0"/>
              <w:spacing w:line="240" w:lineRule="auto"/>
              <w:jc w:val="both"/>
              <w:textAlignment w:val="auto"/>
              <w:rPr>
                <w:rFonts w:hint="default"/>
                <w:color w:val="auto"/>
                <w:highlight w:val="none"/>
                <w:lang w:val="en-US"/>
              </w:rPr>
            </w:pPr>
            <w:r>
              <w:rPr>
                <w:rFonts w:hint="eastAsia"/>
                <w:color w:val="auto"/>
                <w:highlight w:val="none"/>
                <w:lang w:eastAsia="zh-CN"/>
              </w:rPr>
              <w:t>详见谈判公告。</w:t>
            </w:r>
          </w:p>
        </w:tc>
      </w:tr>
      <w:tr w14:paraId="077BF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B1CE56E">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BAB859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供应商资格要求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769F5CA">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both"/>
              <w:textAlignment w:val="auto"/>
              <w:rPr>
                <w:rFonts w:hint="eastAsia" w:eastAsia="宋体"/>
                <w:color w:val="auto"/>
                <w:highlight w:val="none"/>
                <w:lang w:eastAsia="zh-CN"/>
              </w:rPr>
            </w:pPr>
            <w:r>
              <w:rPr>
                <w:rFonts w:hint="eastAsia"/>
                <w:color w:val="auto"/>
                <w:highlight w:val="none"/>
                <w:lang w:eastAsia="zh-CN"/>
              </w:rPr>
              <w:t>详见谈判公告。</w:t>
            </w:r>
          </w:p>
        </w:tc>
      </w:tr>
      <w:tr w14:paraId="72268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2840842">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5A283FFB">
            <w:pPr>
              <w:pStyle w:val="102"/>
              <w:pBdr>
                <w:bottom w:val="none" w:color="auto" w:sz="0" w:space="0"/>
              </w:pBdr>
              <w:tabs>
                <w:tab w:val="clear" w:pos="4153"/>
                <w:tab w:val="clear" w:pos="8306"/>
              </w:tabs>
              <w:adjustRightInd/>
              <w:spacing w:line="460" w:lineRule="exact"/>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询问、质疑</w:t>
            </w:r>
          </w:p>
          <w:p w14:paraId="0FD216B6">
            <w:pPr>
              <w:shd w:val="solid" w:color="FFFFFF" w:fill="auto"/>
              <w:adjustRightInd w:val="0"/>
              <w:snapToGrid w:val="0"/>
              <w:spacing w:line="310" w:lineRule="exact"/>
              <w:rPr>
                <w:rFonts w:hint="eastAsia" w:ascii="宋体" w:hAnsi="宋体" w:cs="宋体"/>
                <w:color w:val="auto"/>
                <w:szCs w:val="21"/>
                <w:highlight w:val="none"/>
              </w:rPr>
            </w:pP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CE5FFCB">
            <w:pPr>
              <w:widowControl/>
              <w:shd w:val="clear" w:color="auto" w:fill="FFFFFF"/>
              <w:adjustRightInd w:val="0"/>
              <w:snapToGrid w:val="0"/>
              <w:spacing w:line="36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供应商如果对</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文件存在误解或理解不清，可以按以下方式提出询问：</w:t>
            </w:r>
            <w:r>
              <w:rPr>
                <w:rFonts w:hint="eastAsia" w:ascii="宋体" w:hAnsi="宋体" w:eastAsia="宋体" w:cs="宋体"/>
                <w:color w:val="auto"/>
                <w:highlight w:val="none"/>
                <w:lang w:eastAsia="zh-CN"/>
              </w:rPr>
              <w:t>谈判截止日期前</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天</w:t>
            </w:r>
            <w:r>
              <w:rPr>
                <w:rFonts w:hint="eastAsia" w:ascii="宋体" w:hAnsi="宋体" w:eastAsia="宋体" w:cs="宋体"/>
                <w:color w:val="auto"/>
                <w:highlight w:val="none"/>
              </w:rPr>
              <w:t>前提交电子版发至邮</w:t>
            </w:r>
            <w:r>
              <w:rPr>
                <w:rFonts w:hint="eastAsia" w:ascii="宋体" w:hAnsi="宋体" w:cs="宋体"/>
                <w:color w:val="auto"/>
                <w:highlight w:val="none"/>
                <w:lang w:val="en-US" w:eastAsia="zh-CN"/>
              </w:rPr>
              <w:t>2628963924</w:t>
            </w:r>
            <w:r>
              <w:rPr>
                <w:rFonts w:hint="eastAsia" w:ascii="宋体" w:hAnsi="宋体" w:eastAsia="宋体" w:cs="宋体"/>
                <w:color w:val="auto"/>
                <w:highlight w:val="none"/>
              </w:rPr>
              <w:t>@qq.com。逾期不予受理（不得署名）。</w:t>
            </w:r>
          </w:p>
          <w:p w14:paraId="65DC860B">
            <w:pPr>
              <w:widowControl/>
              <w:shd w:val="clear" w:color="auto" w:fill="FFFFFF"/>
              <w:adjustRightInd w:val="0"/>
              <w:snapToGrid w:val="0"/>
              <w:spacing w:line="36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答复：</w:t>
            </w:r>
            <w:r>
              <w:rPr>
                <w:rFonts w:hint="eastAsia" w:ascii="宋体" w:hAnsi="宋体" w:eastAsia="宋体" w:cs="宋体"/>
                <w:color w:val="auto"/>
                <w:highlight w:val="none"/>
                <w:lang w:eastAsia="zh-CN"/>
              </w:rPr>
              <w:t>谈判截止日期前</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天</w:t>
            </w:r>
            <w:r>
              <w:rPr>
                <w:rFonts w:hint="eastAsia" w:ascii="宋体" w:hAnsi="宋体" w:eastAsia="宋体" w:cs="宋体"/>
                <w:color w:val="auto"/>
                <w:highlight w:val="none"/>
              </w:rPr>
              <w:t>前于“</w:t>
            </w:r>
            <w:r>
              <w:rPr>
                <w:rFonts w:hint="eastAsia" w:ascii="宋体" w:hAnsi="宋体" w:eastAsia="宋体" w:cs="宋体"/>
                <w:color w:val="auto"/>
                <w:highlight w:val="none"/>
                <w:lang w:eastAsia="zh-CN"/>
              </w:rPr>
              <w:t>安徽霍山国有资产投资控股集团有限公司</w:t>
            </w:r>
            <w:r>
              <w:rPr>
                <w:rFonts w:hint="eastAsia" w:ascii="宋体" w:hAnsi="宋体" w:eastAsia="宋体" w:cs="宋体"/>
                <w:color w:val="auto"/>
                <w:highlight w:val="none"/>
              </w:rPr>
              <w:t>（</w:t>
            </w:r>
            <w:r>
              <w:rPr>
                <w:rFonts w:hint="eastAsia" w:ascii="宋体" w:hAnsi="宋体" w:cs="宋体"/>
                <w:color w:val="auto"/>
                <w:highlight w:val="none"/>
                <w:lang w:eastAsia="zh-CN"/>
              </w:rPr>
              <w:t>http://www.ahdmig.cn</w:t>
            </w:r>
            <w:r>
              <w:rPr>
                <w:rFonts w:hint="eastAsia" w:ascii="宋体" w:hAnsi="宋体" w:eastAsia="宋体" w:cs="宋体"/>
                <w:color w:val="auto"/>
                <w:highlight w:val="none"/>
              </w:rPr>
              <w:t>）”发布，</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人不再另行通知，该答复内容为招标文件的组成部分，对供应商具有同样约束力效力。</w:t>
            </w:r>
          </w:p>
          <w:p w14:paraId="1BF1C754">
            <w:pPr>
              <w:widowControl/>
              <w:shd w:val="clear" w:color="auto" w:fill="FFFFFF"/>
              <w:adjustRightInd w:val="0"/>
              <w:snapToGrid w:val="0"/>
              <w:spacing w:line="36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供应商如果认为自己的权益受到损害，请按招标文件质疑与投诉规定，提出质疑。供应商在递交质疑函纸质版的同时，必须将与纸质版质疑函一致的电子版（</w:t>
            </w:r>
            <w:r>
              <w:rPr>
                <w:rFonts w:hint="eastAsia" w:ascii="宋体" w:hAnsi="宋体" w:eastAsia="宋体" w:cs="宋体"/>
                <w:color w:val="auto"/>
                <w:highlight w:val="none"/>
              </w:rPr>
              <w:t xml:space="preserve">为 word 或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"mailto:wps,可编辑模式）发送至729311153@qq.com邮箱。质疑须在开标2020年"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wps,可编辑模式）发送</w:t>
            </w:r>
            <w:r>
              <w:rPr>
                <w:rFonts w:hint="eastAsia" w:ascii="宋体" w:hAnsi="宋体" w:cs="宋体"/>
                <w:color w:val="auto"/>
                <w:highlight w:val="none"/>
                <w:lang w:val="en-US" w:eastAsia="zh-CN"/>
              </w:rPr>
              <w:t>2628963924</w:t>
            </w:r>
            <w:r>
              <w:rPr>
                <w:rFonts w:hint="eastAsia" w:ascii="宋体" w:hAnsi="宋体" w:eastAsia="宋体" w:cs="宋体"/>
                <w:color w:val="auto"/>
                <w:highlight w:val="none"/>
              </w:rPr>
              <w:t>@qq.com邮箱。质疑须在</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截止日期</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天</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前提</w:t>
            </w:r>
            <w:r>
              <w:rPr>
                <w:rFonts w:hint="eastAsia" w:ascii="宋体" w:hAnsi="宋体" w:cs="宋体"/>
                <w:color w:val="auto"/>
                <w:highlight w:val="none"/>
              </w:rPr>
              <w:t>出，否则不予受理。</w:t>
            </w:r>
          </w:p>
          <w:p w14:paraId="177F1F7B">
            <w:pPr>
              <w:rPr>
                <w:rFonts w:hint="eastAsia" w:ascii="宋体" w:hAnsi="宋体" w:eastAsia="宋体" w:cs="宋体"/>
                <w:color w:val="auto"/>
                <w:highlight w:val="none"/>
                <w:lang w:eastAsia="zh-CN"/>
              </w:rPr>
            </w:pPr>
            <w:r>
              <w:rPr>
                <w:rFonts w:hint="eastAsia" w:ascii="宋体" w:hAnsi="宋体" w:cs="宋体"/>
                <w:color w:val="auto"/>
                <w:highlight w:val="none"/>
              </w:rPr>
              <w:t>质疑函应当包括下列主要内容：</w:t>
            </w:r>
          </w:p>
          <w:p w14:paraId="620B313B">
            <w:pPr>
              <w:rPr>
                <w:rFonts w:hint="eastAsia" w:ascii="宋体" w:hAnsi="宋体" w:eastAsia="宋体" w:cs="宋体"/>
                <w:color w:val="auto"/>
                <w:highlight w:val="none"/>
                <w:lang w:eastAsia="zh-CN"/>
              </w:rPr>
            </w:pPr>
            <w:r>
              <w:rPr>
                <w:rFonts w:hint="eastAsia" w:ascii="宋体" w:hAnsi="宋体" w:cs="宋体"/>
                <w:color w:val="auto"/>
                <w:highlight w:val="none"/>
              </w:rPr>
              <w:t>1.质疑人的名称、地址、联系电话</w:t>
            </w:r>
            <w:r>
              <w:rPr>
                <w:rFonts w:hint="eastAsia" w:ascii="宋体" w:hAnsi="宋体" w:cs="宋体"/>
                <w:color w:val="auto"/>
                <w:highlight w:val="none"/>
                <w:lang w:eastAsia="zh-CN"/>
              </w:rPr>
              <w:t>（</w:t>
            </w:r>
            <w:r>
              <w:rPr>
                <w:rFonts w:hint="eastAsia" w:ascii="宋体" w:hAnsi="宋体" w:cs="宋体"/>
                <w:color w:val="auto"/>
                <w:highlight w:val="none"/>
              </w:rPr>
              <w:t>固定电话及手机)；</w:t>
            </w:r>
          </w:p>
          <w:p w14:paraId="71DAD45E">
            <w:pPr>
              <w:rPr>
                <w:rFonts w:hint="eastAsia" w:ascii="宋体" w:hAnsi="宋体" w:eastAsia="宋体" w:cs="宋体"/>
                <w:color w:val="auto"/>
                <w:highlight w:val="none"/>
                <w:lang w:eastAsia="zh-CN"/>
              </w:rPr>
            </w:pPr>
            <w:r>
              <w:rPr>
                <w:rFonts w:hint="eastAsia" w:ascii="宋体" w:hAnsi="宋体" w:cs="宋体"/>
                <w:color w:val="auto"/>
                <w:highlight w:val="none"/>
              </w:rPr>
              <w:t>2.项目名称、项目编号及标段号或分包号；</w:t>
            </w:r>
          </w:p>
          <w:p w14:paraId="58374FE2">
            <w:pPr>
              <w:rPr>
                <w:rFonts w:hint="eastAsia" w:ascii="宋体" w:hAnsi="宋体" w:eastAsia="宋体" w:cs="宋体"/>
                <w:color w:val="auto"/>
                <w:highlight w:val="none"/>
                <w:lang w:eastAsia="zh-CN"/>
              </w:rPr>
            </w:pPr>
            <w:r>
              <w:rPr>
                <w:rFonts w:hint="eastAsia" w:ascii="宋体" w:hAnsi="宋体" w:cs="宋体"/>
                <w:color w:val="auto"/>
                <w:highlight w:val="none"/>
              </w:rPr>
              <w:t>3.具体的质疑事项、原因、基本事实及相关证明材料；</w:t>
            </w:r>
          </w:p>
          <w:p w14:paraId="491FE3BE">
            <w:pPr>
              <w:rPr>
                <w:rFonts w:hint="eastAsia" w:ascii="宋体" w:hAnsi="宋体" w:eastAsia="宋体" w:cs="宋体"/>
                <w:color w:val="auto"/>
                <w:highlight w:val="none"/>
                <w:lang w:eastAsia="zh-CN"/>
              </w:rPr>
            </w:pPr>
            <w:r>
              <w:rPr>
                <w:rFonts w:hint="eastAsia" w:ascii="宋体" w:hAnsi="宋体" w:cs="宋体"/>
                <w:color w:val="auto"/>
                <w:highlight w:val="none"/>
              </w:rPr>
              <w:t>4.本次质疑的法人授权书（后附法人、被授权人身份证扫描件）；</w:t>
            </w:r>
          </w:p>
          <w:p w14:paraId="17180132">
            <w:pPr>
              <w:rPr>
                <w:rFonts w:hint="eastAsia" w:eastAsia="宋体"/>
                <w:color w:val="auto"/>
                <w:highlight w:val="none"/>
                <w:lang w:eastAsia="zh-CN"/>
              </w:rPr>
            </w:pPr>
            <w:r>
              <w:rPr>
                <w:rFonts w:hint="eastAsia" w:ascii="宋体" w:hAnsi="宋体" w:cs="宋体"/>
                <w:color w:val="auto"/>
                <w:highlight w:val="none"/>
              </w:rPr>
              <w:t>5.提起质疑的日期。</w:t>
            </w:r>
          </w:p>
        </w:tc>
      </w:tr>
      <w:tr w14:paraId="28955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9C4BB5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D4E85B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资格审查方式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AEF7F13">
            <w:pPr>
              <w:rPr>
                <w:rFonts w:hint="eastAsia"/>
                <w:color w:val="auto"/>
                <w:highlight w:val="none"/>
              </w:rPr>
            </w:pPr>
            <w:r>
              <w:rPr>
                <w:rFonts w:hint="eastAsia"/>
                <w:color w:val="auto"/>
                <w:highlight w:val="none"/>
              </w:rPr>
              <w:t xml:space="preserve">□资格预审 </w:t>
            </w:r>
            <w:r>
              <w:rPr>
                <w:rFonts w:hint="eastAsia"/>
                <w:color w:val="auto"/>
                <w:highlight w:val="none"/>
                <w:lang w:eastAsia="zh-CN"/>
              </w:rPr>
              <w:t>☑</w:t>
            </w:r>
            <w:r>
              <w:rPr>
                <w:rFonts w:hint="eastAsia"/>
                <w:color w:val="auto"/>
                <w:highlight w:val="none"/>
              </w:rPr>
              <w:t>资格后审</w:t>
            </w:r>
          </w:p>
        </w:tc>
      </w:tr>
      <w:tr w14:paraId="1DE8F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D48450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C2A3C49">
            <w:pPr>
              <w:adjustRightInd w:val="0"/>
              <w:snapToGrid w:val="0"/>
              <w:spacing w:line="310" w:lineRule="exact"/>
              <w:rPr>
                <w:rFonts w:hint="eastAsia" w:ascii="宋体" w:hAnsi="宋体" w:cs="宋体"/>
                <w:color w:val="auto"/>
                <w:szCs w:val="21"/>
                <w:highlight w:val="none"/>
              </w:rPr>
            </w:pPr>
            <w:r>
              <w:rPr>
                <w:rFonts w:hint="eastAsia"/>
                <w:color w:val="auto"/>
                <w:highlight w:val="none"/>
              </w:rPr>
              <w:t>是否接受联合体</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C5705B6">
            <w:pPr>
              <w:rPr>
                <w:rFonts w:hint="eastAsia"/>
                <w:color w:val="auto"/>
                <w:highlight w:val="none"/>
              </w:rPr>
            </w:pPr>
            <w:r>
              <w:rPr>
                <w:rFonts w:hint="eastAsia"/>
                <w:color w:val="auto"/>
                <w:highlight w:val="none"/>
                <w:lang w:eastAsia="zh-CN"/>
              </w:rPr>
              <w:t>□</w:t>
            </w:r>
            <w:r>
              <w:rPr>
                <w:rFonts w:hint="eastAsia"/>
                <w:color w:val="auto"/>
                <w:highlight w:val="none"/>
              </w:rPr>
              <w:t xml:space="preserve">接受 </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w:t>
            </w:r>
            <w:r>
              <w:rPr>
                <w:rFonts w:hint="eastAsia"/>
                <w:color w:val="auto"/>
                <w:highlight w:val="none"/>
              </w:rPr>
              <w:t>不接受</w:t>
            </w:r>
          </w:p>
        </w:tc>
      </w:tr>
      <w:tr w14:paraId="4B6D3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8391AD7">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969AE41">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预备会</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50331AC">
            <w:pPr>
              <w:rPr>
                <w:rFonts w:hint="eastAsia"/>
                <w:color w:val="auto"/>
                <w:highlight w:val="none"/>
              </w:rPr>
            </w:pPr>
            <w:r>
              <w:rPr>
                <w:rFonts w:hint="eastAsia"/>
                <w:color w:val="auto"/>
                <w:highlight w:val="none"/>
                <w:lang w:eastAsia="zh-CN"/>
              </w:rPr>
              <w:t>☑</w:t>
            </w:r>
            <w:r>
              <w:rPr>
                <w:rFonts w:hint="eastAsia"/>
                <w:color w:val="auto"/>
                <w:highlight w:val="none"/>
              </w:rPr>
              <w:t xml:space="preserve">不召开 </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w:t>
            </w:r>
            <w:r>
              <w:rPr>
                <w:rFonts w:hint="eastAsia"/>
                <w:color w:val="auto"/>
                <w:highlight w:val="none"/>
              </w:rPr>
              <w:t>召开</w:t>
            </w:r>
          </w:p>
        </w:tc>
      </w:tr>
      <w:tr w14:paraId="178BE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513EB42">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30E5894">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偏离</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43A4E77">
            <w:pPr>
              <w:rPr>
                <w:rFonts w:hint="eastAsia"/>
                <w:color w:val="auto"/>
                <w:highlight w:val="none"/>
              </w:rPr>
            </w:pPr>
            <w:r>
              <w:rPr>
                <w:rFonts w:hint="eastAsia"/>
                <w:color w:val="auto"/>
                <w:highlight w:val="none"/>
                <w:lang w:eastAsia="zh-CN"/>
              </w:rPr>
              <w:t>☑</w:t>
            </w:r>
            <w:r>
              <w:rPr>
                <w:rFonts w:hint="eastAsia"/>
                <w:color w:val="auto"/>
                <w:highlight w:val="none"/>
              </w:rPr>
              <w:t>不允许负偏离    □允许</w:t>
            </w:r>
          </w:p>
        </w:tc>
      </w:tr>
      <w:tr w14:paraId="5276E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B616E44">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60AE9D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0A0C84E">
            <w:pPr>
              <w:rPr>
                <w:rFonts w:hint="eastAsia"/>
                <w:color w:val="auto"/>
                <w:highlight w:val="none"/>
              </w:rPr>
            </w:pPr>
            <w:r>
              <w:rPr>
                <w:rFonts w:hint="eastAsia"/>
                <w:color w:val="auto"/>
                <w:highlight w:val="none"/>
                <w:lang w:eastAsia="zh-CN"/>
              </w:rPr>
              <w:t>☑</w:t>
            </w:r>
            <w:r>
              <w:rPr>
                <w:rFonts w:hint="eastAsia"/>
                <w:color w:val="auto"/>
                <w:highlight w:val="none"/>
              </w:rPr>
              <w:t>不允许        □允许</w:t>
            </w:r>
          </w:p>
        </w:tc>
      </w:tr>
      <w:tr w14:paraId="6234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4C6F157">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0AF7366">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270ED14">
            <w:pPr>
              <w:rPr>
                <w:rFonts w:hint="eastAsia"/>
                <w:color w:val="auto"/>
                <w:highlight w:val="none"/>
              </w:rPr>
            </w:pPr>
            <w:r>
              <w:rPr>
                <w:rFonts w:hint="eastAsia"/>
                <w:color w:val="auto"/>
                <w:highlight w:val="none"/>
              </w:rPr>
              <w:t>60日历天（从提交响应文件截止之日算起）</w:t>
            </w:r>
          </w:p>
        </w:tc>
      </w:tr>
      <w:tr w14:paraId="28C7A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3AF99A8">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3F685C8">
            <w:pPr>
              <w:adjustRightInd w:val="0"/>
              <w:snapToGrid w:val="0"/>
              <w:spacing w:line="310" w:lineRule="exact"/>
              <w:jc w:val="left"/>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合同备案</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E3B7DA0">
            <w:pPr>
              <w:rPr>
                <w:rFonts w:hint="default" w:ascii="宋体" w:hAnsi="宋体" w:eastAsia="宋体"/>
                <w:b/>
                <w:color w:val="auto"/>
                <w:highlight w:val="none"/>
                <w:lang w:val="en-US" w:eastAsia="zh-CN"/>
              </w:rPr>
            </w:pPr>
            <w:r>
              <w:rPr>
                <w:rFonts w:hint="eastAsia" w:ascii="宋体" w:hAnsi="宋体"/>
                <w:b/>
                <w:color w:val="auto"/>
                <w:highlight w:val="none"/>
                <w:lang w:val="en-US" w:eastAsia="zh-CN"/>
              </w:rPr>
              <w:t>/</w:t>
            </w:r>
          </w:p>
        </w:tc>
      </w:tr>
      <w:tr w14:paraId="28DA9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5B78932">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706C97B">
            <w:pPr>
              <w:adjustRightInd w:val="0"/>
              <w:snapToGrid w:val="0"/>
              <w:spacing w:line="310" w:lineRule="exact"/>
              <w:rPr>
                <w:rFonts w:hint="eastAsia" w:ascii="宋体" w:hAnsi="宋体" w:cs="宋体"/>
                <w:color w:val="auto"/>
                <w:szCs w:val="21"/>
                <w:highlight w:val="none"/>
              </w:rPr>
            </w:pPr>
            <w:r>
              <w:rPr>
                <w:rFonts w:hint="eastAsia"/>
                <w:color w:val="auto"/>
                <w:highlight w:val="none"/>
              </w:rPr>
              <w:t>是否允许递交备选方案</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B66FA37">
            <w:pPr>
              <w:adjustRightInd w:val="0"/>
              <w:snapToGrid w:val="0"/>
              <w:spacing w:line="310" w:lineRule="exact"/>
              <w:rPr>
                <w:rFonts w:hint="eastAsia" w:ascii="宋体" w:hAnsi="宋体" w:cs="宋体"/>
                <w:color w:val="auto"/>
                <w:szCs w:val="21"/>
                <w:highlight w:val="none"/>
              </w:rPr>
            </w:pPr>
            <w:r>
              <w:rPr>
                <w:rFonts w:hint="eastAsia"/>
                <w:color w:val="auto"/>
                <w:highlight w:val="none"/>
                <w:lang w:eastAsia="zh-CN"/>
              </w:rPr>
              <w:t>☑</w:t>
            </w:r>
            <w:r>
              <w:rPr>
                <w:rFonts w:hint="eastAsia" w:ascii="宋体" w:hAnsi="宋体" w:cs="宋体"/>
                <w:color w:val="auto"/>
                <w:szCs w:val="21"/>
                <w:highlight w:val="none"/>
              </w:rPr>
              <w:t>不允许            □允许</w:t>
            </w:r>
          </w:p>
        </w:tc>
      </w:tr>
      <w:tr w14:paraId="27DF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5CBA5FE">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BE7B3A5">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响应文件份数</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9D45B54">
            <w:pPr>
              <w:adjustRightInd w:val="0"/>
              <w:snapToGrid w:val="0"/>
              <w:spacing w:line="310" w:lineRule="exac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u w:val="single"/>
              </w:rPr>
              <w:t xml:space="preserve"> 壹 </w:t>
            </w:r>
            <w:r>
              <w:rPr>
                <w:rFonts w:hint="eastAsia" w:ascii="宋体" w:hAnsi="宋体" w:cs="宋体"/>
                <w:b/>
                <w:color w:val="auto"/>
                <w:szCs w:val="21"/>
                <w:highlight w:val="none"/>
              </w:rPr>
              <w:t xml:space="preserve">份正本， </w:t>
            </w:r>
            <w:r>
              <w:rPr>
                <w:rFonts w:hint="eastAsia" w:ascii="宋体" w:hAnsi="宋体" w:cs="宋体"/>
                <w:b/>
                <w:color w:val="auto"/>
                <w:szCs w:val="21"/>
                <w:highlight w:val="none"/>
                <w:u w:val="single"/>
              </w:rPr>
              <w:t xml:space="preserve"> 贰 </w:t>
            </w:r>
            <w:r>
              <w:rPr>
                <w:rFonts w:hint="eastAsia" w:ascii="宋体" w:hAnsi="宋体" w:cs="宋体"/>
                <w:b/>
                <w:color w:val="auto"/>
                <w:szCs w:val="21"/>
                <w:highlight w:val="none"/>
              </w:rPr>
              <w:t>份副本</w:t>
            </w:r>
            <w:r>
              <w:rPr>
                <w:rFonts w:hint="eastAsia" w:ascii="宋体" w:hAnsi="宋体" w:cs="宋体"/>
                <w:b/>
                <w:color w:val="auto"/>
                <w:szCs w:val="21"/>
                <w:highlight w:val="none"/>
                <w:lang w:val="en-US" w:eastAsia="zh-CN"/>
              </w:rPr>
              <w:t>。</w:t>
            </w:r>
          </w:p>
        </w:tc>
      </w:tr>
      <w:tr w14:paraId="60BFC5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7669663">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E81DC96">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签字或盖章要求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851161E">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谈判响应文件应按采购文件要求盖章或签字。由授权代表签字或盖章的在谈判响应文件中须同时提供谈判授权书。谈判响应文件签字或盖章不符合采购文件要求的，按无效投标处理。</w:t>
            </w:r>
          </w:p>
        </w:tc>
      </w:tr>
      <w:tr w14:paraId="66B02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9CE83ED">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C51E6A2">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装订要求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DFD21B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谈判响应文件正、副本均应装订成册，保证装订牢固，不掉页、不粘面。谈判响应文件未按要求装订的，按无效投标处理。</w:t>
            </w:r>
          </w:p>
        </w:tc>
      </w:tr>
      <w:tr w14:paraId="1C51A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630DFE0">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9F5E282">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密封要求</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0517E9C9">
            <w:pPr>
              <w:adjustRightInd w:val="0"/>
              <w:snapToGrid w:val="0"/>
              <w:spacing w:line="310" w:lineRule="exact"/>
              <w:rPr>
                <w:rFonts w:hint="eastAsia"/>
                <w:color w:val="auto"/>
                <w:highlight w:val="none"/>
                <w:lang w:eastAsia="zh-CN"/>
              </w:rPr>
            </w:pPr>
            <w:r>
              <w:rPr>
                <w:rFonts w:hint="eastAsia"/>
                <w:color w:val="auto"/>
                <w:highlight w:val="none"/>
                <w:lang w:eastAsia="zh-CN"/>
              </w:rPr>
              <w:t>谈判响应文件所有正、副本均应密封在一个文件袋中，并在封套上加盖供应商公章，封套上应写明：“</w:t>
            </w:r>
            <w:r>
              <w:rPr>
                <w:rFonts w:hint="eastAsia"/>
                <w:color w:val="auto"/>
                <w:highlight w:val="none"/>
                <w:u w:val="single"/>
                <w:lang w:eastAsia="zh-CN"/>
              </w:rPr>
              <w:t>（采购项目名称）</w:t>
            </w:r>
            <w:r>
              <w:rPr>
                <w:rFonts w:hint="eastAsia"/>
                <w:color w:val="auto"/>
                <w:highlight w:val="none"/>
                <w:lang w:eastAsia="zh-CN"/>
              </w:rPr>
              <w:t>谈判响应文件、</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lang w:eastAsia="zh-CN"/>
              </w:rPr>
              <w:t>月</w:t>
            </w:r>
          </w:p>
          <w:p w14:paraId="45EE26FB">
            <w:pPr>
              <w:adjustRightInd w:val="0"/>
              <w:snapToGrid w:val="0"/>
              <w:spacing w:line="310" w:lineRule="exac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lang w:eastAsia="zh-CN"/>
              </w:rPr>
              <w:t>日</w:t>
            </w:r>
            <w:r>
              <w:rPr>
                <w:rFonts w:hint="eastAsia"/>
                <w:color w:val="auto"/>
                <w:highlight w:val="none"/>
                <w:u w:val="single"/>
                <w:lang w:eastAsia="zh-CN"/>
              </w:rPr>
              <w:t xml:space="preserve">   </w:t>
            </w:r>
            <w:r>
              <w:rPr>
                <w:rFonts w:hint="eastAsia"/>
                <w:color w:val="auto"/>
                <w:highlight w:val="none"/>
                <w:lang w:eastAsia="zh-CN"/>
              </w:rPr>
              <w:t>时</w:t>
            </w:r>
            <w:r>
              <w:rPr>
                <w:rFonts w:hint="eastAsia"/>
                <w:color w:val="auto"/>
                <w:highlight w:val="none"/>
                <w:u w:val="single"/>
                <w:lang w:eastAsia="zh-CN"/>
              </w:rPr>
              <w:t xml:space="preserve">   </w:t>
            </w:r>
            <w:r>
              <w:rPr>
                <w:rFonts w:hint="eastAsia"/>
                <w:color w:val="auto"/>
                <w:highlight w:val="none"/>
                <w:lang w:eastAsia="zh-CN"/>
              </w:rPr>
              <w:t>分前不得开启”字样。</w:t>
            </w:r>
          </w:p>
          <w:p w14:paraId="7B22F87E">
            <w:pPr>
              <w:adjustRightInd w:val="0"/>
              <w:snapToGrid w:val="0"/>
              <w:spacing w:line="310" w:lineRule="exact"/>
              <w:rPr>
                <w:rFonts w:hint="eastAsia"/>
                <w:color w:val="auto"/>
                <w:highlight w:val="none"/>
              </w:rPr>
            </w:pPr>
            <w:r>
              <w:rPr>
                <w:rFonts w:hint="eastAsia"/>
                <w:color w:val="auto"/>
                <w:highlight w:val="none"/>
                <w:lang w:eastAsia="zh-CN"/>
              </w:rPr>
              <w:t>供应商未按要求密封响应文件的，自行承担响应文件遗失、提前解封等责任。</w:t>
            </w:r>
          </w:p>
        </w:tc>
      </w:tr>
      <w:tr w14:paraId="72DE3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0B2529A">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8C9CC1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w:t>
            </w:r>
            <w:r>
              <w:rPr>
                <w:rFonts w:hint="eastAsia" w:ascii="宋体" w:hAnsi="宋体" w:cs="宋体"/>
                <w:color w:val="auto"/>
                <w:szCs w:val="21"/>
                <w:highlight w:val="none"/>
                <w:lang w:val="en-US" w:eastAsia="zh-CN"/>
              </w:rPr>
              <w:t>截</w:t>
            </w:r>
            <w:r>
              <w:rPr>
                <w:rFonts w:hint="eastAsia" w:ascii="宋体" w:hAnsi="宋体" w:cs="宋体"/>
                <w:color w:val="auto"/>
                <w:szCs w:val="21"/>
                <w:highlight w:val="none"/>
              </w:rPr>
              <w:t>止时间及地点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8BD9C20">
            <w:pPr>
              <w:adjustRightInd w:val="0"/>
              <w:snapToGrid w:val="0"/>
              <w:spacing w:line="310" w:lineRule="exact"/>
              <w:rPr>
                <w:rFonts w:hint="default"/>
                <w:color w:val="auto"/>
                <w:highlight w:val="none"/>
                <w:lang w:val="en-US"/>
              </w:rPr>
            </w:pPr>
            <w:r>
              <w:rPr>
                <w:rFonts w:hint="eastAsia"/>
                <w:color w:val="auto"/>
                <w:highlight w:val="none"/>
                <w:lang w:val="en-US" w:eastAsia="zh-CN"/>
              </w:rPr>
              <w:t>截止</w:t>
            </w:r>
            <w:r>
              <w:rPr>
                <w:rFonts w:hint="eastAsia"/>
                <w:color w:val="auto"/>
                <w:highlight w:val="none"/>
              </w:rPr>
              <w:t>时间：</w:t>
            </w:r>
            <w:r>
              <w:rPr>
                <w:rFonts w:hint="eastAsia"/>
                <w:color w:val="auto"/>
                <w:highlight w:val="none"/>
                <w:lang w:val="en-US" w:eastAsia="zh-CN"/>
              </w:rPr>
              <w:t>同开标时间</w:t>
            </w:r>
          </w:p>
          <w:p w14:paraId="51A8A558">
            <w:pPr>
              <w:adjustRightInd w:val="0"/>
              <w:snapToGrid w:val="0"/>
              <w:spacing w:line="310" w:lineRule="exact"/>
              <w:rPr>
                <w:rFonts w:hint="eastAsia" w:eastAsia="宋体"/>
                <w:color w:val="auto"/>
                <w:highlight w:val="none"/>
                <w:lang w:eastAsia="zh-CN"/>
              </w:rPr>
            </w:pPr>
            <w:r>
              <w:rPr>
                <w:rFonts w:hint="eastAsia"/>
                <w:color w:val="auto"/>
                <w:highlight w:val="none"/>
              </w:rPr>
              <w:t>地点：</w:t>
            </w:r>
            <w:r>
              <w:rPr>
                <w:rFonts w:hint="eastAsia"/>
                <w:color w:val="auto"/>
                <w:highlight w:val="none"/>
                <w:lang w:eastAsia="zh-CN"/>
              </w:rPr>
              <w:t>安徽大别山工程咨询有限公司开标厅</w:t>
            </w:r>
            <w:r>
              <w:rPr>
                <w:rFonts w:hint="eastAsia"/>
                <w:color w:val="auto"/>
                <w:highlight w:val="none"/>
                <w:lang w:val="en-US" w:eastAsia="zh-CN"/>
              </w:rPr>
              <w:t>201室</w:t>
            </w:r>
            <w:r>
              <w:rPr>
                <w:rFonts w:hint="eastAsia"/>
                <w:color w:val="auto"/>
                <w:highlight w:val="none"/>
              </w:rPr>
              <w:t>（</w:t>
            </w:r>
            <w:r>
              <w:rPr>
                <w:rFonts w:hint="eastAsia"/>
                <w:color w:val="auto"/>
                <w:highlight w:val="none"/>
                <w:lang w:eastAsia="zh-CN"/>
              </w:rPr>
              <w:t>霍山县国投大厦</w:t>
            </w:r>
            <w:r>
              <w:rPr>
                <w:rFonts w:hint="eastAsia"/>
                <w:color w:val="auto"/>
                <w:highlight w:val="none"/>
              </w:rPr>
              <w:t>）</w:t>
            </w:r>
          </w:p>
        </w:tc>
      </w:tr>
      <w:tr w14:paraId="22443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7A15480">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8B1446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开标时间及地点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9362B17">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详见采购公告。（</w:t>
            </w:r>
            <w:r>
              <w:rPr>
                <w:rFonts w:hint="eastAsia" w:ascii="宋体" w:hAnsi="宋体"/>
                <w:color w:val="auto"/>
                <w:szCs w:val="21"/>
                <w:highlight w:val="none"/>
              </w:rPr>
              <w:t>若法定代表人本人参加开标会则只需查验身份证原件；若代理人参加开标会则需查验谈判授权书</w:t>
            </w:r>
            <w:r>
              <w:rPr>
                <w:rFonts w:hint="eastAsia" w:ascii="宋体" w:hAnsi="宋体"/>
                <w:color w:val="auto"/>
                <w:szCs w:val="21"/>
                <w:highlight w:val="none"/>
                <w:lang w:val="en-US" w:eastAsia="zh-CN"/>
              </w:rPr>
              <w:t>原件</w:t>
            </w:r>
            <w:r>
              <w:rPr>
                <w:rFonts w:hint="eastAsia" w:ascii="宋体" w:hAnsi="宋体"/>
                <w:color w:val="auto"/>
                <w:szCs w:val="21"/>
                <w:highlight w:val="none"/>
              </w:rPr>
              <w:t>和代理人身份证原件</w:t>
            </w:r>
            <w:r>
              <w:rPr>
                <w:rFonts w:hint="eastAsia" w:ascii="宋体" w:hAnsi="宋体"/>
                <w:color w:val="auto"/>
                <w:szCs w:val="21"/>
                <w:highlight w:val="none"/>
                <w:lang w:eastAsia="zh-CN"/>
              </w:rPr>
              <w:t>，</w:t>
            </w:r>
            <w:r>
              <w:rPr>
                <w:rFonts w:hint="eastAsia" w:ascii="宋体"/>
                <w:b/>
                <w:bCs/>
                <w:color w:val="auto"/>
                <w:szCs w:val="21"/>
                <w:highlight w:val="none"/>
              </w:rPr>
              <w:t>需在</w:t>
            </w:r>
            <w:r>
              <w:rPr>
                <w:rFonts w:hint="eastAsia" w:ascii="宋体"/>
                <w:b/>
                <w:bCs/>
                <w:color w:val="auto"/>
                <w:szCs w:val="21"/>
                <w:highlight w:val="none"/>
                <w:lang w:val="en-US" w:eastAsia="zh-CN"/>
              </w:rPr>
              <w:t>响应</w:t>
            </w:r>
            <w:r>
              <w:rPr>
                <w:rFonts w:hint="eastAsia" w:ascii="宋体"/>
                <w:b/>
                <w:bCs/>
                <w:color w:val="auto"/>
                <w:szCs w:val="21"/>
                <w:highlight w:val="none"/>
              </w:rPr>
              <w:t>文件中提供谈判授权书及</w:t>
            </w:r>
            <w:r>
              <w:rPr>
                <w:rFonts w:hint="eastAsia" w:ascii="宋体"/>
                <w:b/>
                <w:bCs/>
                <w:color w:val="auto"/>
                <w:szCs w:val="21"/>
                <w:highlight w:val="none"/>
                <w:lang w:val="en-US" w:eastAsia="zh-CN"/>
              </w:rPr>
              <w:t>代理人</w:t>
            </w:r>
            <w:r>
              <w:rPr>
                <w:rFonts w:hint="eastAsia" w:ascii="宋体"/>
                <w:b/>
                <w:bCs/>
                <w:color w:val="auto"/>
                <w:szCs w:val="21"/>
                <w:highlight w:val="none"/>
              </w:rPr>
              <w:t>身份证的复印件并加盖</w:t>
            </w:r>
            <w:r>
              <w:rPr>
                <w:rFonts w:hint="eastAsia" w:ascii="宋体"/>
                <w:b/>
                <w:bCs/>
                <w:color w:val="auto"/>
                <w:szCs w:val="21"/>
                <w:highlight w:val="none"/>
                <w:lang w:eastAsia="zh-CN"/>
              </w:rPr>
              <w:t>供应商</w:t>
            </w:r>
            <w:r>
              <w:rPr>
                <w:rFonts w:hint="eastAsia" w:ascii="宋体"/>
                <w:b/>
                <w:bCs/>
                <w:color w:val="auto"/>
                <w:szCs w:val="21"/>
                <w:highlight w:val="none"/>
              </w:rPr>
              <w:t>公章，评标现场查验原件。</w:t>
            </w:r>
            <w:r>
              <w:rPr>
                <w:rFonts w:hint="eastAsia" w:ascii="宋体" w:hAnsi="宋体" w:cs="宋体"/>
                <w:b/>
                <w:bCs/>
                <w:color w:val="auto"/>
                <w:szCs w:val="21"/>
                <w:highlight w:val="none"/>
                <w:u w:val="single"/>
              </w:rPr>
              <w:t>代理人参加投标的，</w:t>
            </w:r>
            <w:r>
              <w:rPr>
                <w:rFonts w:hint="eastAsia" w:ascii="宋体" w:hAnsi="宋体" w:cs="宋体"/>
                <w:bCs/>
                <w:color w:val="auto"/>
                <w:szCs w:val="21"/>
                <w:highlight w:val="none"/>
                <w:u w:val="single"/>
              </w:rPr>
              <w:t>如开标现场其未单独提交谈判授权书，且投标文件也未有谈判授权书，其投标文件按照无效投标处理</w:t>
            </w:r>
            <w:r>
              <w:rPr>
                <w:rFonts w:hint="eastAsia" w:ascii="宋体" w:hAnsi="宋体"/>
                <w:color w:val="auto"/>
                <w:szCs w:val="21"/>
                <w:highlight w:val="none"/>
              </w:rPr>
              <w:t>。</w:t>
            </w:r>
            <w:r>
              <w:rPr>
                <w:rFonts w:hint="eastAsia" w:ascii="宋体" w:hAnsi="宋体" w:cs="宋体"/>
                <w:color w:val="auto"/>
                <w:szCs w:val="21"/>
                <w:highlight w:val="none"/>
                <w:lang w:val="en-US" w:eastAsia="zh-CN"/>
              </w:rPr>
              <w:t>）</w:t>
            </w:r>
          </w:p>
        </w:tc>
      </w:tr>
      <w:tr w14:paraId="62335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AA87616">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F4264AB">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方法及标准</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09DD091">
            <w:pPr>
              <w:adjustRightInd w:val="0"/>
              <w:snapToGrid w:val="0"/>
              <w:spacing w:line="31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详见本文件</w:t>
            </w:r>
            <w:r>
              <w:rPr>
                <w:rFonts w:hint="eastAsia" w:ascii="宋体" w:hAnsi="宋体" w:cs="宋体"/>
                <w:color w:val="auto"/>
                <w:szCs w:val="21"/>
                <w:highlight w:val="none"/>
                <w:lang w:val="en-US" w:eastAsia="zh-CN"/>
              </w:rPr>
              <w:t>第五章</w:t>
            </w:r>
          </w:p>
        </w:tc>
      </w:tr>
      <w:tr w14:paraId="63A6A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B2AF8EB">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42FE0E8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小组的组建</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2D54CAE">
            <w:pPr>
              <w:adjustRightInd w:val="0"/>
              <w:snapToGrid w:val="0"/>
              <w:spacing w:line="31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小组构成</w:t>
            </w:r>
            <w:r>
              <w:rPr>
                <w:rFonts w:hint="eastAsia" w:ascii="宋体" w:hAnsi="宋体" w:cs="宋体"/>
                <w:color w:val="auto"/>
                <w:szCs w:val="21"/>
                <w:highlight w:val="none"/>
                <w:lang w:eastAsia="zh-CN"/>
              </w:rPr>
              <w:t>：</w:t>
            </w:r>
            <w:r>
              <w:rPr>
                <w:rFonts w:hint="eastAsia" w:ascii="宋体" w:hAnsi="宋体" w:cs="宋体"/>
                <w:color w:val="auto"/>
                <w:szCs w:val="21"/>
                <w:highlight w:val="none"/>
              </w:rPr>
              <w:t>按相关法律法规执行</w:t>
            </w:r>
            <w:r>
              <w:rPr>
                <w:rFonts w:hint="eastAsia" w:ascii="宋体" w:hAnsi="宋体" w:cs="宋体"/>
                <w:color w:val="auto"/>
                <w:szCs w:val="21"/>
                <w:highlight w:val="none"/>
                <w:lang w:eastAsia="zh-CN"/>
              </w:rPr>
              <w:t>；</w:t>
            </w:r>
          </w:p>
          <w:p w14:paraId="148E6DE8">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小组确定方式</w:t>
            </w:r>
            <w:r>
              <w:rPr>
                <w:rFonts w:hint="eastAsia" w:ascii="宋体" w:hAnsi="宋体" w:cs="宋体"/>
                <w:color w:val="auto"/>
                <w:szCs w:val="21"/>
                <w:highlight w:val="none"/>
                <w:lang w:eastAsia="zh-CN"/>
              </w:rPr>
              <w:t>：</w:t>
            </w:r>
            <w:r>
              <w:rPr>
                <w:rFonts w:hint="eastAsia" w:ascii="宋体" w:hAnsi="宋体" w:cs="宋体"/>
                <w:color w:val="auto"/>
                <w:szCs w:val="21"/>
                <w:highlight w:val="none"/>
              </w:rPr>
              <w:t>随机抽取。</w:t>
            </w:r>
          </w:p>
        </w:tc>
      </w:tr>
      <w:tr w14:paraId="40483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40A6E57">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4F2E09E">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是否授权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小组确定成交单位</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97EF5DA">
            <w:pPr>
              <w:adjustRightInd w:val="0"/>
              <w:snapToGrid w:val="0"/>
              <w:spacing w:line="310" w:lineRule="exact"/>
              <w:rPr>
                <w:rFonts w:hint="eastAsia" w:ascii="宋体" w:hAnsi="宋体" w:cs="宋体"/>
                <w:color w:val="auto"/>
                <w:szCs w:val="21"/>
                <w:highlight w:val="none"/>
              </w:rPr>
            </w:pPr>
            <w:r>
              <w:rPr>
                <w:rFonts w:hint="eastAsia"/>
                <w:color w:val="auto"/>
                <w:highlight w:val="none"/>
                <w:lang w:eastAsia="zh-CN"/>
              </w:rPr>
              <w:t>☑</w:t>
            </w:r>
            <w:r>
              <w:rPr>
                <w:rFonts w:hint="eastAsia" w:ascii="宋体" w:hAnsi="宋体" w:cs="宋体"/>
                <w:color w:val="auto"/>
                <w:szCs w:val="21"/>
                <w:highlight w:val="none"/>
              </w:rPr>
              <w:t>是      □否</w:t>
            </w:r>
          </w:p>
        </w:tc>
      </w:tr>
      <w:tr w14:paraId="52E7D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395480C5">
            <w:pPr>
              <w:adjustRightInd w:val="0"/>
              <w:snapToGrid w:val="0"/>
              <w:spacing w:line="31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DF93156">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0" w:firstLineChars="0"/>
              <w:jc w:val="both"/>
              <w:textAlignment w:val="auto"/>
              <w:outlineLvl w:val="9"/>
              <w:rPr>
                <w:rFonts w:hint="default" w:ascii="宋体" w:hAnsi="宋体" w:eastAsia="宋体" w:cs="宋体"/>
                <w:color w:val="auto"/>
                <w:szCs w:val="21"/>
                <w:highlight w:val="none"/>
                <w:lang w:val="en-US" w:eastAsia="zh-CN"/>
              </w:rPr>
            </w:pPr>
            <w:r>
              <w:rPr>
                <w:rFonts w:hint="eastAsia" w:ascii="宋体" w:hAnsi="宋体" w:cs="宋体"/>
                <w:color w:val="auto"/>
                <w:sz w:val="21"/>
                <w:szCs w:val="21"/>
                <w:highlight w:val="none"/>
                <w:lang w:val="en-US" w:eastAsia="zh-CN"/>
              </w:rPr>
              <w:t>谈判保证金</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054117D">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6231C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2559F29B">
            <w:pPr>
              <w:adjustRightInd w:val="0"/>
              <w:snapToGrid w:val="0"/>
              <w:spacing w:line="31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8</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6E1F63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2D2F69E">
            <w:pPr>
              <w:widowControl/>
              <w:adjustRightInd w:val="0"/>
              <w:snapToGrid w:val="0"/>
              <w:spacing w:line="320" w:lineRule="exact"/>
              <w:rPr>
                <w:rFonts w:hint="default"/>
                <w:color w:val="auto"/>
                <w:highlight w:val="none"/>
                <w:lang w:val="en-US" w:eastAsia="zh-CN"/>
              </w:rPr>
            </w:pPr>
            <w:r>
              <w:rPr>
                <w:rFonts w:hint="eastAsia" w:ascii="宋体" w:hAnsi="宋体" w:cs="宋体"/>
                <w:color w:val="auto"/>
                <w:szCs w:val="21"/>
                <w:highlight w:val="none"/>
                <w:lang w:val="en-US" w:eastAsia="zh-CN"/>
              </w:rPr>
              <w:t>/</w:t>
            </w:r>
          </w:p>
        </w:tc>
      </w:tr>
      <w:tr w14:paraId="7D153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4996FB47">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B492D1B">
            <w:pPr>
              <w:adjustRightInd w:val="0"/>
              <w:snapToGrid w:val="0"/>
              <w:spacing w:line="31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质保期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2122C486">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2D989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ADBCDD8">
            <w:pPr>
              <w:adjustRightInd w:val="0"/>
              <w:snapToGrid w:val="0"/>
              <w:spacing w:line="31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5F58071">
            <w:pPr>
              <w:adjustRightInd w:val="0"/>
              <w:snapToGrid w:val="0"/>
              <w:spacing w:line="320" w:lineRule="exact"/>
              <w:jc w:val="left"/>
              <w:rPr>
                <w:rFonts w:hint="default" w:ascii="宋体" w:hAnsi="宋体" w:eastAsia="宋体" w:cs="宋体"/>
                <w:color w:val="auto"/>
                <w:szCs w:val="21"/>
                <w:highlight w:val="none"/>
                <w:lang w:val="en-US" w:eastAsia="zh-CN"/>
              </w:rPr>
            </w:pPr>
            <w:r>
              <w:rPr>
                <w:rFonts w:hint="eastAsia" w:ascii="宋体" w:hAnsi="宋体" w:cs="宋体"/>
                <w:color w:val="auto"/>
                <w:highlight w:val="none"/>
                <w:lang w:eastAsia="zh-CN"/>
              </w:rPr>
              <w:t>采购代理服务费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DC49F83">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采购代理服务费由中标人（成交人）支付。根据《国家发展改革委关于进一步放开建设项目专业服务价格的通知》（发改价格【2015】299号）文件精神，现将费用标准予以告知，本项目采购代理服务费计算公式为：中标价（成交价）*1.5%（不足3000元的按3000元收取）。</w:t>
            </w:r>
          </w:p>
          <w:p w14:paraId="1C438A2E">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费用</w:t>
            </w:r>
            <w:r>
              <w:rPr>
                <w:rFonts w:hint="eastAsia" w:ascii="宋体" w:hAnsi="宋体" w:eastAsia="宋体" w:cs="宋体"/>
                <w:color w:val="auto"/>
                <w:szCs w:val="21"/>
                <w:highlight w:val="none"/>
                <w:lang w:val="en-US" w:eastAsia="zh-CN"/>
              </w:rPr>
              <w:t>缴纳账户：</w:t>
            </w:r>
          </w:p>
          <w:p w14:paraId="4EA207DB">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户名：安徽大别山工程咨询有限公司</w:t>
            </w:r>
          </w:p>
          <w:p w14:paraId="2EAFFEC2">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开户行：安徽霍山农村商业银行股份有限公司营业部</w:t>
            </w:r>
          </w:p>
          <w:p w14:paraId="133F60C9">
            <w:pPr>
              <w:keepNext w:val="0"/>
              <w:keepLines w:val="0"/>
              <w:pageBreakBefore w:val="0"/>
              <w:kinsoku/>
              <w:wordWrap/>
              <w:overflowPunct/>
              <w:topLinePunct w:val="0"/>
              <w:autoSpaceDE/>
              <w:autoSpaceDN/>
              <w:bidi w:val="0"/>
              <w:adjustRightInd w:val="0"/>
              <w:snapToGrid w:val="0"/>
              <w:spacing w:line="340" w:lineRule="exact"/>
              <w:ind w:right="0" w:rightChars="0"/>
              <w:textAlignment w:val="auto"/>
              <w:outlineLvl w:val="9"/>
              <w:rPr>
                <w:rFonts w:hint="eastAsia"/>
                <w:color w:val="auto"/>
                <w:highlight w:val="none"/>
                <w:lang w:eastAsia="zh-CN"/>
              </w:rPr>
            </w:pPr>
            <w:r>
              <w:rPr>
                <w:rFonts w:hint="eastAsia" w:ascii="宋体" w:hAnsi="宋体" w:eastAsia="宋体" w:cs="宋体"/>
                <w:color w:val="auto"/>
                <w:szCs w:val="21"/>
                <w:highlight w:val="none"/>
                <w:lang w:val="en-US" w:eastAsia="zh-CN"/>
              </w:rPr>
              <w:t>账号：20010048352066600000012</w:t>
            </w:r>
          </w:p>
        </w:tc>
      </w:tr>
      <w:tr w14:paraId="596BF1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19E0DDC">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1</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315FBE85">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62CFB54B">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Times New Roman"/>
                <w:b w:val="0"/>
                <w:bCs/>
                <w:color w:val="auto"/>
                <w:kern w:val="0"/>
                <w:sz w:val="21"/>
                <w:szCs w:val="21"/>
                <w:highlight w:val="none"/>
                <w:lang w:val="en-US" w:eastAsia="zh-CN" w:bidi="ar-SA"/>
              </w:rPr>
              <w:t>采购人指定地点。</w:t>
            </w:r>
          </w:p>
        </w:tc>
      </w:tr>
      <w:tr w14:paraId="2AB86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83057D2">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85E325B">
            <w:pPr>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服务期</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5C8FB434">
            <w:pPr>
              <w:tabs>
                <w:tab w:val="left" w:pos="1980"/>
              </w:tabs>
              <w:adjustRightInd w:val="0"/>
              <w:snapToGrid w:val="0"/>
              <w:spacing w:line="310" w:lineRule="exact"/>
              <w:rPr>
                <w:rFonts w:hint="default" w:ascii="宋体" w:hAnsi="宋体" w:eastAsia="宋体" w:cs="宋体"/>
                <w:color w:val="auto"/>
                <w:szCs w:val="21"/>
                <w:highlight w:val="none"/>
                <w:lang w:val="en-US" w:eastAsia="zh-CN"/>
              </w:rPr>
            </w:pPr>
            <w:r>
              <w:rPr>
                <w:rFonts w:hint="eastAsia" w:ascii="宋体" w:hAnsi="宋体" w:cs="宋体"/>
                <w:b w:val="0"/>
                <w:bCs w:val="0"/>
                <w:color w:val="auto"/>
                <w:sz w:val="21"/>
                <w:szCs w:val="21"/>
                <w:highlight w:val="none"/>
                <w:lang w:val="en-US" w:eastAsia="zh-CN"/>
              </w:rPr>
              <w:t>自合同签订之日起1个月内完成评估并出具评估报告。</w:t>
            </w:r>
          </w:p>
        </w:tc>
      </w:tr>
      <w:tr w14:paraId="157B8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6AE4144E">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3</w:t>
            </w:r>
            <w:r>
              <w:rPr>
                <w:rFonts w:hint="eastAsia" w:ascii="宋体" w:hAnsi="宋体" w:cs="宋体"/>
                <w:bCs/>
                <w:color w:val="auto"/>
                <w:szCs w:val="21"/>
                <w:highlight w:val="none"/>
                <w:lang w:val="en-US" w:eastAsia="zh-CN"/>
              </w:rPr>
              <w:t>3</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26D45904">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rPr>
              <w:t>签订合同地点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70F8A80B">
            <w:pPr>
              <w:adjustRightInd w:val="0"/>
              <w:snapToGrid w:val="0"/>
              <w:spacing w:line="310" w:lineRule="exact"/>
              <w:jc w:val="left"/>
              <w:rPr>
                <w:rFonts w:hint="eastAsia" w:ascii="宋体" w:hAnsi="宋体" w:eastAsia="宋体" w:cs="宋体"/>
                <w:i w:val="0"/>
                <w:caps w:val="0"/>
                <w:color w:val="auto"/>
                <w:spacing w:val="0"/>
                <w:sz w:val="21"/>
                <w:szCs w:val="21"/>
                <w:highlight w:val="none"/>
                <w:shd w:val="clear" w:color="auto" w:fill="FFFFFF"/>
                <w:lang w:val="en-US" w:eastAsia="zh-CN"/>
              </w:rPr>
            </w:pPr>
            <w:r>
              <w:rPr>
                <w:rFonts w:hint="eastAsia" w:ascii="宋体" w:hAnsi="宋体" w:eastAsia="宋体" w:cs="宋体"/>
                <w:i w:val="0"/>
                <w:caps w:val="0"/>
                <w:color w:val="auto"/>
                <w:spacing w:val="0"/>
                <w:sz w:val="21"/>
                <w:szCs w:val="21"/>
                <w:highlight w:val="none"/>
                <w:shd w:val="clear" w:color="auto" w:fill="FFFFFF"/>
                <w:lang w:val="en-US" w:eastAsia="zh-CN"/>
              </w:rPr>
              <w:t>采购人指定地点</w:t>
            </w:r>
          </w:p>
        </w:tc>
      </w:tr>
      <w:tr w14:paraId="3350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CAB2BF0">
            <w:pPr>
              <w:adjustRightInd w:val="0"/>
              <w:snapToGrid w:val="0"/>
              <w:spacing w:line="310" w:lineRule="exact"/>
              <w:jc w:val="center"/>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688CF273">
            <w:pPr>
              <w:adjustRightInd w:val="0"/>
              <w:snapToGrid w:val="0"/>
              <w:spacing w:line="310" w:lineRule="exac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付款方式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E108A23">
            <w:pPr>
              <w:adjustRightInd w:val="0"/>
              <w:snapToGrid w:val="0"/>
              <w:spacing w:line="310" w:lineRule="exact"/>
              <w:jc w:val="left"/>
              <w:rPr>
                <w:rFonts w:hint="default" w:ascii="宋体" w:hAnsi="宋体" w:eastAsia="宋体" w:cs="宋体"/>
                <w:i w:val="0"/>
                <w:caps w:val="0"/>
                <w:color w:val="auto"/>
                <w:spacing w:val="0"/>
                <w:sz w:val="21"/>
                <w:szCs w:val="21"/>
                <w:highlight w:val="none"/>
                <w:shd w:val="clear" w:color="auto" w:fill="FFFFFF"/>
                <w:lang w:val="en-US" w:eastAsia="zh-CN"/>
              </w:rPr>
            </w:pPr>
            <w:r>
              <w:rPr>
                <w:rFonts w:hint="eastAsia" w:ascii="宋体" w:hAnsi="宋体" w:eastAsia="宋体" w:cs="宋体"/>
                <w:i w:val="0"/>
                <w:caps w:val="0"/>
                <w:color w:val="auto"/>
                <w:spacing w:val="0"/>
                <w:sz w:val="21"/>
                <w:szCs w:val="21"/>
                <w:highlight w:val="none"/>
                <w:shd w:val="clear" w:color="auto" w:fill="FFFFFF"/>
                <w:lang w:val="en-US" w:eastAsia="zh-CN"/>
              </w:rPr>
              <w:t>提供符合采购人要求及相关部门核准或备案要求的资产评估报告后，支付合同价款的50%，剩余50%部分待2026年度结束前完成支付。</w:t>
            </w:r>
          </w:p>
        </w:tc>
      </w:tr>
      <w:tr w14:paraId="63009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EA01CB1">
            <w:pPr>
              <w:adjustRightInd w:val="0"/>
              <w:snapToGrid w:val="0"/>
              <w:spacing w:line="31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14CFBE5F">
            <w:pPr>
              <w:adjustRightInd w:val="0"/>
              <w:snapToGrid w:val="0"/>
              <w:spacing w:line="31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竞争谈判</w:t>
            </w:r>
            <w:r>
              <w:rPr>
                <w:rFonts w:hint="eastAsia" w:ascii="宋体" w:hAnsi="宋体" w:cs="宋体"/>
                <w:color w:val="auto"/>
                <w:szCs w:val="21"/>
                <w:highlight w:val="none"/>
              </w:rPr>
              <w:t>文件发售方式</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299EACE">
            <w:pPr>
              <w:adjustRightInd w:val="0"/>
              <w:snapToGrid w:val="0"/>
              <w:spacing w:line="310" w:lineRule="exact"/>
              <w:jc w:val="left"/>
              <w:rPr>
                <w:rFonts w:hint="eastAsia" w:ascii="宋体" w:hAnsi="宋体" w:cs="宋体"/>
                <w:color w:val="auto"/>
                <w:highlight w:val="none"/>
              </w:rPr>
            </w:pPr>
            <w:r>
              <w:rPr>
                <w:rFonts w:hint="eastAsia" w:ascii="宋体" w:hAnsi="宋体"/>
                <w:color w:val="auto"/>
                <w:highlight w:val="none"/>
              </w:rPr>
              <w:t>详见</w:t>
            </w:r>
            <w:r>
              <w:rPr>
                <w:rFonts w:hint="eastAsia" w:ascii="宋体" w:hAnsi="宋体"/>
                <w:color w:val="auto"/>
                <w:highlight w:val="none"/>
                <w:lang w:val="en-US" w:eastAsia="zh-CN"/>
              </w:rPr>
              <w:t>谈判</w:t>
            </w:r>
            <w:r>
              <w:rPr>
                <w:rFonts w:hint="eastAsia" w:ascii="宋体" w:hAnsi="宋体"/>
                <w:color w:val="auto"/>
                <w:highlight w:val="none"/>
              </w:rPr>
              <w:t>公告</w:t>
            </w:r>
          </w:p>
        </w:tc>
      </w:tr>
      <w:tr w14:paraId="46EF8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03AE6502">
            <w:pPr>
              <w:adjustRightInd w:val="0"/>
              <w:snapToGrid w:val="0"/>
              <w:spacing w:line="31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0F84E263">
            <w:pPr>
              <w:adjustRightInd w:val="0"/>
              <w:snapToGrid w:val="0"/>
              <w:spacing w:line="310" w:lineRule="exact"/>
              <w:rPr>
                <w:rFonts w:hint="eastAsia" w:ascii="宋体" w:hAnsi="宋体" w:cs="宋体"/>
                <w:b/>
                <w:bCs/>
                <w:color w:val="auto"/>
                <w:szCs w:val="21"/>
                <w:highlight w:val="none"/>
              </w:rPr>
            </w:pPr>
            <w:r>
              <w:rPr>
                <w:rFonts w:hint="eastAsia" w:ascii="宋体" w:hAnsi="宋体" w:cs="宋体"/>
                <w:b/>
                <w:bCs/>
                <w:color w:val="auto"/>
                <w:szCs w:val="21"/>
                <w:highlight w:val="none"/>
              </w:rPr>
              <w:t>最高限价</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47D430B0">
            <w:pPr>
              <w:adjustRightInd w:val="0"/>
              <w:snapToGrid w:val="0"/>
              <w:spacing w:line="310" w:lineRule="exact"/>
              <w:jc w:val="left"/>
              <w:rPr>
                <w:rFonts w:hint="default" w:ascii="宋体" w:hAnsi="宋体" w:eastAsia="宋体" w:cs="宋体"/>
                <w:b/>
                <w:bCs/>
                <w:color w:val="auto"/>
                <w:szCs w:val="21"/>
                <w:highlight w:val="none"/>
                <w:lang w:val="en-US" w:eastAsia="zh-CN"/>
              </w:rPr>
            </w:pPr>
            <w:r>
              <w:rPr>
                <w:rFonts w:hint="eastAsia" w:ascii="宋体" w:hAnsi="宋体" w:cs="宋体"/>
                <w:i w:val="0"/>
                <w:caps w:val="0"/>
                <w:color w:val="auto"/>
                <w:spacing w:val="0"/>
                <w:sz w:val="21"/>
                <w:szCs w:val="21"/>
                <w:highlight w:val="none"/>
                <w:shd w:val="clear" w:color="auto" w:fill="FFFFFF"/>
                <w:lang w:val="en-US" w:eastAsia="zh-CN"/>
              </w:rPr>
              <w:t>详见谈判公告</w:t>
            </w:r>
          </w:p>
        </w:tc>
      </w:tr>
      <w:tr w14:paraId="6D794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7E879D1A">
            <w:pPr>
              <w:adjustRightInd w:val="0"/>
              <w:snapToGrid w:val="0"/>
              <w:spacing w:line="31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37</w:t>
            </w:r>
          </w:p>
        </w:tc>
        <w:tc>
          <w:tcPr>
            <w:tcW w:w="2190" w:type="dxa"/>
            <w:tcBorders>
              <w:top w:val="single" w:color="auto" w:sz="4" w:space="0"/>
              <w:left w:val="single" w:color="auto" w:sz="4" w:space="0"/>
              <w:bottom w:val="single" w:color="auto" w:sz="4" w:space="0"/>
              <w:right w:val="single" w:color="auto" w:sz="4" w:space="0"/>
            </w:tcBorders>
            <w:noWrap w:val="0"/>
            <w:vAlign w:val="center"/>
          </w:tcPr>
          <w:p w14:paraId="7FD937CE">
            <w:pPr>
              <w:adjustRightInd w:val="0"/>
              <w:snapToGrid w:val="0"/>
              <w:spacing w:line="310" w:lineRule="exact"/>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注意事项</w:t>
            </w:r>
          </w:p>
        </w:tc>
        <w:tc>
          <w:tcPr>
            <w:tcW w:w="7090" w:type="dxa"/>
            <w:tcBorders>
              <w:top w:val="single" w:color="auto" w:sz="4" w:space="0"/>
              <w:left w:val="single" w:color="auto" w:sz="4" w:space="0"/>
              <w:bottom w:val="single" w:color="auto" w:sz="4" w:space="0"/>
              <w:right w:val="single" w:color="auto" w:sz="4" w:space="0"/>
            </w:tcBorders>
            <w:noWrap w:val="0"/>
            <w:vAlign w:val="center"/>
          </w:tcPr>
          <w:p w14:paraId="352D0F49">
            <w:pPr>
              <w:pStyle w:val="3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s="宋体"/>
                <w:i w:val="0"/>
                <w:caps w:val="0"/>
                <w:color w:val="auto"/>
                <w:spacing w:val="0"/>
                <w:sz w:val="21"/>
                <w:szCs w:val="21"/>
                <w:highlight w:val="none"/>
                <w:shd w:val="clear" w:color="auto" w:fill="FFFFFF"/>
                <w:lang w:val="en-US" w:eastAsia="zh-CN"/>
              </w:rPr>
            </w:pPr>
            <w:r>
              <w:rPr>
                <w:rFonts w:hint="eastAsia" w:ascii="Times New Roman" w:hAnsi="Times New Roman" w:eastAsia="宋体" w:cs="Times New Roman"/>
                <w:color w:val="auto"/>
                <w:kern w:val="2"/>
                <w:sz w:val="21"/>
                <w:highlight w:val="none"/>
                <w:lang w:val="en-US" w:eastAsia="zh-CN" w:bidi="ar-SA"/>
              </w:rPr>
              <w:t>投标人在响应文件递交截止时间内收到的响应文件不足2家的，或评审过程中造成流标现象的，其响应文件也不予退还给投标人。</w:t>
            </w:r>
          </w:p>
        </w:tc>
      </w:tr>
    </w:tbl>
    <w:p w14:paraId="3F3A62A2">
      <w:pPr>
        <w:rPr>
          <w:rFonts w:hint="eastAsia"/>
          <w:color w:val="auto"/>
          <w:highlight w:val="none"/>
        </w:rPr>
      </w:pPr>
      <w:bookmarkStart w:id="26" w:name="_Toc228155793"/>
      <w:bookmarkStart w:id="27" w:name="OLE_LINK4"/>
      <w:bookmarkStart w:id="28" w:name="OLE_LINK3"/>
      <w:bookmarkStart w:id="29" w:name="_Toc163036384"/>
    </w:p>
    <w:p w14:paraId="5737104F">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二、</w:t>
      </w:r>
      <w:bookmarkEnd w:id="26"/>
      <w:r>
        <w:rPr>
          <w:rFonts w:hint="eastAsia" w:ascii="宋体" w:hAnsi="宋体" w:eastAsia="宋体" w:cs="宋体"/>
          <w:b/>
          <w:bCs/>
          <w:color w:val="auto"/>
          <w:kern w:val="0"/>
          <w:sz w:val="30"/>
          <w:szCs w:val="30"/>
          <w:highlight w:val="none"/>
          <w:lang w:val="zh-CN" w:eastAsia="zh-CN" w:bidi="ar-SA"/>
        </w:rPr>
        <w:t>供应商须知</w:t>
      </w:r>
    </w:p>
    <w:p w14:paraId="09DB5F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1、适用范围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文件仅适用于本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文件所述的</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项目招标。</w:t>
      </w:r>
    </w:p>
    <w:p w14:paraId="5C76E0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2、合格的供应商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合格的供应商应符合本</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文件载明的</w:t>
      </w:r>
      <w:r>
        <w:rPr>
          <w:rFonts w:hint="eastAsia" w:ascii="宋体" w:hAnsi="宋体" w:cs="宋体"/>
          <w:color w:val="auto"/>
          <w:sz w:val="24"/>
          <w:szCs w:val="24"/>
          <w:highlight w:val="none"/>
          <w:lang w:eastAsia="zh-CN"/>
        </w:rPr>
        <w:t>谈判</w:t>
      </w:r>
      <w:r>
        <w:rPr>
          <w:rFonts w:hint="eastAsia"/>
          <w:color w:val="auto"/>
          <w:sz w:val="24"/>
          <w:szCs w:val="24"/>
          <w:highlight w:val="none"/>
        </w:rPr>
        <w:t>供应商资</w:t>
      </w:r>
      <w:r>
        <w:rPr>
          <w:rFonts w:hint="eastAsia" w:ascii="宋体" w:hAnsi="宋体" w:cs="宋体"/>
          <w:color w:val="auto"/>
          <w:sz w:val="24"/>
          <w:szCs w:val="24"/>
          <w:highlight w:val="none"/>
        </w:rPr>
        <w:t>格。</w:t>
      </w:r>
    </w:p>
    <w:p w14:paraId="6A4C6B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CN"/>
        </w:rPr>
        <w:t>谈判报价：谈判报价为供应商在竞争谈判文件中提出的各项支付金额的总和。包括本次谈判全部内容及人员工资、材料费、工具费、税费等所发生的</w:t>
      </w:r>
      <w:r>
        <w:rPr>
          <w:rFonts w:hint="eastAsia" w:ascii="宋体" w:hAnsi="宋体" w:eastAsia="宋体" w:cs="宋体"/>
          <w:color w:val="auto"/>
          <w:sz w:val="24"/>
          <w:szCs w:val="24"/>
          <w:highlight w:val="none"/>
          <w:lang w:val="zh-CN"/>
        </w:rPr>
        <w:t>所有费用等。</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供应商不得递交两份或多份内容不同的</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响应文件，或在一份</w:t>
      </w:r>
      <w:r>
        <w:rPr>
          <w:rFonts w:hint="eastAsia" w:ascii="宋体" w:hAnsi="宋体" w:eastAsia="宋体" w:cs="宋体"/>
          <w:color w:val="auto"/>
          <w:sz w:val="24"/>
          <w:szCs w:val="24"/>
          <w:highlight w:val="none"/>
          <w:lang w:val="zh-CN" w:eastAsia="zh-CN"/>
        </w:rPr>
        <w:t>谈判</w:t>
      </w:r>
      <w:r>
        <w:rPr>
          <w:rFonts w:hint="eastAsia" w:ascii="宋体" w:hAnsi="宋体" w:eastAsia="宋体" w:cs="宋体"/>
          <w:color w:val="auto"/>
          <w:sz w:val="24"/>
          <w:szCs w:val="24"/>
          <w:highlight w:val="none"/>
          <w:lang w:val="zh-CN"/>
        </w:rPr>
        <w:t>响应文件中对同一谈判项目报有两个或多个报价，且未声明哪一个有效（</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文件规定提交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替代方案的除外），否则将被判定为无效</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w:t>
      </w:r>
    </w:p>
    <w:p w14:paraId="787398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费用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供应商应承担其编制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响应文件以及递交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响应文件所涉及的一切费用，无论</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结果如何，采购单位对上述费用不负任何责任。</w:t>
      </w:r>
    </w:p>
    <w:p w14:paraId="574A22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5、</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有效期：</w:t>
      </w:r>
      <w:r>
        <w:rPr>
          <w:rFonts w:hint="eastAsia" w:ascii="宋体" w:hAnsi="宋体" w:cs="宋体"/>
          <w:color w:val="auto"/>
          <w:kern w:val="0"/>
          <w:sz w:val="24"/>
          <w:szCs w:val="24"/>
          <w:highlight w:val="none"/>
        </w:rPr>
        <w:t>见供应商须知前附表</w:t>
      </w:r>
      <w:r>
        <w:rPr>
          <w:rFonts w:hint="eastAsia" w:ascii="宋体" w:hAnsi="宋体" w:cs="宋体"/>
          <w:bCs/>
          <w:color w:val="auto"/>
          <w:sz w:val="24"/>
          <w:szCs w:val="24"/>
          <w:highlight w:val="none"/>
        </w:rPr>
        <w:t>。</w:t>
      </w:r>
    </w:p>
    <w:p w14:paraId="46663C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6、供应商应确保所提供的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资料的真实性、有效性及合法性，否则，由此引起的被废标等任何责任由其自行承担。</w:t>
      </w:r>
    </w:p>
    <w:p w14:paraId="77D175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7、为保证</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活动顺利进行，供应商应派相关技术人员进行现场答疑，授权代表必须到达</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现场。</w:t>
      </w:r>
    </w:p>
    <w:p w14:paraId="468EB9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8、如果</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小组认为有必要，可要求供应商在指定时间内提交</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响应文件的补充资料或证明材料。指定时间内未能提交或提交不全，做无效标处理。</w:t>
      </w:r>
    </w:p>
    <w:p w14:paraId="02EE6D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9、</w:t>
      </w:r>
      <w:r>
        <w:rPr>
          <w:rFonts w:hint="eastAsia" w:ascii="宋体" w:hAnsi="宋体" w:cs="宋体"/>
          <w:bCs/>
          <w:color w:val="auto"/>
          <w:sz w:val="24"/>
          <w:szCs w:val="24"/>
          <w:highlight w:val="none"/>
          <w:lang w:eastAsia="zh-CN"/>
        </w:rPr>
        <w:t>竞争谈判</w:t>
      </w:r>
      <w:r>
        <w:rPr>
          <w:rFonts w:hint="eastAsia" w:ascii="宋体" w:hAnsi="宋体" w:cs="宋体"/>
          <w:bCs/>
          <w:color w:val="auto"/>
          <w:sz w:val="24"/>
          <w:szCs w:val="24"/>
          <w:highlight w:val="none"/>
        </w:rPr>
        <w:t>文件中如果提供参考商标或品牌，仅作为说明并没有限制性。供应商在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中若选用替代商标或品牌，应优于或相当于参考商标或品牌，否则</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小组有权拒绝其</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w:t>
      </w:r>
    </w:p>
    <w:p w14:paraId="632CCC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10、供应商必须保证，采购人在中华人民共和国境内使用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报价中必须包括合法获取该知识产权的一切相关费用。</w:t>
      </w:r>
    </w:p>
    <w:p w14:paraId="58C7EF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bCs/>
          <w:color w:val="auto"/>
          <w:sz w:val="24"/>
          <w:szCs w:val="24"/>
          <w:highlight w:val="none"/>
        </w:rPr>
        <w:t>11、</w:t>
      </w: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val="en-US" w:eastAsia="zh-CN"/>
        </w:rPr>
        <w:t>不</w:t>
      </w:r>
      <w:r>
        <w:rPr>
          <w:rFonts w:hint="eastAsia" w:ascii="宋体" w:hAnsi="宋体" w:cs="宋体"/>
          <w:color w:val="auto"/>
          <w:sz w:val="24"/>
          <w:szCs w:val="24"/>
          <w:highlight w:val="none"/>
        </w:rPr>
        <w:t>接受联合体</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w:t>
      </w:r>
    </w:p>
    <w:p w14:paraId="78EC6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12、</w:t>
      </w: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报价采用的币种为</w:t>
      </w:r>
      <w:r>
        <w:rPr>
          <w:rFonts w:hint="eastAsia" w:ascii="宋体" w:hAnsi="宋体" w:cs="宋体"/>
          <w:color w:val="auto"/>
          <w:sz w:val="24"/>
          <w:szCs w:val="24"/>
          <w:highlight w:val="none"/>
          <w:u w:val="single"/>
        </w:rPr>
        <w:t xml:space="preserve"> 人民币 </w:t>
      </w:r>
      <w:r>
        <w:rPr>
          <w:rFonts w:hint="eastAsia" w:ascii="宋体" w:hAnsi="宋体" w:cs="宋体"/>
          <w:color w:val="auto"/>
          <w:sz w:val="24"/>
          <w:szCs w:val="24"/>
          <w:highlight w:val="none"/>
        </w:rPr>
        <w:t>。</w:t>
      </w:r>
    </w:p>
    <w:p w14:paraId="03787D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响应文件和与</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有关的所有文件均应使用</w:t>
      </w:r>
      <w:r>
        <w:rPr>
          <w:rFonts w:hint="eastAsia" w:ascii="宋体" w:hAnsi="宋体" w:cs="宋体"/>
          <w:color w:val="auto"/>
          <w:sz w:val="24"/>
          <w:szCs w:val="24"/>
          <w:highlight w:val="none"/>
          <w:u w:val="single"/>
        </w:rPr>
        <w:t xml:space="preserve"> 汉语 </w:t>
      </w:r>
      <w:r>
        <w:rPr>
          <w:rFonts w:hint="eastAsia" w:ascii="宋体" w:hAnsi="宋体" w:cs="宋体"/>
          <w:color w:val="auto"/>
          <w:sz w:val="24"/>
          <w:szCs w:val="24"/>
          <w:highlight w:val="none"/>
        </w:rPr>
        <w:t>。</w:t>
      </w:r>
    </w:p>
    <w:p w14:paraId="7BCC59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14、除另有规定外，</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响应文件使用的</w:t>
      </w:r>
      <w:r>
        <w:rPr>
          <w:rFonts w:hint="eastAsia" w:ascii="宋体" w:hAnsi="宋体" w:cs="宋体"/>
          <w:color w:val="auto"/>
          <w:sz w:val="24"/>
          <w:szCs w:val="24"/>
          <w:highlight w:val="none"/>
          <w:lang w:val="en-US" w:eastAsia="zh-CN"/>
        </w:rPr>
        <w:t>度</w:t>
      </w:r>
      <w:r>
        <w:rPr>
          <w:rFonts w:hint="eastAsia" w:ascii="宋体" w:hAnsi="宋体" w:cs="宋体"/>
          <w:color w:val="auto"/>
          <w:sz w:val="24"/>
          <w:szCs w:val="24"/>
          <w:highlight w:val="none"/>
        </w:rPr>
        <w:t>量衡单位，均采用</w:t>
      </w:r>
      <w:r>
        <w:rPr>
          <w:rFonts w:hint="eastAsia" w:ascii="宋体" w:hAnsi="宋体" w:cs="宋体"/>
          <w:color w:val="auto"/>
          <w:sz w:val="24"/>
          <w:szCs w:val="24"/>
          <w:highlight w:val="none"/>
          <w:u w:val="single"/>
        </w:rPr>
        <w:t>中华人民共和国法定</w:t>
      </w:r>
      <w:r>
        <w:rPr>
          <w:rFonts w:hint="eastAsia" w:ascii="宋体" w:hAnsi="宋体" w:cs="宋体"/>
          <w:color w:val="auto"/>
          <w:sz w:val="24"/>
          <w:szCs w:val="24"/>
          <w:highlight w:val="none"/>
        </w:rPr>
        <w:t>计量单位。</w:t>
      </w:r>
    </w:p>
    <w:p w14:paraId="683B5F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15、</w:t>
      </w:r>
      <w:r>
        <w:rPr>
          <w:rFonts w:hint="eastAsia" w:ascii="宋体" w:hAnsi="宋体" w:cs="宋体"/>
          <w:bCs/>
          <w:color w:val="auto"/>
          <w:sz w:val="24"/>
          <w:szCs w:val="24"/>
          <w:highlight w:val="none"/>
          <w:lang w:eastAsia="zh-CN"/>
        </w:rPr>
        <w:t>本公司</w:t>
      </w:r>
      <w:r>
        <w:rPr>
          <w:rFonts w:hint="eastAsia" w:ascii="宋体" w:hAnsi="宋体" w:cs="宋体"/>
          <w:bCs/>
          <w:color w:val="auto"/>
          <w:sz w:val="24"/>
          <w:szCs w:val="24"/>
          <w:highlight w:val="none"/>
        </w:rPr>
        <w:t>一律不予退还供应商的</w:t>
      </w:r>
      <w:r>
        <w:rPr>
          <w:rFonts w:hint="eastAsia" w:ascii="宋体" w:hAnsi="宋体" w:cs="宋体"/>
          <w:bCs/>
          <w:color w:val="auto"/>
          <w:sz w:val="24"/>
          <w:szCs w:val="24"/>
          <w:highlight w:val="none"/>
          <w:lang w:eastAsia="zh-CN"/>
        </w:rPr>
        <w:t>谈判</w:t>
      </w:r>
      <w:r>
        <w:rPr>
          <w:rFonts w:hint="eastAsia" w:ascii="宋体" w:hAnsi="宋体" w:cs="宋体"/>
          <w:bCs/>
          <w:color w:val="auto"/>
          <w:sz w:val="24"/>
          <w:szCs w:val="24"/>
          <w:highlight w:val="none"/>
        </w:rPr>
        <w:t>响应文件。</w:t>
      </w:r>
    </w:p>
    <w:p w14:paraId="088CE81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val="0"/>
          <w:color w:val="auto"/>
          <w:sz w:val="24"/>
          <w:szCs w:val="24"/>
          <w:highlight w:val="none"/>
        </w:rPr>
      </w:pPr>
      <w:r>
        <w:rPr>
          <w:rFonts w:hint="eastAsia" w:ascii="宋体" w:hAnsi="宋体" w:cs="宋体"/>
          <w:b/>
          <w:bCs w:val="0"/>
          <w:color w:val="auto"/>
          <w:sz w:val="24"/>
          <w:szCs w:val="24"/>
          <w:highlight w:val="none"/>
        </w:rPr>
        <w:t>16、与本次招标活动相关的信息，将在</w:t>
      </w:r>
      <w:r>
        <w:rPr>
          <w:rFonts w:hint="eastAsia" w:ascii="宋体" w:hAnsi="宋体" w:cs="宋体"/>
          <w:b/>
          <w:bCs w:val="0"/>
          <w:color w:val="auto"/>
          <w:sz w:val="24"/>
          <w:szCs w:val="24"/>
          <w:highlight w:val="none"/>
          <w:lang w:eastAsia="zh-CN"/>
        </w:rPr>
        <w:t>安徽霍山国有资产投资控股集团有限公司</w:t>
      </w:r>
      <w:r>
        <w:rPr>
          <w:rFonts w:hint="eastAsia" w:ascii="宋体" w:hAnsi="宋体" w:cs="宋体"/>
          <w:b/>
          <w:bCs w:val="0"/>
          <w:color w:val="auto"/>
          <w:sz w:val="24"/>
          <w:szCs w:val="24"/>
          <w:highlight w:val="none"/>
        </w:rPr>
        <w:t>（</w:t>
      </w:r>
      <w:r>
        <w:rPr>
          <w:rFonts w:hint="eastAsia" w:ascii="宋体" w:hAnsi="宋体" w:cs="宋体"/>
          <w:b/>
          <w:bCs w:val="0"/>
          <w:color w:val="auto"/>
          <w:sz w:val="24"/>
          <w:szCs w:val="24"/>
          <w:highlight w:val="none"/>
          <w:lang w:eastAsia="zh-CN"/>
        </w:rPr>
        <w:t>http://www.ahdmig.cn</w:t>
      </w:r>
      <w:r>
        <w:rPr>
          <w:rFonts w:hint="eastAsia" w:ascii="宋体" w:hAnsi="宋体" w:cs="宋体"/>
          <w:b/>
          <w:bCs w:val="0"/>
          <w:color w:val="auto"/>
          <w:sz w:val="24"/>
          <w:szCs w:val="24"/>
          <w:highlight w:val="none"/>
        </w:rPr>
        <w:t>）上及时发布。供应商对本须知如有不清楚之处，请在递交</w:t>
      </w:r>
      <w:r>
        <w:rPr>
          <w:rFonts w:hint="eastAsia" w:ascii="宋体" w:hAnsi="宋体" w:cs="宋体"/>
          <w:b/>
          <w:bCs w:val="0"/>
          <w:color w:val="auto"/>
          <w:sz w:val="24"/>
          <w:szCs w:val="24"/>
          <w:highlight w:val="none"/>
          <w:lang w:val="en-US" w:eastAsia="zh-CN"/>
        </w:rPr>
        <w:t>响应</w:t>
      </w:r>
      <w:r>
        <w:rPr>
          <w:rFonts w:hint="eastAsia" w:ascii="宋体" w:hAnsi="宋体" w:cs="宋体"/>
          <w:b/>
          <w:bCs w:val="0"/>
          <w:color w:val="auto"/>
          <w:sz w:val="24"/>
          <w:szCs w:val="24"/>
          <w:highlight w:val="none"/>
        </w:rPr>
        <w:t>文件截止时间</w:t>
      </w:r>
      <w:r>
        <w:rPr>
          <w:rFonts w:hint="eastAsia" w:ascii="宋体" w:hAnsi="宋体" w:cs="宋体"/>
          <w:b/>
          <w:bCs w:val="0"/>
          <w:color w:val="auto"/>
          <w:sz w:val="24"/>
          <w:szCs w:val="24"/>
          <w:highlight w:val="none"/>
          <w:lang w:val="en-US" w:eastAsia="zh-CN"/>
        </w:rPr>
        <w:t>2</w:t>
      </w:r>
      <w:r>
        <w:rPr>
          <w:rFonts w:hint="eastAsia" w:ascii="宋体" w:hAnsi="宋体" w:cs="宋体"/>
          <w:b/>
          <w:bCs w:val="0"/>
          <w:color w:val="auto"/>
          <w:sz w:val="24"/>
          <w:szCs w:val="24"/>
          <w:highlight w:val="none"/>
        </w:rPr>
        <w:t>天前，以书面形式告知采购人</w:t>
      </w:r>
      <w:r>
        <w:rPr>
          <w:rFonts w:hint="eastAsia" w:ascii="宋体" w:hAnsi="宋体" w:cs="宋体"/>
          <w:b/>
          <w:bCs w:val="0"/>
          <w:color w:val="auto"/>
          <w:sz w:val="24"/>
          <w:szCs w:val="24"/>
          <w:highlight w:val="none"/>
          <w:lang w:val="en-US" w:eastAsia="zh-CN"/>
        </w:rPr>
        <w:t>或</w:t>
      </w:r>
      <w:r>
        <w:rPr>
          <w:rFonts w:hint="eastAsia" w:ascii="宋体" w:hAnsi="宋体" w:cs="宋体"/>
          <w:b/>
          <w:bCs w:val="0"/>
          <w:color w:val="auto"/>
          <w:sz w:val="24"/>
          <w:szCs w:val="24"/>
          <w:highlight w:val="none"/>
          <w:lang w:eastAsia="zh-CN"/>
        </w:rPr>
        <w:t>安徽大别山工程咨询有限公司</w:t>
      </w:r>
      <w:r>
        <w:rPr>
          <w:rFonts w:hint="eastAsia" w:ascii="宋体" w:hAnsi="宋体" w:cs="宋体"/>
          <w:b/>
          <w:bCs w:val="0"/>
          <w:color w:val="auto"/>
          <w:sz w:val="24"/>
          <w:szCs w:val="24"/>
          <w:highlight w:val="none"/>
        </w:rPr>
        <w:t>并说明原因，逾期不予受理。</w:t>
      </w:r>
    </w:p>
    <w:p w14:paraId="346EBE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bCs/>
          <w:color w:val="auto"/>
          <w:sz w:val="24"/>
          <w:szCs w:val="24"/>
          <w:highlight w:val="none"/>
        </w:rPr>
        <w:t>17、本</w:t>
      </w:r>
      <w:r>
        <w:rPr>
          <w:rFonts w:hint="eastAsia" w:ascii="宋体" w:hAnsi="宋体" w:cs="宋体"/>
          <w:bCs/>
          <w:color w:val="auto"/>
          <w:sz w:val="24"/>
          <w:szCs w:val="24"/>
          <w:highlight w:val="none"/>
          <w:lang w:eastAsia="zh-CN"/>
        </w:rPr>
        <w:t>竞争谈判</w:t>
      </w:r>
      <w:r>
        <w:rPr>
          <w:rFonts w:hint="eastAsia" w:ascii="宋体" w:hAnsi="宋体" w:cs="宋体"/>
          <w:bCs/>
          <w:color w:val="auto"/>
          <w:sz w:val="24"/>
          <w:szCs w:val="24"/>
          <w:highlight w:val="none"/>
        </w:rPr>
        <w:t>文件的解释权属于采购人</w:t>
      </w:r>
      <w:r>
        <w:rPr>
          <w:rFonts w:hint="eastAsia" w:ascii="宋体" w:hAnsi="宋体" w:cs="宋体"/>
          <w:bCs/>
          <w:color w:val="auto"/>
          <w:sz w:val="24"/>
          <w:szCs w:val="24"/>
          <w:highlight w:val="none"/>
          <w:lang w:val="en-US" w:eastAsia="zh-CN"/>
        </w:rPr>
        <w:t>和</w:t>
      </w:r>
      <w:r>
        <w:rPr>
          <w:rFonts w:hint="eastAsia" w:ascii="宋体" w:hAnsi="宋体" w:cs="宋体"/>
          <w:bCs/>
          <w:color w:val="auto"/>
          <w:sz w:val="24"/>
          <w:szCs w:val="24"/>
          <w:highlight w:val="none"/>
          <w:lang w:eastAsia="zh-CN"/>
        </w:rPr>
        <w:t>安徽大别山工程咨询有限公司</w:t>
      </w:r>
      <w:r>
        <w:rPr>
          <w:rFonts w:hint="eastAsia" w:ascii="宋体" w:hAnsi="宋体" w:cs="宋体"/>
          <w:bCs/>
          <w:color w:val="auto"/>
          <w:sz w:val="24"/>
          <w:szCs w:val="24"/>
          <w:highlight w:val="none"/>
        </w:rPr>
        <w:t>。</w:t>
      </w:r>
    </w:p>
    <w:bookmarkEnd w:id="27"/>
    <w:bookmarkEnd w:id="28"/>
    <w:bookmarkEnd w:id="29"/>
    <w:p w14:paraId="38C598FE">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en-US" w:eastAsia="zh-CN" w:bidi="ar-SA"/>
        </w:rPr>
        <w:t>三、</w:t>
      </w:r>
      <w:r>
        <w:rPr>
          <w:rFonts w:hint="eastAsia" w:ascii="宋体" w:hAnsi="宋体" w:eastAsia="宋体" w:cs="宋体"/>
          <w:b/>
          <w:bCs/>
          <w:color w:val="auto"/>
          <w:kern w:val="0"/>
          <w:sz w:val="30"/>
          <w:szCs w:val="30"/>
          <w:highlight w:val="none"/>
          <w:lang w:val="zh-CN" w:eastAsia="zh-CN" w:bidi="ar-SA"/>
        </w:rPr>
        <w:t>竞争谈判文件内容、澄清及修改</w:t>
      </w:r>
    </w:p>
    <w:p w14:paraId="42E4DE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文件的组成</w:t>
      </w:r>
    </w:p>
    <w:p w14:paraId="5A3040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文件包括本章第3条发出的修改澄清通知。</w:t>
      </w:r>
    </w:p>
    <w:p w14:paraId="33373F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（2）供应商应认真审阅</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文件所有的内容，如果供应商的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响应文件不能实质性地响应</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文件要求，将作废标处理。</w:t>
      </w:r>
    </w:p>
    <w:p w14:paraId="56FF07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文件的澄清</w:t>
      </w:r>
    </w:p>
    <w:p w14:paraId="4FD672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（1）要求澄清</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文件的供应商，最迟应在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截止日期前</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天以书面或传真的方式向采购人提出要求澄清的问题。采购人在不迟于</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截止日前</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天以书面形式予以解答，此书面答复（包括对询问的解释，但不说明询问来源）将以补充书面文件形式在</w:t>
      </w:r>
      <w:r>
        <w:rPr>
          <w:rFonts w:hint="eastAsia" w:ascii="宋体" w:hAnsi="宋体" w:cs="宋体"/>
          <w:color w:val="auto"/>
          <w:sz w:val="24"/>
          <w:szCs w:val="24"/>
          <w:highlight w:val="none"/>
          <w:lang w:eastAsia="zh-CN"/>
        </w:rPr>
        <w:t>安徽霍山国有资产投资控股集团有限公司</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http://www.ahdmig.cn</w:t>
      </w:r>
      <w:r>
        <w:rPr>
          <w:rFonts w:hint="eastAsia" w:ascii="宋体" w:hAnsi="宋体" w:cs="宋体"/>
          <w:color w:val="auto"/>
          <w:sz w:val="24"/>
          <w:szCs w:val="24"/>
          <w:highlight w:val="none"/>
        </w:rPr>
        <w:t>）上及时发布，由此而产生的对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文件内容的修改，将均在网上发布。</w:t>
      </w:r>
    </w:p>
    <w:p w14:paraId="3964F1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（2）供应商对采购人提供的</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文件所做的推证、解释和结论，采购人概不负责，供应商由于对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文件的任何推证和误解以及</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文件对有关问题的口头解释所造成的后果，均由供应商自负。供应商应认真检查</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文件是否齐全，如有遗漏，请于3日内向</w:t>
      </w:r>
      <w:r>
        <w:rPr>
          <w:rFonts w:hint="eastAsia" w:ascii="宋体" w:hAnsi="宋体" w:cs="宋体"/>
          <w:color w:val="auto"/>
          <w:sz w:val="24"/>
          <w:szCs w:val="24"/>
          <w:highlight w:val="none"/>
          <w:lang w:val="en-US" w:eastAsia="zh-CN"/>
        </w:rPr>
        <w:t>本公司</w:t>
      </w:r>
      <w:r>
        <w:rPr>
          <w:rFonts w:hint="eastAsia" w:ascii="宋体" w:hAnsi="宋体" w:cs="宋体"/>
          <w:color w:val="auto"/>
          <w:sz w:val="24"/>
          <w:szCs w:val="24"/>
          <w:highlight w:val="none"/>
        </w:rPr>
        <w:t>索取，否则责任自负。</w:t>
      </w:r>
    </w:p>
    <w:p w14:paraId="7AB84B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文件的修改</w:t>
      </w:r>
    </w:p>
    <w:p w14:paraId="7A3646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截止日期</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天前，采购人可以以网站发布更正通知的方式修改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文件，修改通知作为</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文件的组成部分，对供应商有同等约束作用。</w:t>
      </w:r>
    </w:p>
    <w:p w14:paraId="289846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（2）供应商在收到</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文件修改通知后24小时内，应以电话、电报、电传或传真等形式告知</w:t>
      </w:r>
      <w:r>
        <w:rPr>
          <w:rFonts w:hint="eastAsia" w:ascii="宋体" w:hAnsi="宋体" w:cs="宋体"/>
          <w:color w:val="auto"/>
          <w:sz w:val="24"/>
          <w:szCs w:val="24"/>
          <w:highlight w:val="none"/>
          <w:lang w:eastAsia="zh-CN"/>
        </w:rPr>
        <w:t>本公司</w:t>
      </w:r>
      <w:r>
        <w:rPr>
          <w:rFonts w:hint="eastAsia" w:ascii="宋体" w:hAnsi="宋体" w:cs="宋体"/>
          <w:color w:val="auto"/>
          <w:sz w:val="24"/>
          <w:szCs w:val="24"/>
          <w:highlight w:val="none"/>
        </w:rPr>
        <w:t>予以确认。</w:t>
      </w:r>
    </w:p>
    <w:p w14:paraId="373927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（3）为使供应商有合理的时间将修改通知内容考虑进去，采购人可以酌情延长递交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响应文件的截止日期，具体时间将在修改通知中写明。当</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文件、修改通知内容相互矛盾时，以最后发出的书面通知为准。</w:t>
      </w:r>
    </w:p>
    <w:p w14:paraId="17CF29D7">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四、谈判响应文件的编制</w:t>
      </w:r>
    </w:p>
    <w:p w14:paraId="3F642B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响应文件是对</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文件实质性响应的承诺文件。</w:t>
      </w:r>
    </w:p>
    <w:p w14:paraId="6D22C8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响应文件的份数和签署</w:t>
      </w:r>
    </w:p>
    <w:p w14:paraId="335F74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color w:val="auto"/>
          <w:kern w:val="0"/>
          <w:sz w:val="24"/>
          <w:szCs w:val="24"/>
          <w:highlight w:val="none"/>
        </w:rPr>
      </w:pPr>
      <w:r>
        <w:rPr>
          <w:rFonts w:hint="eastAsia" w:ascii="宋体" w:hAnsi="宋体" w:cs="宋体"/>
          <w:color w:val="auto"/>
          <w:sz w:val="24"/>
          <w:szCs w:val="24"/>
          <w:highlight w:val="none"/>
        </w:rPr>
        <w:t>（1）</w:t>
      </w:r>
      <w:r>
        <w:rPr>
          <w:rFonts w:hint="eastAsia" w:ascii="宋体" w:hAnsi="宋体" w:cs="宋体"/>
          <w:b/>
          <w:color w:val="auto"/>
          <w:kern w:val="0"/>
          <w:sz w:val="24"/>
          <w:szCs w:val="24"/>
          <w:highlight w:val="none"/>
        </w:rPr>
        <w:t>供应商应按本</w:t>
      </w:r>
      <w:r>
        <w:rPr>
          <w:rFonts w:hint="eastAsia" w:ascii="宋体" w:hAnsi="宋体" w:cs="宋体"/>
          <w:b/>
          <w:color w:val="auto"/>
          <w:kern w:val="0"/>
          <w:sz w:val="24"/>
          <w:szCs w:val="24"/>
          <w:highlight w:val="none"/>
          <w:lang w:eastAsia="zh-CN"/>
        </w:rPr>
        <w:t>竞争谈判</w:t>
      </w:r>
      <w:r>
        <w:rPr>
          <w:rFonts w:hint="eastAsia" w:ascii="宋体" w:hAnsi="宋体" w:cs="宋体"/>
          <w:b/>
          <w:color w:val="auto"/>
          <w:kern w:val="0"/>
          <w:sz w:val="24"/>
          <w:szCs w:val="24"/>
          <w:highlight w:val="none"/>
        </w:rPr>
        <w:t>文件的规定，向采购单位提交</w:t>
      </w:r>
      <w:r>
        <w:rPr>
          <w:rFonts w:hint="eastAsia" w:ascii="宋体" w:hAnsi="宋体" w:cs="宋体"/>
          <w:b/>
          <w:color w:val="auto"/>
          <w:kern w:val="0"/>
          <w:sz w:val="24"/>
          <w:szCs w:val="24"/>
          <w:highlight w:val="none"/>
          <w:lang w:eastAsia="zh-CN"/>
        </w:rPr>
        <w:t>谈判</w:t>
      </w:r>
      <w:r>
        <w:rPr>
          <w:rFonts w:hint="eastAsia" w:ascii="宋体" w:hAnsi="宋体" w:cs="宋体"/>
          <w:b/>
          <w:color w:val="auto"/>
          <w:kern w:val="0"/>
          <w:sz w:val="24"/>
          <w:szCs w:val="24"/>
          <w:highlight w:val="none"/>
        </w:rPr>
        <w:t>响应文件，其中壹份正本，贰份副本。并在封</w:t>
      </w:r>
      <w:r>
        <w:rPr>
          <w:rFonts w:hint="eastAsia" w:ascii="宋体" w:hAnsi="宋体" w:cs="宋体"/>
          <w:b/>
          <w:color w:val="auto"/>
          <w:kern w:val="0"/>
          <w:sz w:val="24"/>
          <w:szCs w:val="24"/>
          <w:highlight w:val="none"/>
          <w:lang w:val="en-US" w:eastAsia="zh-CN"/>
        </w:rPr>
        <w:t>面</w:t>
      </w:r>
      <w:r>
        <w:rPr>
          <w:rFonts w:hint="eastAsia" w:ascii="宋体" w:hAnsi="宋体" w:cs="宋体"/>
          <w:b/>
          <w:color w:val="auto"/>
          <w:kern w:val="0"/>
          <w:sz w:val="24"/>
          <w:szCs w:val="24"/>
          <w:highlight w:val="none"/>
        </w:rPr>
        <w:t>上注明“正本”或“副本”字样，当正本与副本有不一致时，以正本为准。</w:t>
      </w:r>
    </w:p>
    <w:p w14:paraId="5A9019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响应文件正、副本均使用A4纸统一装订，且均应使用不能擦去的墨水书写或打印，按前附表要求盖章、签字。</w:t>
      </w:r>
    </w:p>
    <w:p w14:paraId="289BED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color w:val="auto"/>
          <w:sz w:val="24"/>
          <w:szCs w:val="24"/>
          <w:highlight w:val="none"/>
        </w:rPr>
        <w:t>（3）全套</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响应文件应无修改和行间插字，除非这些修改是根据“</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文件修改通知”的要求进行的，或者是供应商明显笔误必须修改的。不论何种原因造成的涂改、插字和删除，都应由</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响应文件签署人加盖印鉴。</w:t>
      </w:r>
    </w:p>
    <w:p w14:paraId="1B8B2D49">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五、谈判响应文件的递交</w:t>
      </w:r>
    </w:p>
    <w:p w14:paraId="325DE9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响应文件的密封与标志</w:t>
      </w:r>
    </w:p>
    <w:p w14:paraId="6BE888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谈判响应文件所有正、副本均应密封在一个文件袋中，并在封套上加盖供应商公章，封套上应写明：“</w:t>
      </w:r>
      <w:r>
        <w:rPr>
          <w:rFonts w:hint="eastAsia" w:ascii="宋体" w:hAnsi="宋体" w:cs="宋体"/>
          <w:color w:val="auto"/>
          <w:sz w:val="24"/>
          <w:szCs w:val="24"/>
          <w:highlight w:val="none"/>
          <w:u w:val="single"/>
        </w:rPr>
        <w:t>（采购项目名称）</w:t>
      </w:r>
      <w:r>
        <w:rPr>
          <w:rFonts w:hint="eastAsia" w:ascii="宋体" w:hAnsi="宋体" w:cs="宋体"/>
          <w:color w:val="auto"/>
          <w:sz w:val="24"/>
          <w:szCs w:val="24"/>
          <w:highlight w:val="none"/>
        </w:rPr>
        <w:t>谈判响应文件、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分前不得开启”字样。</w:t>
      </w:r>
    </w:p>
    <w:p w14:paraId="040F169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供应商未按要求密封响应文件的，自行承担响应文件遗失、提前解封等责任。</w:t>
      </w:r>
    </w:p>
    <w:p w14:paraId="5C59F6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w:t>
      </w:r>
    </w:p>
    <w:p w14:paraId="32D02D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（1）供应商应在</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须知中规定的时间之前将</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响应文件递交到指定地点。采购单位在接到</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响应文件时将注明收到的日期和时间。</w:t>
      </w:r>
    </w:p>
    <w:p w14:paraId="771F47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（2）超过</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截止期送达的</w:t>
      </w:r>
      <w:r>
        <w:rPr>
          <w:rFonts w:hint="eastAsia" w:ascii="宋体" w:hAnsi="宋体" w:cs="宋体"/>
          <w:color w:val="auto"/>
          <w:kern w:val="0"/>
          <w:sz w:val="24"/>
          <w:szCs w:val="24"/>
          <w:highlight w:val="none"/>
          <w:lang w:eastAsia="zh-CN"/>
        </w:rPr>
        <w:t>谈判</w:t>
      </w:r>
      <w:r>
        <w:rPr>
          <w:rFonts w:hint="eastAsia" w:ascii="宋体" w:hAnsi="宋体" w:cs="宋体"/>
          <w:color w:val="auto"/>
          <w:kern w:val="0"/>
          <w:sz w:val="24"/>
          <w:szCs w:val="24"/>
          <w:highlight w:val="none"/>
        </w:rPr>
        <w:t>响应文件将被拒绝并原封退给供应商。</w:t>
      </w:r>
    </w:p>
    <w:p w14:paraId="75A09A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响应文件的修改与撤回</w:t>
      </w:r>
    </w:p>
    <w:p w14:paraId="4C059B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（1）供应商可以在递交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响应文件以后，在规定的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截止期之前，以书面形式向采购单位递交修改或撤回其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响应文件的通知。在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截止期以后，不得更改</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p>
    <w:p w14:paraId="27023B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（2）供应商的修改或撤回通知，应按本文件的要求编制、密封、标志和递交（密封袋上应标明“修改”或“撤回”字样）。</w:t>
      </w:r>
    </w:p>
    <w:p w14:paraId="4732EF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有效期内，供应商不得撤销</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响应文件，否则其</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若有</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不予退还。</w:t>
      </w:r>
    </w:p>
    <w:p w14:paraId="7D4483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若有</w:t>
      </w:r>
      <w:r>
        <w:rPr>
          <w:rFonts w:hint="eastAsia" w:ascii="宋体" w:hAnsi="宋体" w:cs="宋体"/>
          <w:color w:val="auto"/>
          <w:sz w:val="24"/>
          <w:szCs w:val="24"/>
          <w:highlight w:val="none"/>
          <w:lang w:eastAsia="zh-CN"/>
        </w:rPr>
        <w:t>）</w:t>
      </w:r>
    </w:p>
    <w:p w14:paraId="7E8F17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前，供应商应向</w:t>
      </w:r>
      <w:r>
        <w:rPr>
          <w:rFonts w:hint="eastAsia" w:ascii="宋体" w:hAnsi="宋体" w:cs="宋体"/>
          <w:color w:val="auto"/>
          <w:sz w:val="24"/>
          <w:szCs w:val="24"/>
          <w:highlight w:val="none"/>
          <w:lang w:eastAsia="zh-CN"/>
        </w:rPr>
        <w:t>本公司</w:t>
      </w:r>
      <w:r>
        <w:rPr>
          <w:rFonts w:hint="eastAsia" w:ascii="宋体" w:hAnsi="宋体" w:cs="宋体"/>
          <w:color w:val="auto"/>
          <w:sz w:val="24"/>
          <w:szCs w:val="24"/>
          <w:highlight w:val="none"/>
        </w:rPr>
        <w:t>提交供应商须知前附表规定金额的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保证金，作为</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的一部分。</w:t>
      </w:r>
    </w:p>
    <w:p w14:paraId="471B17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（2）在评审时，对于未按要求提交</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，将被视为非响应性</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而导致</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无效。</w:t>
      </w:r>
    </w:p>
    <w:p w14:paraId="4B2895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bCs/>
          <w:color w:val="auto"/>
          <w:kern w:val="0"/>
          <w:sz w:val="24"/>
          <w:szCs w:val="24"/>
          <w:highlight w:val="none"/>
          <w:lang w:val="zh-CN"/>
        </w:rPr>
        <w:t>成交单位的保证金在缴纳代理服务费后，退至其账户；未成交单位（含成交备选单位）的谈判保证金在确定成交单位后5个工作日内退其单位账户。</w:t>
      </w:r>
    </w:p>
    <w:p w14:paraId="6879829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5、</w:t>
      </w:r>
      <w:r>
        <w:rPr>
          <w:rFonts w:hint="eastAsia" w:ascii="宋体" w:hAnsi="宋体" w:cs="宋体"/>
          <w:b/>
          <w:color w:val="auto"/>
          <w:sz w:val="24"/>
          <w:szCs w:val="24"/>
          <w:highlight w:val="none"/>
        </w:rPr>
        <w:t>发生下列情况之一时，</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保证金</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若有</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将不予退还：</w:t>
      </w:r>
    </w:p>
    <w:p w14:paraId="7D80B1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w:t>
      </w:r>
      <w:r>
        <w:rPr>
          <w:rFonts w:hint="eastAsia" w:ascii="宋体" w:hAnsi="宋体" w:cs="宋体"/>
          <w:color w:val="auto"/>
          <w:kern w:val="10"/>
          <w:sz w:val="24"/>
          <w:szCs w:val="24"/>
          <w:highlight w:val="none"/>
        </w:rPr>
        <w:t>在提交</w:t>
      </w:r>
      <w:r>
        <w:rPr>
          <w:rFonts w:hint="eastAsia" w:ascii="宋体" w:hAnsi="宋体" w:cs="宋体"/>
          <w:color w:val="auto"/>
          <w:kern w:val="10"/>
          <w:sz w:val="24"/>
          <w:szCs w:val="24"/>
          <w:highlight w:val="none"/>
          <w:lang w:eastAsia="zh-CN"/>
        </w:rPr>
        <w:t>谈判</w:t>
      </w:r>
      <w:r>
        <w:rPr>
          <w:rFonts w:hint="eastAsia" w:ascii="宋体" w:hAnsi="宋体" w:cs="宋体"/>
          <w:color w:val="auto"/>
          <w:kern w:val="10"/>
          <w:sz w:val="24"/>
          <w:szCs w:val="24"/>
          <w:highlight w:val="none"/>
        </w:rPr>
        <w:t>担保后不参加</w:t>
      </w:r>
      <w:r>
        <w:rPr>
          <w:rFonts w:hint="eastAsia" w:ascii="宋体" w:hAnsi="宋体" w:cs="宋体"/>
          <w:color w:val="auto"/>
          <w:kern w:val="10"/>
          <w:sz w:val="24"/>
          <w:szCs w:val="24"/>
          <w:highlight w:val="none"/>
          <w:lang w:eastAsia="zh-CN"/>
        </w:rPr>
        <w:t>谈判</w:t>
      </w:r>
      <w:r>
        <w:rPr>
          <w:rFonts w:hint="eastAsia" w:ascii="宋体" w:hAnsi="宋体" w:cs="宋体"/>
          <w:color w:val="auto"/>
          <w:sz w:val="24"/>
          <w:szCs w:val="24"/>
          <w:highlight w:val="none"/>
        </w:rPr>
        <w:t>或在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有效期内撤销</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响应文件的；</w:t>
      </w:r>
    </w:p>
    <w:p w14:paraId="7F00AF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（2）成交人未能在规定期限内按照</w:t>
      </w:r>
      <w:r>
        <w:rPr>
          <w:rFonts w:hint="eastAsia" w:ascii="宋体" w:hAnsi="宋体" w:cs="宋体"/>
          <w:color w:val="auto"/>
          <w:sz w:val="24"/>
          <w:szCs w:val="24"/>
          <w:highlight w:val="none"/>
          <w:lang w:eastAsia="zh-CN"/>
        </w:rPr>
        <w:t>竞争谈判</w:t>
      </w:r>
      <w:r>
        <w:rPr>
          <w:rFonts w:hint="eastAsia" w:ascii="宋体" w:hAnsi="宋体" w:cs="宋体"/>
          <w:color w:val="auto"/>
          <w:sz w:val="24"/>
          <w:szCs w:val="24"/>
          <w:highlight w:val="none"/>
        </w:rPr>
        <w:t>文件内容提交履约担保或签订合同协议的；</w:t>
      </w:r>
    </w:p>
    <w:p w14:paraId="3E70A1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（3）成交人因自身原</w:t>
      </w:r>
      <w:r>
        <w:rPr>
          <w:rFonts w:hint="eastAsia" w:ascii="宋体" w:hAnsi="宋体" w:cs="宋体"/>
          <w:color w:val="auto"/>
          <w:sz w:val="24"/>
          <w:szCs w:val="24"/>
          <w:highlight w:val="none"/>
          <w:lang w:val="en-US" w:eastAsia="zh-CN"/>
        </w:rPr>
        <w:t>因</w:t>
      </w:r>
      <w:r>
        <w:rPr>
          <w:rFonts w:hint="eastAsia" w:ascii="宋体" w:hAnsi="宋体" w:cs="宋体"/>
          <w:color w:val="auto"/>
          <w:sz w:val="24"/>
          <w:szCs w:val="24"/>
          <w:highlight w:val="none"/>
        </w:rPr>
        <w:t>放弃成交资格的；</w:t>
      </w:r>
    </w:p>
    <w:p w14:paraId="6F0D42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bCs/>
          <w:color w:val="auto"/>
          <w:sz w:val="24"/>
          <w:szCs w:val="24"/>
          <w:highlight w:val="none"/>
        </w:rPr>
      </w:pPr>
      <w:r>
        <w:rPr>
          <w:rFonts w:hint="eastAsia" w:ascii="宋体" w:hAnsi="宋体" w:cs="宋体"/>
          <w:color w:val="auto"/>
          <w:sz w:val="24"/>
          <w:szCs w:val="24"/>
          <w:highlight w:val="none"/>
        </w:rPr>
        <w:t>（4）供应商在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活动中存在违规和违法行为的。</w:t>
      </w:r>
    </w:p>
    <w:p w14:paraId="09FD2439">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zh-CN" w:eastAsia="zh-CN" w:bidi="ar-SA"/>
        </w:rPr>
        <w:t>六</w:t>
      </w:r>
      <w:bookmarkStart w:id="30" w:name="_Toc15950"/>
      <w:bookmarkStart w:id="31" w:name="_Toc13583"/>
      <w:r>
        <w:rPr>
          <w:rFonts w:hint="eastAsia" w:ascii="宋体" w:hAnsi="宋体" w:eastAsia="宋体" w:cs="宋体"/>
          <w:b/>
          <w:bCs/>
          <w:color w:val="auto"/>
          <w:kern w:val="0"/>
          <w:sz w:val="30"/>
          <w:szCs w:val="30"/>
          <w:highlight w:val="none"/>
          <w:lang w:val="zh-CN" w:eastAsia="zh-CN" w:bidi="ar-SA"/>
        </w:rPr>
        <w:t>、谈判程序</w:t>
      </w:r>
      <w:bookmarkEnd w:id="30"/>
      <w:bookmarkEnd w:id="31"/>
    </w:p>
    <w:p w14:paraId="6FA8BDBE">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人员是按规定组成的三人或三人以上的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p>
    <w:p w14:paraId="48C276C7">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2、在掌握了供应商的基本情况后，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小组将按</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现场签到顺序，与供应商分别进行</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w:t>
      </w:r>
    </w:p>
    <w:p w14:paraId="6D3CFB8A">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是分别单独进行的。供应商不得与其他参与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的供应商相互串通；</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小组也不得将与某一供应商的</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情况向其他供应商及其关系人透露。</w:t>
      </w:r>
    </w:p>
    <w:p w14:paraId="6A6C64C4">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采用一轮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、两轮报价的方式进行。但最终采取多少轮</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，由</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小组视情况而定。</w:t>
      </w:r>
    </w:p>
    <w:p w14:paraId="538D4F40">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结束后，</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小组将要求所有符合条件的供应商在规定的时间内进行最后的报价。</w:t>
      </w:r>
    </w:p>
    <w:p w14:paraId="5B3EC95C">
      <w:pPr>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6、供应商必须在规定的时间内将自己在</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中作出的澄清、变动以及最终的报价，经法定代表人或被授权代表签字后，以书面的方式提交给</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小组。</w:t>
      </w:r>
    </w:p>
    <w:p w14:paraId="1EDCC117">
      <w:pPr>
        <w:pStyle w:val="3"/>
        <w:keepNext/>
        <w:keepLines/>
        <w:pageBreakBefore w:val="0"/>
        <w:widowControl w:val="0"/>
        <w:kinsoku/>
        <w:wordWrap/>
        <w:overflowPunct/>
        <w:topLinePunct w:val="0"/>
        <w:autoSpaceDE/>
        <w:autoSpaceDN/>
        <w:bidi w:val="0"/>
        <w:adjustRightInd w:val="0"/>
        <w:snapToGrid w:val="0"/>
        <w:spacing w:before="0" w:beforeLines="0" w:after="0" w:afterLines="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2" w:name="_Toc636"/>
      <w:bookmarkStart w:id="33" w:name="_Toc7501"/>
      <w:r>
        <w:rPr>
          <w:rFonts w:hint="eastAsia" w:ascii="宋体" w:hAnsi="宋体" w:eastAsia="宋体" w:cs="宋体"/>
          <w:b/>
          <w:bCs/>
          <w:color w:val="auto"/>
          <w:kern w:val="0"/>
          <w:sz w:val="30"/>
          <w:szCs w:val="30"/>
          <w:highlight w:val="none"/>
          <w:lang w:val="en-US" w:eastAsia="zh-CN" w:bidi="ar-SA"/>
        </w:rPr>
        <w:t>七</w:t>
      </w:r>
      <w:r>
        <w:rPr>
          <w:rFonts w:hint="eastAsia" w:ascii="宋体" w:hAnsi="宋体" w:eastAsia="宋体" w:cs="宋体"/>
          <w:b/>
          <w:bCs/>
          <w:color w:val="auto"/>
          <w:kern w:val="0"/>
          <w:sz w:val="30"/>
          <w:szCs w:val="30"/>
          <w:highlight w:val="none"/>
          <w:lang w:val="zh-CN" w:eastAsia="zh-CN" w:bidi="ar-SA"/>
        </w:rPr>
        <w:t>、评审及异常情况处理</w:t>
      </w:r>
      <w:bookmarkEnd w:id="32"/>
      <w:bookmarkEnd w:id="33"/>
    </w:p>
    <w:p w14:paraId="0D80FF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bookmarkStart w:id="34" w:name="_Toc3702"/>
      <w:bookmarkStart w:id="35" w:name="_Toc5003"/>
      <w:r>
        <w:rPr>
          <w:rFonts w:hint="eastAsia" w:ascii="宋体" w:hAnsi="宋体" w:eastAsia="宋体" w:cs="宋体"/>
          <w:color w:val="auto"/>
          <w:sz w:val="24"/>
          <w:szCs w:val="24"/>
          <w:highlight w:val="none"/>
        </w:rPr>
        <w:t>1、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066939F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2、谈判时出现以下情况之一的，将予以废标：</w:t>
      </w:r>
    </w:p>
    <w:p w14:paraId="52AC911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（1）符合专业条件的供应商或者对采购文件作实质性响应的供应商不足三家的；</w:t>
      </w:r>
    </w:p>
    <w:p w14:paraId="5A2B1EA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注：采用竞争谈判采购方式采购下在采购过程中符合要求的供应商只有2的，竞争谈判采购活动可以继续进行，符合要求的供应商只有1家的，经采购人同意可转为单源直接采购。</w:t>
      </w:r>
    </w:p>
    <w:p w14:paraId="79DC483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（2）供应商的报价均超过了采购预算，经过多轮谈判仍不能降到预算内、且采购人不能支付的；</w:t>
      </w:r>
    </w:p>
    <w:p w14:paraId="195291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（3）经过谈判，供应商所提供的货物服务仍无法满足谈判文件实质性要求、影响工作的；</w:t>
      </w:r>
    </w:p>
    <w:p w14:paraId="053A914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（4）出现影响采购公正的违法、违规行为的；</w:t>
      </w:r>
    </w:p>
    <w:p w14:paraId="3F72386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（5）因重大变故，采购任务取消的。</w:t>
      </w:r>
    </w:p>
    <w:p w14:paraId="1C05B61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3、重新组织谈判，采购单位将通过安徽霍山国有资产投资控股集团有限公司（</w:t>
      </w:r>
      <w:r>
        <w:rPr>
          <w:rFonts w:hint="eastAsia" w:ascii="宋体" w:hAnsi="宋体" w:cs="宋体"/>
          <w:color w:val="auto"/>
          <w:sz w:val="24"/>
          <w:szCs w:val="24"/>
          <w:highlight w:val="none"/>
          <w:lang w:eastAsia="zh-CN"/>
        </w:rPr>
        <w:t>http://www.ahdmig.cn</w:t>
      </w:r>
      <w:r>
        <w:rPr>
          <w:rFonts w:hint="eastAsia" w:ascii="宋体" w:hAnsi="宋体" w:eastAsia="宋体" w:cs="宋体"/>
          <w:color w:val="auto"/>
          <w:sz w:val="24"/>
          <w:szCs w:val="24"/>
          <w:highlight w:val="none"/>
        </w:rPr>
        <w:t>）“招标采购”栏目进行公告。</w:t>
      </w:r>
    </w:p>
    <w:p w14:paraId="243903E5">
      <w:pPr>
        <w:pStyle w:val="3"/>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r>
        <w:rPr>
          <w:rFonts w:hint="eastAsia" w:ascii="宋体" w:hAnsi="宋体" w:eastAsia="宋体" w:cs="宋体"/>
          <w:b/>
          <w:bCs/>
          <w:color w:val="auto"/>
          <w:kern w:val="0"/>
          <w:sz w:val="30"/>
          <w:szCs w:val="30"/>
          <w:highlight w:val="none"/>
          <w:lang w:val="en-US" w:eastAsia="zh-CN" w:bidi="ar-SA"/>
        </w:rPr>
        <w:t>八</w:t>
      </w:r>
      <w:r>
        <w:rPr>
          <w:rFonts w:hint="eastAsia" w:ascii="宋体" w:hAnsi="宋体" w:eastAsia="宋体" w:cs="宋体"/>
          <w:b/>
          <w:bCs/>
          <w:color w:val="auto"/>
          <w:kern w:val="0"/>
          <w:sz w:val="30"/>
          <w:szCs w:val="30"/>
          <w:highlight w:val="none"/>
          <w:lang w:val="zh-CN" w:eastAsia="zh-CN" w:bidi="ar-SA"/>
        </w:rPr>
        <w:t>、报价响应及答疑</w:t>
      </w:r>
      <w:bookmarkEnd w:id="34"/>
      <w:bookmarkEnd w:id="35"/>
    </w:p>
    <w:p w14:paraId="031D2C5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1、响应报价应含有所投</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lang w:eastAsia="zh-CN"/>
        </w:rPr>
        <w:t>各</w:t>
      </w:r>
      <w:r>
        <w:rPr>
          <w:rFonts w:hint="eastAsia" w:ascii="宋体" w:hAnsi="宋体" w:eastAsia="宋体" w:cs="宋体"/>
          <w:color w:val="auto"/>
          <w:sz w:val="24"/>
          <w:szCs w:val="24"/>
          <w:highlight w:val="none"/>
        </w:rPr>
        <w:t>环节所发生的一切费用。响应报价为供应商在响应文件中提出的各项支付金额的总和。</w:t>
      </w:r>
    </w:p>
    <w:p w14:paraId="2D2090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如有需要，</w:t>
      </w:r>
      <w:r>
        <w:rPr>
          <w:rFonts w:hint="eastAsia" w:ascii="宋体" w:hAnsi="宋体" w:eastAsia="宋体" w:cs="宋体"/>
          <w:color w:val="auto"/>
          <w:sz w:val="24"/>
          <w:szCs w:val="24"/>
          <w:highlight w:val="none"/>
        </w:rPr>
        <w:t>供应商应自行对</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现场和周围环境进行勘察，以获取编制响应文件和签署合同所需的资料。勘察现场所发生的费用由供应商</w:t>
      </w:r>
      <w:r>
        <w:rPr>
          <w:rFonts w:hint="eastAsia" w:ascii="宋体" w:hAnsi="宋体" w:eastAsia="宋体" w:cs="宋体"/>
          <w:color w:val="auto"/>
          <w:sz w:val="24"/>
          <w:szCs w:val="24"/>
          <w:highlight w:val="none"/>
          <w:lang w:eastAsia="zh-CN"/>
        </w:rPr>
        <w:t>自行</w:t>
      </w:r>
      <w:r>
        <w:rPr>
          <w:rFonts w:hint="eastAsia" w:ascii="宋体" w:hAnsi="宋体" w:eastAsia="宋体" w:cs="宋体"/>
          <w:color w:val="auto"/>
          <w:sz w:val="24"/>
          <w:szCs w:val="24"/>
          <w:highlight w:val="none"/>
        </w:rPr>
        <w:t>承担。采购人向供应商提供的有关</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现场的资料和数据，是采购人现有的能使供应商利用的资料。采购人对供应商由此而做出的推论、理解和结论概不负责。供应商因自身原因未到现场实地踏勘的，成交后签订合同时和履约过程中，不得以不完全了解现场情况为由，提出任何形式的增加合同外</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或索赔的要求。</w:t>
      </w:r>
    </w:p>
    <w:p w14:paraId="5361BE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、供应商如果对</w:t>
      </w:r>
      <w:r>
        <w:rPr>
          <w:rFonts w:hint="eastAsia" w:ascii="宋体" w:hAnsi="宋体" w:eastAsia="宋体" w:cs="宋体"/>
          <w:color w:val="auto"/>
          <w:sz w:val="24"/>
          <w:szCs w:val="24"/>
          <w:highlight w:val="none"/>
          <w:lang w:eastAsia="zh-CN"/>
        </w:rPr>
        <w:t>谈判</w:t>
      </w:r>
      <w:r>
        <w:rPr>
          <w:rFonts w:hint="eastAsia" w:ascii="宋体" w:hAnsi="宋体" w:eastAsia="宋体" w:cs="宋体"/>
          <w:color w:val="auto"/>
          <w:sz w:val="24"/>
          <w:szCs w:val="24"/>
          <w:highlight w:val="none"/>
        </w:rPr>
        <w:t>文件的其他任何内容有相关疑问，可以网上形式</w:t>
      </w:r>
      <w:r>
        <w:rPr>
          <w:rFonts w:hint="eastAsia" w:ascii="宋体" w:hAnsi="宋体" w:cs="宋体"/>
          <w:color w:val="auto"/>
          <w:sz w:val="24"/>
          <w:szCs w:val="24"/>
          <w:highlight w:val="none"/>
        </w:rPr>
        <w:t>编辑word或</w:t>
      </w:r>
      <w:r>
        <w:rPr>
          <w:rFonts w:hint="eastAsia" w:ascii="宋体" w:hAnsi="宋体" w:cs="宋体"/>
          <w:color w:val="auto"/>
          <w:sz w:val="24"/>
          <w:szCs w:val="24"/>
          <w:highlight w:val="none"/>
          <w:lang w:val="en-US" w:eastAsia="zh-CN"/>
        </w:rPr>
        <w:t>PDF</w:t>
      </w:r>
      <w:r>
        <w:rPr>
          <w:rFonts w:hint="eastAsia" w:ascii="宋体" w:hAnsi="宋体" w:cs="宋体"/>
          <w:color w:val="auto"/>
          <w:sz w:val="24"/>
          <w:szCs w:val="24"/>
          <w:highlight w:val="none"/>
        </w:rPr>
        <w:t>模式发送至</w:t>
      </w:r>
      <w:r>
        <w:rPr>
          <w:rFonts w:hint="eastAsia" w:ascii="宋体" w:hAnsi="宋体" w:cs="宋体"/>
          <w:color w:val="auto"/>
          <w:sz w:val="24"/>
          <w:szCs w:val="24"/>
          <w:highlight w:val="none"/>
          <w:lang w:val="en-US" w:eastAsia="zh-CN"/>
        </w:rPr>
        <w:t>2628963924</w:t>
      </w:r>
      <w:r>
        <w:rPr>
          <w:rFonts w:hint="eastAsia" w:ascii="宋体" w:hAnsi="宋体" w:cs="宋体"/>
          <w:color w:val="auto"/>
          <w:sz w:val="24"/>
          <w:szCs w:val="24"/>
          <w:highlight w:val="none"/>
        </w:rPr>
        <w:t>@qq.com邮箱</w:t>
      </w:r>
      <w:r>
        <w:rPr>
          <w:rFonts w:hint="eastAsia" w:ascii="宋体" w:hAnsi="宋体" w:eastAsia="宋体" w:cs="宋体"/>
          <w:color w:val="auto"/>
          <w:sz w:val="24"/>
          <w:szCs w:val="24"/>
          <w:highlight w:val="none"/>
        </w:rPr>
        <w:t>提出。</w:t>
      </w:r>
    </w:p>
    <w:p w14:paraId="290BFE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请供应商及时通过</w:t>
      </w:r>
      <w:r>
        <w:rPr>
          <w:rFonts w:hint="eastAsia" w:ascii="宋体" w:hAnsi="宋体" w:eastAsia="宋体" w:cs="宋体"/>
          <w:color w:val="auto"/>
          <w:sz w:val="24"/>
          <w:szCs w:val="24"/>
          <w:highlight w:val="none"/>
          <w:lang w:eastAsia="zh-CN"/>
        </w:rPr>
        <w:t>安徽霍山国有资产投资控股集团有限公司</w:t>
      </w:r>
      <w:r>
        <w:rPr>
          <w:rFonts w:hint="eastAsia" w:ascii="宋体" w:hAnsi="宋体" w:eastAsia="宋体" w:cs="宋体"/>
          <w:color w:val="auto"/>
          <w:sz w:val="24"/>
          <w:szCs w:val="24"/>
          <w:highlight w:val="none"/>
        </w:rPr>
        <w:t>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补充</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栏目</w:t>
      </w:r>
      <w:r>
        <w:rPr>
          <w:rFonts w:hint="eastAsia" w:ascii="宋体" w:hAnsi="宋体" w:eastAsia="宋体" w:cs="宋体"/>
          <w:color w:val="auto"/>
          <w:sz w:val="24"/>
          <w:szCs w:val="24"/>
          <w:highlight w:val="none"/>
          <w:lang w:val="en-US" w:eastAsia="zh-CN"/>
        </w:rPr>
        <w:t>及时</w:t>
      </w:r>
      <w:r>
        <w:rPr>
          <w:rFonts w:hint="eastAsia" w:ascii="宋体" w:hAnsi="宋体" w:eastAsia="宋体" w:cs="宋体"/>
          <w:color w:val="auto"/>
          <w:sz w:val="24"/>
          <w:szCs w:val="24"/>
          <w:highlight w:val="none"/>
        </w:rPr>
        <w:t>查看答疑文件。</w:t>
      </w:r>
    </w:p>
    <w:p w14:paraId="53874A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、供应商应确保其所提供的响应资料的真实性、有效性及合法性，否则，由此引起的任何责任由其自行承担。</w:t>
      </w:r>
    </w:p>
    <w:p w14:paraId="5AF902C5">
      <w:pPr>
        <w:pStyle w:val="3"/>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6" w:name="_Toc15038"/>
      <w:bookmarkStart w:id="37" w:name="_Toc6858"/>
      <w:r>
        <w:rPr>
          <w:rFonts w:hint="eastAsia" w:ascii="宋体" w:hAnsi="宋体" w:eastAsia="宋体" w:cs="宋体"/>
          <w:b/>
          <w:bCs/>
          <w:color w:val="auto"/>
          <w:kern w:val="0"/>
          <w:sz w:val="30"/>
          <w:szCs w:val="30"/>
          <w:highlight w:val="none"/>
          <w:lang w:val="en-US" w:eastAsia="zh-CN" w:bidi="ar-SA"/>
        </w:rPr>
        <w:t>九</w:t>
      </w:r>
      <w:r>
        <w:rPr>
          <w:rFonts w:hint="eastAsia" w:ascii="宋体" w:hAnsi="宋体" w:eastAsia="宋体" w:cs="宋体"/>
          <w:b/>
          <w:bCs/>
          <w:color w:val="auto"/>
          <w:kern w:val="0"/>
          <w:sz w:val="30"/>
          <w:szCs w:val="30"/>
          <w:highlight w:val="none"/>
          <w:lang w:val="zh-CN" w:eastAsia="zh-CN" w:bidi="ar-SA"/>
        </w:rPr>
        <w:t>、合同的签订</w:t>
      </w:r>
      <w:bookmarkEnd w:id="36"/>
      <w:bookmarkEnd w:id="37"/>
    </w:p>
    <w:p w14:paraId="24DB5E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1、质疑期内如未接到供应商的质疑和投诉，将向成交供应商发出成交通知书。</w:t>
      </w:r>
    </w:p>
    <w:p w14:paraId="71E3CF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2、成交供应商在</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通知书发出后30日内与采购单位签订合同。采购文件、</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供应商的</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文件及澄清文件等，均作为合同的附件。</w:t>
      </w:r>
    </w:p>
    <w:p w14:paraId="799D5D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3、采购单位在签订合同时，可以在不改变合同其他条款的前提下变更采购数量，但变更的金额不得超过成交总价的10%。</w:t>
      </w:r>
    </w:p>
    <w:p w14:paraId="2C2332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4、成交供应商因不可抗力或者自身原因不能在规定的时间内与采购人签订采购合同，采购人可以与排在成交供应商后第一位的候选供应商签订采购合同，以此类推或重新组织采购。</w:t>
      </w:r>
    </w:p>
    <w:p w14:paraId="1D8D7BEA">
      <w:pPr>
        <w:pStyle w:val="3"/>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zh-CN" w:eastAsia="zh-CN" w:bidi="ar-SA"/>
        </w:rPr>
      </w:pPr>
      <w:bookmarkStart w:id="38" w:name="_Toc30736"/>
      <w:bookmarkStart w:id="39" w:name="_Toc8827"/>
      <w:r>
        <w:rPr>
          <w:rFonts w:hint="eastAsia" w:ascii="宋体" w:hAnsi="宋体" w:eastAsia="宋体" w:cs="宋体"/>
          <w:b/>
          <w:bCs/>
          <w:color w:val="auto"/>
          <w:kern w:val="0"/>
          <w:sz w:val="30"/>
          <w:szCs w:val="30"/>
          <w:highlight w:val="none"/>
          <w:lang w:val="en-US" w:eastAsia="zh-CN" w:bidi="ar-SA"/>
        </w:rPr>
        <w:t>十</w:t>
      </w:r>
      <w:r>
        <w:rPr>
          <w:rFonts w:hint="eastAsia" w:ascii="宋体" w:hAnsi="宋体" w:eastAsia="宋体" w:cs="宋体"/>
          <w:b/>
          <w:bCs/>
          <w:color w:val="auto"/>
          <w:kern w:val="0"/>
          <w:sz w:val="30"/>
          <w:szCs w:val="30"/>
          <w:highlight w:val="none"/>
          <w:lang w:val="zh-CN" w:eastAsia="zh-CN" w:bidi="ar-SA"/>
        </w:rPr>
        <w:t>、澄清及变更</w:t>
      </w:r>
      <w:bookmarkEnd w:id="38"/>
      <w:bookmarkEnd w:id="39"/>
    </w:p>
    <w:p w14:paraId="5E76A4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谈判文件如有澄清及变更，将以网上公告形式发布，发布网址为安徽霍山国有资产投资控股集团有限公司（</w:t>
      </w:r>
      <w:r>
        <w:rPr>
          <w:rFonts w:hint="eastAsia" w:ascii="宋体" w:hAnsi="宋体" w:cs="宋体"/>
          <w:color w:val="auto"/>
          <w:sz w:val="24"/>
          <w:szCs w:val="24"/>
          <w:highlight w:val="none"/>
          <w:lang w:eastAsia="zh-CN"/>
        </w:rPr>
        <w:t>http://www.ahdmig.cn</w:t>
      </w:r>
      <w:r>
        <w:rPr>
          <w:rFonts w:hint="eastAsia" w:ascii="宋体" w:hAnsi="宋体" w:eastAsia="宋体" w:cs="宋体"/>
          <w:color w:val="auto"/>
          <w:sz w:val="24"/>
          <w:szCs w:val="24"/>
          <w:highlight w:val="none"/>
          <w:lang w:eastAsia="zh-CN"/>
        </w:rPr>
        <w:t>），请供应商及时关注。</w:t>
      </w:r>
    </w:p>
    <w:p w14:paraId="5032AC04">
      <w:pPr>
        <w:pStyle w:val="3"/>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default" w:ascii="宋体" w:hAnsi="宋体" w:eastAsia="宋体" w:cs="宋体"/>
          <w:b/>
          <w:bCs/>
          <w:color w:val="auto"/>
          <w:kern w:val="0"/>
          <w:sz w:val="30"/>
          <w:szCs w:val="30"/>
          <w:highlight w:val="none"/>
          <w:lang w:val="en-US" w:eastAsia="zh-CN" w:bidi="ar-SA"/>
        </w:rPr>
      </w:pPr>
      <w:bookmarkStart w:id="40" w:name="_Toc3341"/>
      <w:bookmarkStart w:id="41" w:name="_Toc30024"/>
      <w:r>
        <w:rPr>
          <w:rFonts w:hint="eastAsia" w:ascii="宋体" w:hAnsi="宋体" w:eastAsia="宋体" w:cs="宋体"/>
          <w:b/>
          <w:bCs/>
          <w:color w:val="auto"/>
          <w:kern w:val="0"/>
          <w:sz w:val="30"/>
          <w:szCs w:val="30"/>
          <w:highlight w:val="none"/>
          <w:lang w:val="en-US" w:eastAsia="zh-CN" w:bidi="ar-SA"/>
        </w:rPr>
        <w:t>十一</w:t>
      </w:r>
      <w:r>
        <w:rPr>
          <w:rFonts w:hint="eastAsia" w:ascii="宋体" w:hAnsi="宋体" w:eastAsia="宋体" w:cs="宋体"/>
          <w:b/>
          <w:bCs/>
          <w:color w:val="auto"/>
          <w:kern w:val="0"/>
          <w:sz w:val="30"/>
          <w:szCs w:val="30"/>
          <w:highlight w:val="none"/>
          <w:lang w:val="zh-CN" w:eastAsia="zh-CN" w:bidi="ar-SA"/>
        </w:rPr>
        <w:t>、</w:t>
      </w:r>
      <w:r>
        <w:rPr>
          <w:rFonts w:hint="eastAsia" w:ascii="宋体" w:hAnsi="宋体" w:eastAsia="宋体" w:cs="宋体"/>
          <w:b/>
          <w:bCs/>
          <w:color w:val="auto"/>
          <w:kern w:val="0"/>
          <w:sz w:val="30"/>
          <w:szCs w:val="30"/>
          <w:highlight w:val="none"/>
          <w:lang w:val="en-US" w:eastAsia="zh-CN" w:bidi="ar-SA"/>
        </w:rPr>
        <w:t>验收</w:t>
      </w:r>
      <w:bookmarkEnd w:id="40"/>
      <w:bookmarkEnd w:id="41"/>
      <w:r>
        <w:rPr>
          <w:rFonts w:hint="eastAsia" w:ascii="宋体" w:hAnsi="宋体" w:eastAsia="宋体" w:cs="宋体"/>
          <w:b/>
          <w:bCs/>
          <w:color w:val="auto"/>
          <w:kern w:val="0"/>
          <w:sz w:val="30"/>
          <w:szCs w:val="30"/>
          <w:highlight w:val="none"/>
          <w:lang w:val="en-US" w:eastAsia="zh-CN" w:bidi="ar-SA"/>
        </w:rPr>
        <w:t>与支付</w:t>
      </w:r>
    </w:p>
    <w:p w14:paraId="48FBAC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人验收时，应成立（由合同双方、资产管理人、技术人员、纪检等相关人员组成）验收小组，明确责任，严格依照采购文件、成交通知书、采购合同及相关验收规范进行核对、验收，形成验收结论，并出具书面验收报告。</w:t>
      </w:r>
    </w:p>
    <w:p w14:paraId="4EC65E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2、涉及安全、消防、环保等其他需要由质检或行业主管部门进行验收的项目，必须邀请相关部门或相关专家参与验收。</w:t>
      </w:r>
    </w:p>
    <w:p w14:paraId="4D5932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3、支付按照采购人与供应商签订合同执行。</w:t>
      </w:r>
    </w:p>
    <w:p w14:paraId="59122072">
      <w:pPr>
        <w:pStyle w:val="3"/>
        <w:keepNext/>
        <w:keepLines/>
        <w:pageBreakBefore w:val="0"/>
        <w:widowControl w:val="0"/>
        <w:kinsoku/>
        <w:wordWrap/>
        <w:overflowPunct/>
        <w:topLinePunct w:val="0"/>
        <w:autoSpaceDE/>
        <w:autoSpaceDN/>
        <w:bidi w:val="0"/>
        <w:adjustRightInd w:val="0"/>
        <w:snapToGrid w:val="0"/>
        <w:spacing w:before="0" w:after="0" w:line="480" w:lineRule="auto"/>
        <w:jc w:val="center"/>
        <w:textAlignment w:val="baseline"/>
        <w:outlineLvl w:val="1"/>
        <w:rPr>
          <w:rFonts w:hint="eastAsia" w:ascii="宋体" w:hAnsi="宋体" w:eastAsia="宋体" w:cs="宋体"/>
          <w:b/>
          <w:bCs/>
          <w:color w:val="auto"/>
          <w:kern w:val="0"/>
          <w:sz w:val="30"/>
          <w:szCs w:val="30"/>
          <w:highlight w:val="none"/>
          <w:lang w:val="en-US" w:eastAsia="zh-CN" w:bidi="ar-SA"/>
        </w:rPr>
      </w:pPr>
      <w:bookmarkStart w:id="42" w:name="_Toc31380"/>
      <w:bookmarkStart w:id="43" w:name="_Toc11013"/>
      <w:r>
        <w:rPr>
          <w:rFonts w:hint="eastAsia" w:ascii="宋体" w:hAnsi="宋体" w:eastAsia="宋体" w:cs="宋体"/>
          <w:b/>
          <w:bCs/>
          <w:color w:val="auto"/>
          <w:kern w:val="0"/>
          <w:sz w:val="30"/>
          <w:szCs w:val="30"/>
          <w:highlight w:val="none"/>
          <w:lang w:val="en-US" w:eastAsia="zh-CN" w:bidi="ar-SA"/>
        </w:rPr>
        <w:t>十二</w:t>
      </w:r>
      <w:r>
        <w:rPr>
          <w:rFonts w:hint="eastAsia" w:ascii="宋体" w:hAnsi="宋体" w:eastAsia="宋体" w:cs="宋体"/>
          <w:b/>
          <w:bCs/>
          <w:color w:val="auto"/>
          <w:kern w:val="0"/>
          <w:sz w:val="30"/>
          <w:szCs w:val="30"/>
          <w:highlight w:val="none"/>
          <w:lang w:val="zh-CN" w:eastAsia="zh-CN" w:bidi="ar-SA"/>
        </w:rPr>
        <w:t>、</w:t>
      </w:r>
      <w:r>
        <w:rPr>
          <w:rFonts w:hint="eastAsia" w:ascii="宋体" w:hAnsi="宋体" w:eastAsia="宋体" w:cs="宋体"/>
          <w:b/>
          <w:bCs/>
          <w:color w:val="auto"/>
          <w:kern w:val="0"/>
          <w:sz w:val="30"/>
          <w:szCs w:val="30"/>
          <w:highlight w:val="none"/>
          <w:lang w:val="en-US" w:eastAsia="zh-CN" w:bidi="ar-SA"/>
        </w:rPr>
        <w:t>质疑</w:t>
      </w:r>
      <w:bookmarkEnd w:id="42"/>
      <w:bookmarkEnd w:id="43"/>
      <w:r>
        <w:rPr>
          <w:rFonts w:hint="eastAsia" w:ascii="宋体" w:hAnsi="宋体" w:eastAsia="宋体" w:cs="宋体"/>
          <w:b/>
          <w:bCs/>
          <w:color w:val="auto"/>
          <w:kern w:val="0"/>
          <w:sz w:val="30"/>
          <w:szCs w:val="30"/>
          <w:highlight w:val="none"/>
          <w:lang w:val="en-US" w:eastAsia="zh-CN" w:bidi="ar-SA"/>
        </w:rPr>
        <w:t>和投诉</w:t>
      </w:r>
    </w:p>
    <w:p w14:paraId="24965D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44" w:name="_Toc489602801"/>
      <w:bookmarkStart w:id="45" w:name="_Toc489602770"/>
      <w:bookmarkStart w:id="46" w:name="_Toc489602835"/>
      <w:r>
        <w:rPr>
          <w:rFonts w:hint="eastAsia" w:ascii="宋体" w:hAnsi="宋体" w:eastAsia="宋体" w:cs="宋体"/>
          <w:color w:val="auto"/>
          <w:sz w:val="24"/>
          <w:szCs w:val="24"/>
          <w:highlight w:val="none"/>
          <w:lang w:eastAsia="zh-CN"/>
        </w:rPr>
        <w:t>1、质疑人认为成交结果使自己的权益受到损害的，可以向采购人及采购代理机构提出质疑。质疑实行实名制，应当有具体的事项及根据，不得进行虚假、恶意质疑，扰乱公共资源交易活动的正常工作秩序。</w:t>
      </w:r>
    </w:p>
    <w:p w14:paraId="7B5A94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2、质疑应在规定时限内提出：</w:t>
      </w:r>
    </w:p>
    <w:p w14:paraId="1D7168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对采购成交结果的质疑，应在成交结果公布之日起七个工作日内提出。</w:t>
      </w:r>
    </w:p>
    <w:p w14:paraId="6EFB7F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3、质疑应以书面形式实名提出，书面质疑材料应当包括以下内容：</w:t>
      </w:r>
    </w:p>
    <w:p w14:paraId="48A398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3.1质疑人的名称、地址、有效联系方式；</w:t>
      </w:r>
    </w:p>
    <w:p w14:paraId="1A81A3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3.2项目名称、项目编号、包别号（如有）；</w:t>
      </w:r>
    </w:p>
    <w:p w14:paraId="1F3528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3.3被质疑人名称；</w:t>
      </w:r>
    </w:p>
    <w:p w14:paraId="636CD1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3.4具体的质疑事项、基本事实及必要的证明材料；</w:t>
      </w:r>
    </w:p>
    <w:p w14:paraId="40DAE0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3.5明确的请求及主张；</w:t>
      </w:r>
    </w:p>
    <w:p w14:paraId="49A3A1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3.6提起质疑的日期。</w:t>
      </w:r>
    </w:p>
    <w:p w14:paraId="1E1C9A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质疑人为法人或者其他组织的，应当由法定代表人或其委托代理人（需有委托授权书）签字并加盖公章。</w:t>
      </w:r>
    </w:p>
    <w:p w14:paraId="40EAED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质疑人需要修改、补充质疑材料的，应当在质疑期内提交修改或补充材料。</w:t>
      </w:r>
    </w:p>
    <w:p w14:paraId="22DEE3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4、有下列情形之一的，不予受理：</w:t>
      </w:r>
    </w:p>
    <w:p w14:paraId="564DE0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4.1提起质疑的主体不是参与该采购项目活动的供应商；</w:t>
      </w:r>
    </w:p>
    <w:p w14:paraId="0916B5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4.2提起质疑的时间超过规定时限的；</w:t>
      </w:r>
    </w:p>
    <w:p w14:paraId="0F1D5E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4.3质疑材料不完整的；</w:t>
      </w:r>
    </w:p>
    <w:p w14:paraId="086364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4.4质疑事项含有主观猜测等内容且未提供有效线索、难以查证的；</w:t>
      </w:r>
    </w:p>
    <w:p w14:paraId="4EA975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4.5对其他谈判供应商的响应文件详细内容质疑，无法提供合法来源渠道的；</w:t>
      </w:r>
    </w:p>
    <w:p w14:paraId="1EE40F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4.6质疑事项已进入投诉处理、行政复议或行政诉讼程序的。</w:t>
      </w:r>
    </w:p>
    <w:p w14:paraId="0D1B94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5、经审查符合质疑条件的，自收到质疑之日起即为受理。采购人及采购代理机构将在质疑受理后7个工作日内作出答复或相关处理决定，并以书面形式通知质疑人，答复的内容不得涉及商业秘密。</w:t>
      </w:r>
    </w:p>
    <w:p w14:paraId="55EC8B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6、质疑人在答复期满前撤回质疑的，应由法定代表人或授权代表人签字确认，即终止质疑处理程序。质疑人不得以同一理由再次提出质疑。</w:t>
      </w:r>
    </w:p>
    <w:p w14:paraId="234E5E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质疑人对质疑答复不满意或采购人及采购代理机构未在规定时间内做出答复的，可以在规定期限内向</w:t>
      </w:r>
      <w:r>
        <w:rPr>
          <w:rFonts w:hint="eastAsia" w:ascii="宋体" w:hAnsi="宋体" w:eastAsia="宋体" w:cs="宋体"/>
          <w:color w:val="auto"/>
          <w:sz w:val="24"/>
          <w:szCs w:val="24"/>
          <w:highlight w:val="none"/>
          <w:lang w:val="en-US" w:eastAsia="zh-CN"/>
        </w:rPr>
        <w:t>监督部门</w:t>
      </w:r>
      <w:r>
        <w:rPr>
          <w:rFonts w:hint="eastAsia" w:ascii="宋体" w:hAnsi="宋体" w:eastAsia="宋体" w:cs="宋体"/>
          <w:color w:val="auto"/>
          <w:sz w:val="24"/>
          <w:szCs w:val="24"/>
          <w:highlight w:val="none"/>
          <w:lang w:eastAsia="zh-CN"/>
        </w:rPr>
        <w:t>提起投诉。</w:t>
      </w:r>
    </w:p>
    <w:p w14:paraId="624A8A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质疑人应在答复期满后十五个工作日内提起投诉。</w:t>
      </w:r>
    </w:p>
    <w:p w14:paraId="31C8A0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7、质疑人有下列情形之一的，属于虚假、恶意质疑，将报主管部门予以处理。</w:t>
      </w:r>
    </w:p>
    <w:p w14:paraId="505E99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7.1一年内三次以上质疑均查无实据的；</w:t>
      </w:r>
    </w:p>
    <w:p w14:paraId="53D46B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7.2捏造事实恶意诬陷他人、有意提供虚假质疑材料的或者通过非法手段获取材料的。</w:t>
      </w:r>
    </w:p>
    <w:bookmarkEnd w:id="44"/>
    <w:bookmarkEnd w:id="45"/>
    <w:bookmarkEnd w:id="46"/>
    <w:p w14:paraId="1CDA22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bookmarkStart w:id="47" w:name="_Toc27648"/>
      <w:bookmarkStart w:id="48" w:name="_Toc23250"/>
      <w:bookmarkStart w:id="49" w:name="_Toc21436"/>
    </w:p>
    <w:p w14:paraId="6658928C">
      <w:pPr>
        <w:rPr>
          <w:rFonts w:hint="eastAsia" w:ascii="宋体" w:hAnsi="宋体" w:eastAsia="宋体" w:cs="宋体"/>
          <w:b/>
          <w:bCs/>
          <w:caps/>
          <w:color w:val="auto"/>
          <w:kern w:val="2"/>
          <w:sz w:val="30"/>
          <w:szCs w:val="30"/>
          <w:highlight w:val="none"/>
          <w:lang w:val="zh-CN" w:eastAsia="zh-CN" w:bidi="ar-SA"/>
        </w:rPr>
      </w:pPr>
      <w:bookmarkStart w:id="50" w:name="_Toc29273"/>
      <w:r>
        <w:rPr>
          <w:rFonts w:hint="eastAsia" w:ascii="宋体" w:hAnsi="宋体" w:eastAsia="宋体" w:cs="宋体"/>
          <w:b/>
          <w:bCs/>
          <w:caps/>
          <w:color w:val="auto"/>
          <w:kern w:val="2"/>
          <w:sz w:val="30"/>
          <w:szCs w:val="30"/>
          <w:highlight w:val="none"/>
          <w:lang w:val="zh-CN" w:eastAsia="zh-CN" w:bidi="ar-SA"/>
        </w:rPr>
        <w:br w:type="page"/>
      </w:r>
    </w:p>
    <w:p w14:paraId="63D50CE8">
      <w:pPr>
        <w:pStyle w:val="2"/>
        <w:keepNext/>
        <w:keepLines/>
        <w:pageBreakBefore w:val="0"/>
        <w:widowControl w:val="0"/>
        <w:kinsoku/>
        <w:wordWrap/>
        <w:overflowPunct/>
        <w:topLinePunct w:val="0"/>
        <w:autoSpaceDE/>
        <w:autoSpaceDN/>
        <w:bidi w:val="0"/>
        <w:adjustRightInd w:val="0"/>
        <w:snapToGrid/>
        <w:spacing w:line="480" w:lineRule="auto"/>
        <w:ind w:left="0" w:leftChars="0" w:firstLine="0" w:firstLineChars="0"/>
        <w:jc w:val="center"/>
        <w:textAlignment w:val="baseline"/>
        <w:outlineLvl w:val="0"/>
        <w:rPr>
          <w:rFonts w:hint="eastAsia" w:ascii="宋体" w:hAnsi="宋体" w:eastAsia="宋体" w:cs="宋体"/>
          <w:b/>
          <w:bCs/>
          <w:color w:val="auto"/>
          <w:sz w:val="30"/>
          <w:szCs w:val="30"/>
          <w:highlight w:val="none"/>
        </w:rPr>
      </w:pPr>
      <w:bookmarkStart w:id="51" w:name="_Toc11803"/>
      <w:r>
        <w:rPr>
          <w:rFonts w:hint="eastAsia" w:ascii="宋体" w:hAnsi="宋体" w:eastAsia="宋体" w:cs="宋体"/>
          <w:b/>
          <w:bCs/>
          <w:caps/>
          <w:color w:val="auto"/>
          <w:kern w:val="2"/>
          <w:sz w:val="30"/>
          <w:szCs w:val="30"/>
          <w:highlight w:val="none"/>
          <w:lang w:val="zh-CN" w:eastAsia="zh-CN" w:bidi="ar-SA"/>
        </w:rPr>
        <w:t>第</w:t>
      </w:r>
      <w:r>
        <w:rPr>
          <w:rFonts w:hint="eastAsia" w:ascii="宋体" w:hAnsi="宋体" w:eastAsia="宋体" w:cs="宋体"/>
          <w:b/>
          <w:bCs/>
          <w:caps/>
          <w:color w:val="auto"/>
          <w:kern w:val="2"/>
          <w:sz w:val="30"/>
          <w:szCs w:val="30"/>
          <w:highlight w:val="none"/>
          <w:lang w:val="en-US" w:eastAsia="zh-CN" w:bidi="ar-SA"/>
        </w:rPr>
        <w:t>三</w:t>
      </w:r>
      <w:r>
        <w:rPr>
          <w:rFonts w:hint="eastAsia" w:ascii="宋体" w:hAnsi="宋体" w:eastAsia="宋体" w:cs="宋体"/>
          <w:b/>
          <w:bCs/>
          <w:caps/>
          <w:color w:val="auto"/>
          <w:kern w:val="2"/>
          <w:sz w:val="30"/>
          <w:szCs w:val="30"/>
          <w:highlight w:val="none"/>
          <w:lang w:val="zh-CN" w:eastAsia="zh-CN" w:bidi="ar-SA"/>
        </w:rPr>
        <w:t>章</w:t>
      </w:r>
      <w:r>
        <w:rPr>
          <w:rFonts w:hint="eastAsia" w:ascii="宋体" w:hAnsi="宋体" w:eastAsia="宋体" w:cs="宋体"/>
          <w:b/>
          <w:bCs/>
          <w:caps/>
          <w:color w:val="auto"/>
          <w:kern w:val="2"/>
          <w:sz w:val="30"/>
          <w:szCs w:val="30"/>
          <w:highlight w:val="none"/>
          <w:lang w:val="en-US" w:eastAsia="zh-CN" w:bidi="ar-SA"/>
        </w:rPr>
        <w:t xml:space="preserve">  </w:t>
      </w:r>
      <w:r>
        <w:rPr>
          <w:rFonts w:hint="eastAsia" w:ascii="宋体" w:hAnsi="宋体" w:eastAsia="宋体" w:cs="宋体"/>
          <w:b/>
          <w:bCs/>
          <w:color w:val="auto"/>
          <w:sz w:val="30"/>
          <w:szCs w:val="30"/>
          <w:highlight w:val="none"/>
        </w:rPr>
        <w:t>采购合同</w:t>
      </w:r>
      <w:bookmarkEnd w:id="47"/>
      <w:bookmarkEnd w:id="48"/>
      <w:bookmarkEnd w:id="50"/>
      <w:bookmarkEnd w:id="51"/>
    </w:p>
    <w:p w14:paraId="2ED6BB8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cs="宋体"/>
          <w:caps/>
          <w:color w:val="auto"/>
          <w:kern w:val="2"/>
          <w:sz w:val="24"/>
          <w:szCs w:val="24"/>
          <w:highlight w:val="none"/>
          <w:lang w:val="zh-CN"/>
        </w:rPr>
      </w:pPr>
      <w:r>
        <w:rPr>
          <w:rFonts w:hint="eastAsia" w:ascii="宋体" w:hAnsi="宋体" w:cs="宋体"/>
          <w:color w:val="auto"/>
          <w:sz w:val="24"/>
          <w:szCs w:val="24"/>
          <w:highlight w:val="none"/>
        </w:rPr>
        <w:t>（采购人与成交供应商自行协商拟定</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但不得违背采购文件实质性条款</w:t>
      </w:r>
      <w:r>
        <w:rPr>
          <w:rFonts w:hint="eastAsia" w:ascii="宋体" w:hAnsi="宋体" w:cs="宋体"/>
          <w:color w:val="auto"/>
          <w:sz w:val="24"/>
          <w:szCs w:val="24"/>
          <w:highlight w:val="none"/>
        </w:rPr>
        <w:t>）</w:t>
      </w:r>
      <w:bookmarkEnd w:id="49"/>
    </w:p>
    <w:p w14:paraId="33C85059">
      <w:pPr>
        <w:numPr>
          <w:ilvl w:val="0"/>
          <w:numId w:val="0"/>
        </w:numPr>
        <w:adjustRightInd w:val="0"/>
        <w:snapToGrid w:val="0"/>
        <w:spacing w:before="156" w:beforeLines="50" w:after="156" w:afterLines="50" w:line="440" w:lineRule="exact"/>
        <w:jc w:val="both"/>
        <w:outlineLvl w:val="9"/>
        <w:rPr>
          <w:rFonts w:hint="eastAsia" w:ascii="宋体" w:hAnsi="宋体" w:cs="宋体"/>
          <w:caps/>
          <w:color w:val="auto"/>
          <w:kern w:val="2"/>
          <w:sz w:val="30"/>
          <w:szCs w:val="30"/>
          <w:highlight w:val="none"/>
          <w:lang w:val="en-US" w:eastAsia="zh-CN"/>
        </w:rPr>
      </w:pPr>
    </w:p>
    <w:p w14:paraId="66406922">
      <w:pPr>
        <w:rPr>
          <w:rFonts w:hint="eastAsia" w:ascii="宋体" w:hAnsi="宋体" w:cs="宋体"/>
          <w:caps/>
          <w:color w:val="auto"/>
          <w:kern w:val="2"/>
          <w:sz w:val="30"/>
          <w:szCs w:val="30"/>
          <w:highlight w:val="none"/>
          <w:lang w:val="en-US" w:eastAsia="zh-CN"/>
        </w:rPr>
      </w:pPr>
    </w:p>
    <w:p w14:paraId="7D02474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jc w:val="center"/>
        <w:textAlignment w:val="auto"/>
        <w:outlineLvl w:val="0"/>
        <w:rPr>
          <w:rFonts w:hint="eastAsia" w:ascii="宋体" w:hAnsi="宋体" w:eastAsia="宋体" w:cs="宋体"/>
          <w:b/>
          <w:bCs/>
          <w:caps/>
          <w:color w:val="auto"/>
          <w:kern w:val="2"/>
          <w:sz w:val="32"/>
          <w:szCs w:val="32"/>
          <w:highlight w:val="none"/>
          <w:lang w:val="zh-CN" w:eastAsia="zh-CN" w:bidi="ar-SA"/>
        </w:rPr>
        <w:sectPr>
          <w:headerReference r:id="rId5" w:type="default"/>
          <w:footerReference r:id="rId7" w:type="default"/>
          <w:headerReference r:id="rId6" w:type="even"/>
          <w:footerReference r:id="rId8" w:type="even"/>
          <w:pgSz w:w="11906" w:h="16838"/>
          <w:pgMar w:top="1440" w:right="1531" w:bottom="1440" w:left="1531" w:header="851" w:footer="992" w:gutter="0"/>
          <w:pgNumType w:fmt="decimal" w:start="1"/>
          <w:cols w:space="425" w:num="1"/>
          <w:docGrid w:type="lines" w:linePitch="312" w:charSpace="0"/>
        </w:sectPr>
      </w:pPr>
      <w:bookmarkStart w:id="52" w:name="_Toc7975"/>
    </w:p>
    <w:p w14:paraId="758AD29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jc w:val="center"/>
        <w:textAlignment w:val="auto"/>
        <w:outlineLvl w:val="0"/>
        <w:rPr>
          <w:rFonts w:hint="eastAsia" w:eastAsia="宋体"/>
          <w:color w:val="auto"/>
          <w:sz w:val="32"/>
          <w:szCs w:val="32"/>
          <w:highlight w:val="none"/>
          <w:lang w:val="en-US" w:eastAsia="zh-CN"/>
        </w:rPr>
      </w:pPr>
      <w:bookmarkStart w:id="53" w:name="_Toc19685"/>
      <w:r>
        <w:rPr>
          <w:rFonts w:hint="eastAsia" w:ascii="宋体" w:hAnsi="宋体" w:eastAsia="宋体" w:cs="宋体"/>
          <w:b/>
          <w:bCs/>
          <w:caps/>
          <w:color w:val="auto"/>
          <w:kern w:val="2"/>
          <w:sz w:val="32"/>
          <w:szCs w:val="32"/>
          <w:highlight w:val="none"/>
          <w:lang w:val="zh-CN" w:eastAsia="zh-CN" w:bidi="ar-SA"/>
        </w:rPr>
        <w:t>第</w:t>
      </w:r>
      <w:r>
        <w:rPr>
          <w:rFonts w:hint="eastAsia" w:ascii="宋体" w:hAnsi="宋体" w:cs="宋体"/>
          <w:b/>
          <w:bCs/>
          <w:caps/>
          <w:color w:val="auto"/>
          <w:kern w:val="2"/>
          <w:sz w:val="32"/>
          <w:szCs w:val="32"/>
          <w:highlight w:val="none"/>
          <w:lang w:val="en-US" w:eastAsia="zh-CN" w:bidi="ar-SA"/>
        </w:rPr>
        <w:t>四</w:t>
      </w:r>
      <w:r>
        <w:rPr>
          <w:rFonts w:hint="eastAsia" w:ascii="宋体" w:hAnsi="宋体" w:eastAsia="宋体" w:cs="宋体"/>
          <w:b/>
          <w:bCs/>
          <w:caps/>
          <w:color w:val="auto"/>
          <w:kern w:val="2"/>
          <w:sz w:val="32"/>
          <w:szCs w:val="32"/>
          <w:highlight w:val="none"/>
          <w:lang w:val="zh-CN" w:eastAsia="zh-CN" w:bidi="ar-SA"/>
        </w:rPr>
        <w:t>章</w:t>
      </w:r>
      <w:r>
        <w:rPr>
          <w:rFonts w:hint="eastAsia" w:ascii="宋体" w:hAnsi="宋体" w:eastAsia="宋体" w:cs="宋体"/>
          <w:b/>
          <w:bCs/>
          <w:caps/>
          <w:color w:val="auto"/>
          <w:kern w:val="2"/>
          <w:sz w:val="32"/>
          <w:szCs w:val="32"/>
          <w:highlight w:val="none"/>
          <w:lang w:val="en-US" w:eastAsia="zh-CN" w:bidi="ar-SA"/>
        </w:rPr>
        <w:t xml:space="preserve">  </w:t>
      </w:r>
      <w:r>
        <w:rPr>
          <w:rFonts w:hint="eastAsia" w:ascii="宋体" w:hAnsi="宋体" w:eastAsia="宋体" w:cs="宋体"/>
          <w:b/>
          <w:bCs/>
          <w:color w:val="auto"/>
          <w:sz w:val="32"/>
          <w:szCs w:val="32"/>
          <w:highlight w:val="none"/>
        </w:rPr>
        <w:t>采购</w:t>
      </w:r>
      <w:r>
        <w:rPr>
          <w:rFonts w:hint="eastAsia" w:ascii="宋体" w:hAnsi="宋体" w:cs="宋体"/>
          <w:b/>
          <w:bCs/>
          <w:color w:val="auto"/>
          <w:sz w:val="32"/>
          <w:szCs w:val="32"/>
          <w:highlight w:val="none"/>
          <w:lang w:val="en-US" w:eastAsia="zh-CN"/>
        </w:rPr>
        <w:t>需求</w:t>
      </w:r>
      <w:bookmarkEnd w:id="52"/>
      <w:bookmarkEnd w:id="53"/>
    </w:p>
    <w:p w14:paraId="19A391D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outlineLvl w:val="1"/>
        <w:rPr>
          <w:rFonts w:hint="eastAsia" w:ascii="宋体" w:hAnsi="宋体" w:eastAsia="宋体"/>
          <w:b/>
          <w:bCs/>
          <w:kern w:val="2"/>
          <w:sz w:val="24"/>
          <w:szCs w:val="24"/>
          <w:highlight w:val="none"/>
          <w:lang w:eastAsia="zh-CN"/>
        </w:rPr>
      </w:pPr>
      <w:bookmarkStart w:id="54" w:name="_Toc12542"/>
      <w:r>
        <w:rPr>
          <w:rFonts w:hint="eastAsia" w:ascii="宋体" w:hAnsi="宋体" w:eastAsia="宋体"/>
          <w:b/>
          <w:bCs/>
          <w:kern w:val="2"/>
          <w:sz w:val="24"/>
          <w:szCs w:val="24"/>
          <w:highlight w:val="none"/>
          <w:lang w:eastAsia="zh-CN"/>
        </w:rPr>
        <w:t>一、项目概述</w:t>
      </w:r>
    </w:p>
    <w:p w14:paraId="50AF0D9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项目名称：</w:t>
      </w:r>
      <w:r>
        <w:rPr>
          <w:rFonts w:hint="eastAsia" w:ascii="宋体" w:hAnsi="宋体" w:eastAsia="宋体"/>
          <w:kern w:val="2"/>
          <w:sz w:val="24"/>
          <w:szCs w:val="24"/>
          <w:highlight w:val="none"/>
          <w:lang w:val="en-US" w:eastAsia="zh-CN"/>
        </w:rPr>
        <w:t>安徽霍山国有资产投资控股集团有限公司产业债发行主体资产评估服务采购项目</w:t>
      </w:r>
    </w:p>
    <w:p w14:paraId="2B90B7F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kern w:val="2"/>
          <w:sz w:val="24"/>
          <w:szCs w:val="24"/>
          <w:highlight w:val="none"/>
          <w:lang w:val="en-US" w:eastAsia="zh-CN"/>
        </w:rPr>
      </w:pPr>
      <w:r>
        <w:rPr>
          <w:rFonts w:hint="eastAsia" w:ascii="宋体" w:hAnsi="宋体" w:eastAsia="宋体"/>
          <w:kern w:val="2"/>
          <w:sz w:val="24"/>
          <w:szCs w:val="24"/>
          <w:highlight w:val="none"/>
          <w:lang w:eastAsia="zh-CN"/>
        </w:rPr>
        <w:t>项目地点：</w:t>
      </w:r>
      <w:r>
        <w:rPr>
          <w:rFonts w:hint="eastAsia" w:ascii="宋体" w:hAnsi="宋体" w:eastAsia="宋体"/>
          <w:kern w:val="2"/>
          <w:sz w:val="24"/>
          <w:szCs w:val="24"/>
          <w:highlight w:val="none"/>
          <w:lang w:val="en-US" w:eastAsia="zh-CN"/>
        </w:rPr>
        <w:t>安徽省霍山县</w:t>
      </w:r>
    </w:p>
    <w:p w14:paraId="4300E32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outlineLvl w:val="1"/>
        <w:rPr>
          <w:rFonts w:hint="eastAsia" w:ascii="宋体" w:hAnsi="宋体" w:eastAsia="宋体"/>
          <w:b/>
          <w:bCs/>
          <w:kern w:val="2"/>
          <w:sz w:val="24"/>
          <w:szCs w:val="24"/>
          <w:highlight w:val="none"/>
          <w:lang w:eastAsia="zh-CN"/>
        </w:rPr>
      </w:pPr>
      <w:r>
        <w:rPr>
          <w:rFonts w:hint="eastAsia" w:ascii="宋体" w:hAnsi="宋体" w:eastAsia="宋体"/>
          <w:b/>
          <w:bCs/>
          <w:kern w:val="2"/>
          <w:sz w:val="24"/>
          <w:szCs w:val="24"/>
          <w:highlight w:val="none"/>
          <w:lang w:eastAsia="zh-CN"/>
        </w:rPr>
        <w:t>二、技术、服务要求</w:t>
      </w:r>
    </w:p>
    <w:p w14:paraId="762914A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kern w:val="2"/>
          <w:sz w:val="24"/>
          <w:szCs w:val="24"/>
          <w:highlight w:val="none"/>
          <w:lang w:val="en-US" w:eastAsia="zh-CN"/>
        </w:rPr>
      </w:pPr>
      <w:r>
        <w:rPr>
          <w:rFonts w:hint="eastAsia" w:ascii="宋体" w:hAnsi="宋体" w:eastAsia="宋体"/>
          <w:kern w:val="2"/>
          <w:sz w:val="24"/>
          <w:szCs w:val="24"/>
          <w:highlight w:val="none"/>
          <w:lang w:eastAsia="zh-CN"/>
        </w:rPr>
        <w:t>1、选取1家具有资质的服务机构</w:t>
      </w:r>
      <w:r>
        <w:rPr>
          <w:rFonts w:hint="eastAsia" w:ascii="宋体" w:hAnsi="宋体" w:eastAsia="宋体" w:cs="宋体"/>
          <w:kern w:val="2"/>
          <w:sz w:val="24"/>
          <w:szCs w:val="24"/>
          <w:highlight w:val="none"/>
          <w:lang w:val="en-US" w:eastAsia="zh-CN"/>
        </w:rPr>
        <w:t>对对纳入本次发债所需要的投资性房地产、无形资产等资产价值进行评估服务。包括但不限于以下内容：</w:t>
      </w:r>
    </w:p>
    <w:p w14:paraId="2A84623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（1）房</w:t>
      </w:r>
      <w:r>
        <w:rPr>
          <w:rFonts w:hint="eastAsia" w:ascii="宋体" w:hAnsi="宋体" w:eastAsia="宋体"/>
          <w:kern w:val="2"/>
          <w:sz w:val="24"/>
          <w:szCs w:val="24"/>
          <w:highlight w:val="none"/>
          <w:lang w:val="en-US" w:eastAsia="zh-CN"/>
        </w:rPr>
        <w:t>地</w:t>
      </w:r>
      <w:r>
        <w:rPr>
          <w:rFonts w:hint="eastAsia" w:ascii="宋体" w:hAnsi="宋体" w:eastAsia="宋体"/>
          <w:kern w:val="2"/>
          <w:sz w:val="24"/>
          <w:szCs w:val="24"/>
          <w:highlight w:val="none"/>
          <w:lang w:eastAsia="zh-CN"/>
        </w:rPr>
        <w:t>产价值</w:t>
      </w:r>
    </w:p>
    <w:p w14:paraId="432090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2</w:t>
      </w: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林权、水域滩涂</w:t>
      </w:r>
    </w:p>
    <w:p w14:paraId="74B484C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3</w:t>
      </w: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经营权</w:t>
      </w:r>
    </w:p>
    <w:p w14:paraId="178BA5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4</w:t>
      </w:r>
      <w:r>
        <w:rPr>
          <w:rFonts w:hint="eastAsia" w:ascii="宋体" w:hAnsi="宋体" w:eastAsia="宋体"/>
          <w:kern w:val="2"/>
          <w:sz w:val="24"/>
          <w:szCs w:val="24"/>
          <w:highlight w:val="none"/>
          <w:lang w:eastAsia="zh-CN"/>
        </w:rPr>
        <w:t>）无形资产-如商标、荣誉称号、品牌、专利等价值</w:t>
      </w:r>
    </w:p>
    <w:p w14:paraId="1DE2D00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5</w:t>
      </w:r>
      <w:r>
        <w:rPr>
          <w:rFonts w:hint="eastAsia" w:ascii="宋体" w:hAnsi="宋体" w:eastAsia="宋体"/>
          <w:kern w:val="2"/>
          <w:sz w:val="24"/>
          <w:szCs w:val="24"/>
          <w:highlight w:val="none"/>
          <w:lang w:eastAsia="zh-CN"/>
        </w:rPr>
        <w:t>）物资价值</w:t>
      </w:r>
    </w:p>
    <w:p w14:paraId="1D149C6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6</w:t>
      </w:r>
      <w:r>
        <w:rPr>
          <w:rFonts w:hint="eastAsia" w:ascii="宋体" w:hAnsi="宋体" w:eastAsia="宋体"/>
          <w:kern w:val="2"/>
          <w:sz w:val="24"/>
          <w:szCs w:val="24"/>
          <w:highlight w:val="none"/>
          <w:lang w:eastAsia="zh-CN"/>
        </w:rPr>
        <w:t>）土地价值</w:t>
      </w:r>
    </w:p>
    <w:p w14:paraId="1B32D85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7</w:t>
      </w:r>
      <w:r>
        <w:rPr>
          <w:rFonts w:hint="eastAsia" w:ascii="宋体" w:hAnsi="宋体" w:eastAsia="宋体"/>
          <w:kern w:val="2"/>
          <w:sz w:val="24"/>
          <w:szCs w:val="24"/>
          <w:highlight w:val="none"/>
          <w:lang w:eastAsia="zh-CN"/>
        </w:rPr>
        <w:t>）其他潜在资产价值</w:t>
      </w:r>
    </w:p>
    <w:p w14:paraId="3A56F2B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w:t>
      </w:r>
      <w:r>
        <w:rPr>
          <w:rFonts w:hint="eastAsia" w:ascii="宋体" w:hAnsi="宋体" w:eastAsia="宋体"/>
          <w:kern w:val="2"/>
          <w:sz w:val="24"/>
          <w:szCs w:val="24"/>
          <w:highlight w:val="none"/>
          <w:lang w:val="en-US" w:eastAsia="zh-CN"/>
        </w:rPr>
        <w:t>8</w:t>
      </w:r>
      <w:r>
        <w:rPr>
          <w:rFonts w:hint="eastAsia" w:ascii="宋体" w:hAnsi="宋体" w:eastAsia="宋体"/>
          <w:kern w:val="2"/>
          <w:sz w:val="24"/>
          <w:szCs w:val="24"/>
          <w:highlight w:val="none"/>
          <w:lang w:eastAsia="zh-CN"/>
        </w:rPr>
        <w:t>）招标人其他需求</w:t>
      </w:r>
    </w:p>
    <w:p w14:paraId="3E9593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2、评估要求</w:t>
      </w:r>
    </w:p>
    <w:p w14:paraId="19D7DA1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（1）</w:t>
      </w:r>
      <w:r>
        <w:rPr>
          <w:rFonts w:hint="eastAsia" w:ascii="宋体" w:hAnsi="宋体" w:eastAsia="宋体"/>
          <w:kern w:val="2"/>
          <w:sz w:val="24"/>
          <w:szCs w:val="24"/>
          <w:highlight w:val="none"/>
          <w:lang w:val="en-US" w:eastAsia="zh-CN"/>
        </w:rPr>
        <w:t>遵守</w:t>
      </w:r>
      <w:r>
        <w:rPr>
          <w:rFonts w:hint="eastAsia" w:ascii="宋体" w:hAnsi="宋体" w:eastAsia="宋体"/>
          <w:kern w:val="2"/>
          <w:sz w:val="24"/>
          <w:szCs w:val="24"/>
          <w:highlight w:val="none"/>
          <w:lang w:eastAsia="zh-CN"/>
        </w:rPr>
        <w:t>国家有关法规和行业规定，能够独立客观的进行评估。</w:t>
      </w:r>
    </w:p>
    <w:p w14:paraId="760D612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（2）</w:t>
      </w:r>
      <w:r>
        <w:rPr>
          <w:rFonts w:hint="eastAsia" w:ascii="宋体" w:hAnsi="宋体" w:eastAsia="宋体"/>
          <w:kern w:val="2"/>
          <w:sz w:val="24"/>
          <w:szCs w:val="24"/>
          <w:highlight w:val="none"/>
          <w:lang w:val="en-US" w:eastAsia="zh-CN"/>
        </w:rPr>
        <w:t>成交供应商</w:t>
      </w:r>
      <w:r>
        <w:rPr>
          <w:rFonts w:hint="eastAsia" w:ascii="宋体" w:hAnsi="宋体" w:eastAsia="宋体"/>
          <w:kern w:val="2"/>
          <w:sz w:val="24"/>
          <w:szCs w:val="24"/>
          <w:highlight w:val="none"/>
          <w:lang w:eastAsia="zh-CN"/>
        </w:rPr>
        <w:t>在评估过程中需进行充分的市场调研并收集充足的材料，确保评估工作的客观性和准确性。</w:t>
      </w:r>
    </w:p>
    <w:p w14:paraId="1D6912D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（3）</w:t>
      </w:r>
      <w:r>
        <w:rPr>
          <w:rFonts w:hint="eastAsia" w:ascii="宋体" w:hAnsi="宋体" w:eastAsia="宋体"/>
          <w:kern w:val="2"/>
          <w:sz w:val="24"/>
          <w:szCs w:val="24"/>
          <w:highlight w:val="none"/>
          <w:lang w:val="en-US" w:eastAsia="zh-CN"/>
        </w:rPr>
        <w:t>成交供应商</w:t>
      </w:r>
      <w:r>
        <w:rPr>
          <w:rFonts w:hint="eastAsia" w:ascii="宋体" w:hAnsi="宋体" w:eastAsia="宋体"/>
          <w:kern w:val="2"/>
          <w:sz w:val="24"/>
          <w:szCs w:val="24"/>
          <w:highlight w:val="none"/>
          <w:lang w:eastAsia="zh-CN"/>
        </w:rPr>
        <w:t>完成评估工作后，需与</w:t>
      </w:r>
      <w:r>
        <w:rPr>
          <w:rFonts w:hint="eastAsia" w:ascii="宋体" w:hAnsi="宋体" w:eastAsia="宋体"/>
          <w:kern w:val="2"/>
          <w:sz w:val="24"/>
          <w:szCs w:val="24"/>
          <w:highlight w:val="none"/>
          <w:lang w:val="en-US" w:eastAsia="zh-CN"/>
        </w:rPr>
        <w:t>采购人</w:t>
      </w:r>
      <w:r>
        <w:rPr>
          <w:rFonts w:hint="eastAsia" w:ascii="宋体" w:hAnsi="宋体" w:eastAsia="宋体"/>
          <w:kern w:val="2"/>
          <w:sz w:val="24"/>
          <w:szCs w:val="24"/>
          <w:highlight w:val="none"/>
          <w:lang w:eastAsia="zh-CN"/>
        </w:rPr>
        <w:t>进行充分沟通并通过相关专家评审，通过后方可出具正式报告。</w:t>
      </w:r>
    </w:p>
    <w:p w14:paraId="5D2DA04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Times New Roman"/>
          <w:kern w:val="2"/>
          <w:sz w:val="24"/>
          <w:szCs w:val="24"/>
          <w:highlight w:val="none"/>
          <w:lang w:eastAsia="zh-CN"/>
        </w:rPr>
      </w:pPr>
      <w:r>
        <w:rPr>
          <w:rFonts w:hint="eastAsia" w:ascii="宋体" w:hAnsi="宋体" w:eastAsia="宋体" w:cs="Times New Roman"/>
          <w:kern w:val="2"/>
          <w:sz w:val="24"/>
          <w:szCs w:val="24"/>
          <w:highlight w:val="none"/>
          <w:lang w:eastAsia="zh-CN"/>
        </w:rPr>
        <w:t>（4）</w:t>
      </w:r>
      <w:r>
        <w:rPr>
          <w:rFonts w:hint="eastAsia" w:ascii="宋体" w:hAnsi="宋体" w:eastAsia="宋体"/>
          <w:kern w:val="2"/>
          <w:sz w:val="24"/>
          <w:szCs w:val="24"/>
          <w:highlight w:val="none"/>
          <w:lang w:val="en-US" w:eastAsia="zh-CN"/>
        </w:rPr>
        <w:t>成交供应商</w:t>
      </w:r>
      <w:r>
        <w:rPr>
          <w:rFonts w:hint="eastAsia" w:ascii="宋体" w:hAnsi="宋体" w:eastAsia="宋体" w:cs="Times New Roman"/>
          <w:kern w:val="2"/>
          <w:sz w:val="24"/>
          <w:szCs w:val="24"/>
          <w:highlight w:val="none"/>
          <w:lang w:eastAsia="zh-CN"/>
        </w:rPr>
        <w:t>必须保证在接到</w:t>
      </w:r>
      <w:r>
        <w:rPr>
          <w:rFonts w:hint="eastAsia" w:ascii="宋体" w:hAnsi="宋体" w:eastAsia="宋体"/>
          <w:kern w:val="2"/>
          <w:sz w:val="24"/>
          <w:szCs w:val="24"/>
          <w:highlight w:val="none"/>
          <w:lang w:val="en-US" w:eastAsia="zh-CN"/>
        </w:rPr>
        <w:t>采购人</w:t>
      </w:r>
      <w:r>
        <w:rPr>
          <w:rFonts w:hint="eastAsia" w:ascii="宋体" w:hAnsi="宋体" w:eastAsia="宋体" w:cs="Times New Roman"/>
          <w:kern w:val="2"/>
          <w:sz w:val="24"/>
          <w:szCs w:val="24"/>
          <w:highlight w:val="none"/>
          <w:lang w:eastAsia="zh-CN"/>
        </w:rPr>
        <w:t>相关部门的项目通知后2个工作日内进场，须于</w:t>
      </w:r>
      <w:r>
        <w:rPr>
          <w:rFonts w:hint="eastAsia" w:ascii="宋体" w:hAnsi="宋体" w:eastAsia="宋体" w:cs="Times New Roman"/>
          <w:kern w:val="2"/>
          <w:sz w:val="24"/>
          <w:szCs w:val="24"/>
          <w:highlight w:val="none"/>
          <w:lang w:val="en-US" w:eastAsia="zh-CN"/>
        </w:rPr>
        <w:t>接到</w:t>
      </w:r>
      <w:r>
        <w:rPr>
          <w:rFonts w:hint="eastAsia" w:ascii="宋体" w:hAnsi="宋体" w:eastAsia="宋体" w:cs="Times New Roman"/>
          <w:kern w:val="2"/>
          <w:sz w:val="24"/>
          <w:szCs w:val="24"/>
          <w:highlight w:val="none"/>
          <w:lang w:eastAsia="zh-CN"/>
        </w:rPr>
        <w:t>通知之日起30日内</w:t>
      </w:r>
      <w:r>
        <w:rPr>
          <w:rFonts w:hint="eastAsia" w:ascii="宋体" w:hAnsi="宋体" w:eastAsia="宋体" w:cs="Times New Roman"/>
          <w:kern w:val="2"/>
          <w:sz w:val="24"/>
          <w:szCs w:val="24"/>
          <w:highlight w:val="none"/>
          <w:lang w:val="en-US" w:eastAsia="zh-CN"/>
        </w:rPr>
        <w:t>完成</w:t>
      </w:r>
      <w:r>
        <w:rPr>
          <w:rFonts w:hint="eastAsia" w:ascii="宋体" w:hAnsi="宋体" w:eastAsia="宋体" w:cs="Times New Roman"/>
          <w:kern w:val="2"/>
          <w:sz w:val="24"/>
          <w:szCs w:val="24"/>
          <w:highlight w:val="none"/>
          <w:lang w:eastAsia="zh-CN"/>
        </w:rPr>
        <w:t>。</w:t>
      </w:r>
    </w:p>
    <w:p w14:paraId="04A151A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cs="Times New Roman"/>
          <w:kern w:val="2"/>
          <w:sz w:val="24"/>
          <w:szCs w:val="24"/>
          <w:highlight w:val="none"/>
          <w:lang w:eastAsia="zh-CN"/>
        </w:rPr>
        <w:t>（5）</w:t>
      </w:r>
      <w:r>
        <w:rPr>
          <w:rFonts w:hint="eastAsia" w:ascii="宋体" w:hAnsi="宋体" w:eastAsia="宋体"/>
          <w:kern w:val="2"/>
          <w:sz w:val="24"/>
          <w:szCs w:val="24"/>
          <w:highlight w:val="none"/>
          <w:lang w:val="en-US" w:eastAsia="zh-CN"/>
        </w:rPr>
        <w:t>成交供应商</w:t>
      </w:r>
      <w:r>
        <w:rPr>
          <w:rFonts w:hint="eastAsia" w:ascii="宋体" w:hAnsi="宋体" w:eastAsia="宋体" w:cs="Times New Roman"/>
          <w:kern w:val="2"/>
          <w:sz w:val="24"/>
          <w:szCs w:val="24"/>
          <w:highlight w:val="none"/>
          <w:lang w:eastAsia="zh-CN"/>
        </w:rPr>
        <w:t>须遵循</w:t>
      </w:r>
      <w:r>
        <w:rPr>
          <w:rFonts w:hint="eastAsia" w:ascii="宋体" w:hAnsi="宋体" w:eastAsia="宋体"/>
          <w:kern w:val="2"/>
          <w:sz w:val="24"/>
          <w:szCs w:val="24"/>
          <w:highlight w:val="none"/>
          <w:lang w:val="en-US" w:eastAsia="zh-CN"/>
        </w:rPr>
        <w:t>采购人的</w:t>
      </w:r>
      <w:r>
        <w:rPr>
          <w:rFonts w:hint="eastAsia" w:ascii="宋体" w:hAnsi="宋体" w:eastAsia="宋体" w:cs="Times New Roman"/>
          <w:kern w:val="2"/>
          <w:sz w:val="24"/>
          <w:szCs w:val="24"/>
          <w:highlight w:val="none"/>
          <w:lang w:eastAsia="zh-CN"/>
        </w:rPr>
        <w:t>要求，确保业务质量。</w:t>
      </w:r>
    </w:p>
    <w:p w14:paraId="2DAFE41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3、资产评估依据</w:t>
      </w:r>
    </w:p>
    <w:p w14:paraId="4ACF145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资产评估依据：国家的法律、法规、国有资产监督管理以及国有资产评估管理的规定，资产评估的行业规范以及</w:t>
      </w:r>
      <w:r>
        <w:rPr>
          <w:rFonts w:hint="eastAsia" w:ascii="宋体" w:hAnsi="宋体" w:eastAsia="宋体"/>
          <w:kern w:val="2"/>
          <w:sz w:val="24"/>
          <w:szCs w:val="24"/>
          <w:highlight w:val="none"/>
          <w:lang w:val="en-US" w:eastAsia="zh-CN"/>
        </w:rPr>
        <w:t>采购人</w:t>
      </w:r>
      <w:r>
        <w:rPr>
          <w:rFonts w:hint="eastAsia" w:ascii="宋体" w:hAnsi="宋体" w:eastAsia="宋体"/>
          <w:kern w:val="2"/>
          <w:sz w:val="24"/>
          <w:szCs w:val="24"/>
          <w:highlight w:val="none"/>
          <w:lang w:eastAsia="zh-CN"/>
        </w:rPr>
        <w:t>及其关联单位的与资产管理以及资产评估有关的制度、规章和规定等。</w:t>
      </w:r>
    </w:p>
    <w:p w14:paraId="7CDCF9E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4.验收标准</w:t>
      </w:r>
    </w:p>
    <w:p w14:paraId="0AA5A4D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（1）国资委有关资产评估管理及评估报告审核相关规范文件、中国资产评估协会制定的各项资产评估准则、《企业国有资产评估报告指南》等。</w:t>
      </w:r>
    </w:p>
    <w:p w14:paraId="1A2717F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kern w:val="2"/>
          <w:sz w:val="24"/>
          <w:szCs w:val="24"/>
          <w:highlight w:val="none"/>
          <w:lang w:eastAsia="zh-CN"/>
        </w:rPr>
      </w:pPr>
      <w:r>
        <w:rPr>
          <w:rFonts w:hint="eastAsia" w:ascii="宋体" w:hAnsi="宋体" w:eastAsia="宋体"/>
          <w:kern w:val="2"/>
          <w:sz w:val="24"/>
          <w:szCs w:val="24"/>
          <w:highlight w:val="none"/>
          <w:lang w:eastAsia="zh-CN"/>
        </w:rPr>
        <w:t>（2）提供符合采购人要求及相关部门核准或备案要求的资产评估报告，每个资产评估项目需出具正式评估报告书纸质版一式六份，电子版一份。</w:t>
      </w:r>
    </w:p>
    <w:p w14:paraId="6D8E1BB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outlineLvl w:val="1"/>
        <w:rPr>
          <w:rFonts w:hint="default" w:ascii="宋体" w:hAnsi="宋体" w:eastAsia="宋体"/>
          <w:b/>
          <w:bCs/>
          <w:kern w:val="2"/>
          <w:sz w:val="24"/>
          <w:szCs w:val="24"/>
          <w:highlight w:val="none"/>
          <w:lang w:val="en-US" w:eastAsia="zh-CN"/>
        </w:rPr>
      </w:pPr>
      <w:r>
        <w:rPr>
          <w:rFonts w:hint="eastAsia" w:ascii="宋体" w:hAnsi="宋体" w:eastAsia="宋体"/>
          <w:b/>
          <w:bCs/>
          <w:kern w:val="2"/>
          <w:sz w:val="24"/>
          <w:szCs w:val="24"/>
          <w:highlight w:val="none"/>
          <w:lang w:val="en-US" w:eastAsia="zh-CN"/>
        </w:rPr>
        <w:t>三、资产清单获取及现场勘察</w:t>
      </w:r>
    </w:p>
    <w:p w14:paraId="6672252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有意参与本项目的潜在供应商自行联系采购人现场获取资产清单，自行进行现场勘察。</w:t>
      </w:r>
    </w:p>
    <w:p w14:paraId="14932CD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both"/>
        <w:textAlignment w:val="auto"/>
        <w:outlineLvl w:val="1"/>
        <w:rPr>
          <w:rFonts w:hint="default" w:ascii="宋体" w:hAnsi="宋体" w:eastAsia="宋体"/>
          <w:b/>
          <w:bCs/>
          <w:kern w:val="2"/>
          <w:sz w:val="24"/>
          <w:szCs w:val="24"/>
          <w:highlight w:val="none"/>
          <w:lang w:val="en-US" w:eastAsia="zh-CN"/>
        </w:rPr>
      </w:pPr>
      <w:r>
        <w:rPr>
          <w:rFonts w:hint="eastAsia" w:ascii="宋体" w:hAnsi="宋体" w:eastAsia="宋体"/>
          <w:b/>
          <w:bCs/>
          <w:kern w:val="2"/>
          <w:sz w:val="24"/>
          <w:szCs w:val="24"/>
          <w:highlight w:val="none"/>
          <w:lang w:val="en-US" w:eastAsia="zh-CN"/>
        </w:rPr>
        <w:t>四、报价及费用要求</w:t>
      </w:r>
    </w:p>
    <w:p w14:paraId="0F9EB4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本项目采用总价报价方式进行招标，供应商的报价应包括人员、办公、差旅、保险、利润、税金等完成本项目服务</w:t>
      </w:r>
      <w:r>
        <w:rPr>
          <w:rFonts w:hint="eastAsia" w:ascii="宋体" w:hAnsi="宋体" w:eastAsia="宋体" w:cs="宋体"/>
          <w:color w:val="auto"/>
          <w:sz w:val="24"/>
          <w:szCs w:val="24"/>
          <w:highlight w:val="none"/>
          <w:lang w:val="en-US" w:eastAsia="zh-CN"/>
        </w:rPr>
        <w:t>内容</w:t>
      </w:r>
      <w:r>
        <w:rPr>
          <w:rFonts w:hint="default"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一切</w:t>
      </w:r>
      <w:r>
        <w:rPr>
          <w:rFonts w:hint="default"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lang w:val="en-US" w:eastAsia="zh-CN"/>
        </w:rPr>
        <w:t>成交供应商不得以任何理由要求增加费用</w:t>
      </w:r>
      <w:r>
        <w:rPr>
          <w:rFonts w:hint="default" w:ascii="宋体" w:hAnsi="宋体" w:eastAsia="宋体" w:cs="宋体"/>
          <w:color w:val="auto"/>
          <w:sz w:val="24"/>
          <w:szCs w:val="24"/>
          <w:highlight w:val="none"/>
          <w:lang w:val="en-US" w:eastAsia="zh-CN"/>
        </w:rPr>
        <w:t>。</w:t>
      </w:r>
    </w:p>
    <w:p w14:paraId="511CA3F4">
      <w:pPr>
        <w:pStyle w:val="36"/>
        <w:outlineLvl w:val="9"/>
        <w:rPr>
          <w:rFonts w:hint="eastAsia" w:ascii="宋体" w:hAnsi="宋体" w:cs="宋体"/>
          <w:b/>
          <w:bCs/>
          <w:caps/>
          <w:color w:val="auto"/>
          <w:kern w:val="2"/>
          <w:sz w:val="32"/>
          <w:szCs w:val="32"/>
          <w:highlight w:val="none"/>
          <w:lang w:val="zh-CN"/>
        </w:rPr>
      </w:pPr>
    </w:p>
    <w:p w14:paraId="52FAD0A6">
      <w:pPr>
        <w:pStyle w:val="36"/>
        <w:rPr>
          <w:rFonts w:hint="eastAsia" w:ascii="宋体" w:hAnsi="宋体" w:cs="宋体"/>
          <w:b/>
          <w:bCs/>
          <w:caps/>
          <w:color w:val="auto"/>
          <w:kern w:val="2"/>
          <w:sz w:val="32"/>
          <w:szCs w:val="32"/>
          <w:highlight w:val="none"/>
          <w:lang w:val="zh-CN"/>
        </w:rPr>
        <w:sectPr>
          <w:pgSz w:w="11906" w:h="16838"/>
          <w:pgMar w:top="1440" w:right="1531" w:bottom="1440" w:left="1531" w:header="851" w:footer="992" w:gutter="0"/>
          <w:pgNumType w:fmt="decimal"/>
          <w:cols w:space="425" w:num="1"/>
          <w:docGrid w:type="lines" w:linePitch="312" w:charSpace="0"/>
        </w:sectPr>
      </w:pPr>
    </w:p>
    <w:p w14:paraId="697B563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b/>
          <w:bCs/>
          <w:color w:val="auto"/>
          <w:kern w:val="10"/>
          <w:sz w:val="32"/>
          <w:szCs w:val="32"/>
          <w:highlight w:val="none"/>
        </w:rPr>
      </w:pPr>
      <w:bookmarkStart w:id="55" w:name="_Toc1315"/>
      <w:r>
        <w:rPr>
          <w:rFonts w:hint="eastAsia" w:ascii="宋体" w:hAnsi="宋体" w:cs="宋体"/>
          <w:b/>
          <w:bCs/>
          <w:caps/>
          <w:color w:val="auto"/>
          <w:kern w:val="2"/>
          <w:sz w:val="32"/>
          <w:szCs w:val="32"/>
          <w:highlight w:val="none"/>
          <w:lang w:val="zh-CN"/>
        </w:rPr>
        <w:t>第</w:t>
      </w:r>
      <w:r>
        <w:rPr>
          <w:rFonts w:hint="eastAsia" w:ascii="宋体" w:hAnsi="宋体" w:cs="宋体"/>
          <w:b/>
          <w:bCs/>
          <w:caps/>
          <w:color w:val="auto"/>
          <w:kern w:val="2"/>
          <w:sz w:val="32"/>
          <w:szCs w:val="32"/>
          <w:highlight w:val="none"/>
          <w:lang w:val="en-US" w:eastAsia="zh-CN"/>
        </w:rPr>
        <w:t>五</w:t>
      </w:r>
      <w:r>
        <w:rPr>
          <w:rFonts w:hint="eastAsia" w:ascii="宋体" w:hAnsi="宋体" w:cs="宋体"/>
          <w:b/>
          <w:bCs/>
          <w:caps/>
          <w:color w:val="auto"/>
          <w:kern w:val="2"/>
          <w:sz w:val="32"/>
          <w:szCs w:val="32"/>
          <w:highlight w:val="none"/>
          <w:lang w:val="zh-CN"/>
        </w:rPr>
        <w:t xml:space="preserve">章  </w:t>
      </w:r>
      <w:bookmarkEnd w:id="54"/>
      <w:r>
        <w:rPr>
          <w:rFonts w:hint="eastAsia" w:ascii="宋体" w:hAnsi="宋体" w:cs="宋体"/>
          <w:b/>
          <w:bCs/>
          <w:caps/>
          <w:color w:val="auto"/>
          <w:kern w:val="2"/>
          <w:sz w:val="32"/>
          <w:szCs w:val="32"/>
          <w:highlight w:val="none"/>
          <w:lang w:val="zh-CN"/>
        </w:rPr>
        <w:t>评审方法和标准</w:t>
      </w:r>
      <w:bookmarkEnd w:id="55"/>
    </w:p>
    <w:p w14:paraId="53777C6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评审方法和标准前附表一（</w:t>
      </w:r>
      <w:r>
        <w:rPr>
          <w:rFonts w:hint="eastAsia" w:ascii="宋体" w:hAnsi="宋体" w:eastAsia="宋体" w:cs="宋体"/>
          <w:b/>
          <w:bCs w:val="0"/>
          <w:color w:val="auto"/>
          <w:kern w:val="10"/>
          <w:sz w:val="30"/>
          <w:szCs w:val="30"/>
          <w:highlight w:val="none"/>
        </w:rPr>
        <w:t>资格审查指标表</w:t>
      </w:r>
      <w:r>
        <w:rPr>
          <w:rFonts w:hint="eastAsia" w:ascii="宋体" w:hAnsi="宋体" w:eastAsia="宋体" w:cs="宋体"/>
          <w:b/>
          <w:color w:val="auto"/>
          <w:kern w:val="10"/>
          <w:sz w:val="30"/>
          <w:szCs w:val="30"/>
          <w:highlight w:val="none"/>
        </w:rPr>
        <w:t>）</w:t>
      </w:r>
    </w:p>
    <w:tbl>
      <w:tblPr>
        <w:tblStyle w:val="38"/>
        <w:tblW w:w="9779" w:type="dxa"/>
        <w:jc w:val="center"/>
        <w:tblLayout w:type="fixed"/>
        <w:tblCellMar>
          <w:top w:w="0" w:type="dxa"/>
          <w:left w:w="108" w:type="dxa"/>
          <w:bottom w:w="0" w:type="dxa"/>
          <w:right w:w="108" w:type="dxa"/>
        </w:tblCellMar>
      </w:tblPr>
      <w:tblGrid>
        <w:gridCol w:w="818"/>
        <w:gridCol w:w="2246"/>
        <w:gridCol w:w="6715"/>
      </w:tblGrid>
      <w:tr w14:paraId="1C69A368">
        <w:tblPrEx>
          <w:tblCellMar>
            <w:top w:w="0" w:type="dxa"/>
            <w:left w:w="108" w:type="dxa"/>
            <w:bottom w:w="0" w:type="dxa"/>
            <w:right w:w="108" w:type="dxa"/>
          </w:tblCellMar>
        </w:tblPrEx>
        <w:trPr>
          <w:trHeight w:val="567"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13A94A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7D2F0B85">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4A9BF6C3">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投标资格评审标准</w:t>
            </w:r>
          </w:p>
        </w:tc>
      </w:tr>
      <w:tr w14:paraId="342EFDEC">
        <w:tblPrEx>
          <w:tblCellMar>
            <w:top w:w="0" w:type="dxa"/>
            <w:left w:w="108" w:type="dxa"/>
            <w:bottom w:w="0" w:type="dxa"/>
            <w:right w:w="108" w:type="dxa"/>
          </w:tblCellMar>
        </w:tblPrEx>
        <w:trPr>
          <w:trHeight w:val="1011"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1A2247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3CAC5A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谈判授权书</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1891143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若法人代表本人参加开标会则只需查验身份证；若代理人参加开标</w:t>
            </w:r>
            <w:r>
              <w:rPr>
                <w:rFonts w:hint="eastAsia" w:ascii="宋体" w:hAnsi="宋体" w:eastAsia="宋体" w:cs="宋体"/>
                <w:color w:val="auto"/>
                <w:spacing w:val="-2"/>
                <w:sz w:val="24"/>
                <w:szCs w:val="24"/>
                <w:highlight w:val="none"/>
              </w:rPr>
              <w:t>会则需查谈判授权书、代理人居民身份证</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eastAsia="zh-CN"/>
              </w:rPr>
              <w:t>谈判</w:t>
            </w:r>
            <w:r>
              <w:rPr>
                <w:rFonts w:hint="eastAsia" w:ascii="宋体" w:hAnsi="宋体" w:eastAsia="宋体" w:cs="宋体"/>
                <w:b/>
                <w:bCs/>
                <w:color w:val="auto"/>
                <w:spacing w:val="-2"/>
                <w:sz w:val="24"/>
                <w:szCs w:val="24"/>
                <w:highlight w:val="none"/>
              </w:rPr>
              <w:t>响应文件中需提供加盖投标人公章的复印件</w:t>
            </w:r>
            <w:r>
              <w:rPr>
                <w:rFonts w:hint="eastAsia" w:ascii="宋体" w:hAnsi="宋体" w:eastAsia="宋体" w:cs="宋体"/>
                <w:b/>
                <w:bCs/>
                <w:color w:val="auto"/>
                <w:spacing w:val="-4"/>
                <w:sz w:val="24"/>
                <w:szCs w:val="24"/>
                <w:highlight w:val="none"/>
              </w:rPr>
              <w:t>，评标现场查验原件）</w:t>
            </w:r>
            <w:r>
              <w:rPr>
                <w:rFonts w:hint="eastAsia" w:ascii="宋体" w:hAnsi="宋体" w:eastAsia="宋体" w:cs="宋体"/>
                <w:color w:val="auto"/>
                <w:spacing w:val="-4"/>
                <w:sz w:val="24"/>
                <w:szCs w:val="24"/>
                <w:highlight w:val="none"/>
              </w:rPr>
              <w:t>。</w:t>
            </w:r>
          </w:p>
        </w:tc>
      </w:tr>
      <w:tr w14:paraId="0BEC7FAC">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79E443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22AF2E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供应商须具有有效的营业执照</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2ED4A0E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auto"/>
                <w:spacing w:val="-4"/>
                <w:sz w:val="24"/>
                <w:szCs w:val="24"/>
                <w:highlight w:val="none"/>
              </w:rPr>
            </w:pPr>
            <w:r>
              <w:rPr>
                <w:rFonts w:hint="eastAsia" w:ascii="宋体" w:hAnsi="宋体" w:eastAsia="宋体" w:cs="宋体"/>
                <w:b w:val="0"/>
                <w:bCs/>
                <w:color w:val="auto"/>
                <w:sz w:val="24"/>
                <w:szCs w:val="24"/>
                <w:highlight w:val="none"/>
              </w:rPr>
              <w:t>营业执照正本或副本</w:t>
            </w:r>
            <w:r>
              <w:rPr>
                <w:rFonts w:hint="eastAsia" w:ascii="宋体" w:hAnsi="宋体" w:eastAsia="宋体" w:cs="宋体"/>
                <w:b/>
                <w:color w:val="auto"/>
                <w:sz w:val="24"/>
                <w:szCs w:val="24"/>
                <w:highlight w:val="none"/>
              </w:rPr>
              <w:t>（谈判响应文件中需提供加盖投标人公章的复印件）</w:t>
            </w:r>
            <w:r>
              <w:rPr>
                <w:rFonts w:hint="eastAsia" w:ascii="宋体" w:hAnsi="宋体" w:eastAsia="宋体" w:cs="宋体"/>
                <w:b w:val="0"/>
                <w:bCs/>
                <w:color w:val="auto"/>
                <w:sz w:val="24"/>
                <w:szCs w:val="24"/>
                <w:highlight w:val="none"/>
              </w:rPr>
              <w:t>。</w:t>
            </w:r>
          </w:p>
        </w:tc>
      </w:tr>
      <w:tr w14:paraId="370FE8BF">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5CA9C4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058766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供应商须已通过财政部门资产评估机构备案</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4F8B4C2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须提供以下任一证明材料：财政部“资产评估机构备案信息管理系统”查询截图、中国资产评估协会统一信息平台查询截图、或省级财政部门官网备案公告截图</w:t>
            </w:r>
            <w:r>
              <w:rPr>
                <w:rFonts w:hint="eastAsia" w:ascii="宋体" w:hAnsi="宋体" w:eastAsia="宋体" w:cs="宋体"/>
                <w:b/>
                <w:color w:val="auto"/>
                <w:sz w:val="24"/>
                <w:szCs w:val="24"/>
                <w:highlight w:val="none"/>
              </w:rPr>
              <w:t>（谈判响应文件中需提供加盖投标人公章的</w:t>
            </w:r>
            <w:r>
              <w:rPr>
                <w:rFonts w:hint="eastAsia" w:ascii="宋体" w:hAnsi="宋体" w:cs="宋体"/>
                <w:b/>
                <w:color w:val="auto"/>
                <w:sz w:val="24"/>
                <w:szCs w:val="24"/>
                <w:highlight w:val="none"/>
                <w:lang w:val="en-US" w:eastAsia="zh-CN"/>
              </w:rPr>
              <w:t>截图</w:t>
            </w:r>
            <w:r>
              <w:rPr>
                <w:rFonts w:hint="eastAsia" w:ascii="宋体" w:hAnsi="宋体" w:eastAsia="宋体" w:cs="宋体"/>
                <w:b/>
                <w:color w:val="auto"/>
                <w:sz w:val="24"/>
                <w:szCs w:val="24"/>
                <w:highlight w:val="none"/>
              </w:rPr>
              <w:t>复印件）</w:t>
            </w:r>
            <w:r>
              <w:rPr>
                <w:rFonts w:hint="eastAsia" w:ascii="宋体" w:hAnsi="宋体" w:eastAsia="宋体" w:cs="宋体"/>
                <w:b w:val="0"/>
                <w:bCs/>
                <w:color w:val="auto"/>
                <w:sz w:val="24"/>
                <w:szCs w:val="24"/>
                <w:highlight w:val="none"/>
              </w:rPr>
              <w:t>。</w:t>
            </w:r>
          </w:p>
        </w:tc>
      </w:tr>
      <w:tr w14:paraId="57CB84D3">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6A1D9E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37ED93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供应商须已通过从事证券服务业务的资产评估机构备案。</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63162FF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财政部或证监会官网公布的“从事证券服务业务资产评估机构备案名录”中所在页面截图</w:t>
            </w:r>
            <w:r>
              <w:rPr>
                <w:rFonts w:hint="eastAsia" w:ascii="宋体" w:hAnsi="宋体" w:eastAsia="宋体" w:cs="宋体"/>
                <w:b/>
                <w:color w:val="auto"/>
                <w:sz w:val="24"/>
                <w:szCs w:val="24"/>
                <w:highlight w:val="none"/>
              </w:rPr>
              <w:t>（谈判响应文件中需提供加盖投标人公章的</w:t>
            </w:r>
            <w:r>
              <w:rPr>
                <w:rFonts w:hint="eastAsia" w:ascii="宋体" w:hAnsi="宋体" w:cs="宋体"/>
                <w:b/>
                <w:color w:val="auto"/>
                <w:sz w:val="24"/>
                <w:szCs w:val="24"/>
                <w:highlight w:val="none"/>
                <w:lang w:val="en-US" w:eastAsia="zh-CN"/>
              </w:rPr>
              <w:t>截图</w:t>
            </w:r>
            <w:r>
              <w:rPr>
                <w:rFonts w:hint="eastAsia" w:ascii="宋体" w:hAnsi="宋体" w:eastAsia="宋体" w:cs="宋体"/>
                <w:b/>
                <w:color w:val="auto"/>
                <w:sz w:val="24"/>
                <w:szCs w:val="24"/>
                <w:highlight w:val="none"/>
              </w:rPr>
              <w:t>复印件）</w:t>
            </w:r>
            <w:r>
              <w:rPr>
                <w:rFonts w:hint="eastAsia" w:ascii="宋体" w:hAnsi="宋体" w:eastAsia="宋体" w:cs="宋体"/>
                <w:b w:val="0"/>
                <w:bCs/>
                <w:color w:val="auto"/>
                <w:sz w:val="24"/>
                <w:szCs w:val="24"/>
                <w:highlight w:val="none"/>
              </w:rPr>
              <w:t>。</w:t>
            </w:r>
          </w:p>
        </w:tc>
      </w:tr>
      <w:tr w14:paraId="6CBC26BF">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0A460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79A7E2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供应商须具有省级住房城乡建设（房地产）主管部门颁发的中华人民共和国房地产估价机构备案证书（备案资质等级为一级）</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44F9393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cs="宋体"/>
                <w:color w:val="auto"/>
                <w:sz w:val="24"/>
                <w:szCs w:val="24"/>
                <w:highlight w:val="none"/>
                <w:lang w:val="en-US" w:eastAsia="zh-CN"/>
              </w:rPr>
              <w:t>省级住房城乡建设（房地产）主管部门颁发的中华人民共和国房地产估价机构备案证书（备案资质等级为一级）</w:t>
            </w:r>
            <w:r>
              <w:rPr>
                <w:rFonts w:hint="eastAsia" w:ascii="宋体" w:hAnsi="宋体" w:eastAsia="宋体" w:cs="宋体"/>
                <w:b/>
                <w:color w:val="auto"/>
                <w:sz w:val="24"/>
                <w:szCs w:val="24"/>
                <w:highlight w:val="none"/>
              </w:rPr>
              <w:t>（谈判响应文件中需提供加盖投标人公章的</w:t>
            </w:r>
            <w:r>
              <w:rPr>
                <w:rFonts w:hint="eastAsia" w:ascii="宋体" w:hAnsi="宋体" w:cs="宋体"/>
                <w:b/>
                <w:color w:val="auto"/>
                <w:sz w:val="24"/>
                <w:szCs w:val="24"/>
                <w:highlight w:val="none"/>
                <w:lang w:val="en-US" w:eastAsia="zh-CN"/>
              </w:rPr>
              <w:t>证书</w:t>
            </w:r>
            <w:r>
              <w:rPr>
                <w:rFonts w:hint="eastAsia" w:ascii="宋体" w:hAnsi="宋体" w:eastAsia="宋体" w:cs="宋体"/>
                <w:b/>
                <w:color w:val="auto"/>
                <w:sz w:val="24"/>
                <w:szCs w:val="24"/>
                <w:highlight w:val="none"/>
              </w:rPr>
              <w:t>复印件）</w:t>
            </w:r>
            <w:r>
              <w:rPr>
                <w:rFonts w:hint="eastAsia" w:ascii="宋体" w:hAnsi="宋体" w:eastAsia="宋体" w:cs="宋体"/>
                <w:b w:val="0"/>
                <w:bCs/>
                <w:color w:val="auto"/>
                <w:sz w:val="24"/>
                <w:szCs w:val="24"/>
                <w:highlight w:val="none"/>
              </w:rPr>
              <w:t>。</w:t>
            </w:r>
          </w:p>
        </w:tc>
      </w:tr>
      <w:tr w14:paraId="7E8EB570">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52CE93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4E1CE5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供应商须具有省级及以上自然资源部门颁发的土地估价机构备案函</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1867A57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cs="宋体"/>
                <w:color w:val="auto"/>
                <w:sz w:val="24"/>
                <w:szCs w:val="24"/>
                <w:highlight w:val="none"/>
                <w:lang w:val="en-US" w:eastAsia="zh-CN"/>
              </w:rPr>
              <w:t>省级及以上自然资源部门颁发的土地估价机构备案函</w:t>
            </w:r>
            <w:r>
              <w:rPr>
                <w:rFonts w:hint="eastAsia" w:ascii="宋体" w:hAnsi="宋体" w:cs="宋体"/>
                <w:b/>
                <w:bCs/>
                <w:color w:val="auto"/>
                <w:sz w:val="24"/>
                <w:szCs w:val="24"/>
                <w:highlight w:val="none"/>
                <w:u w:val="none"/>
                <w:lang w:val="en-US" w:eastAsia="zh-CN"/>
              </w:rPr>
              <w:t>（</w:t>
            </w:r>
            <w:r>
              <w:rPr>
                <w:rFonts w:hint="eastAsia" w:ascii="宋体" w:hAnsi="宋体" w:eastAsia="宋体" w:cs="宋体"/>
                <w:b/>
                <w:color w:val="auto"/>
                <w:sz w:val="24"/>
                <w:szCs w:val="24"/>
                <w:highlight w:val="none"/>
              </w:rPr>
              <w:t>谈判响应文件中需提供加盖投标人公章的</w:t>
            </w:r>
            <w:r>
              <w:rPr>
                <w:rFonts w:hint="eastAsia" w:ascii="宋体" w:hAnsi="宋体" w:cs="宋体"/>
                <w:b/>
                <w:color w:val="auto"/>
                <w:sz w:val="24"/>
                <w:szCs w:val="24"/>
                <w:highlight w:val="none"/>
                <w:lang w:val="en-US" w:eastAsia="zh-CN"/>
              </w:rPr>
              <w:t>备案函</w:t>
            </w:r>
            <w:r>
              <w:rPr>
                <w:rFonts w:hint="eastAsia" w:ascii="宋体" w:hAnsi="宋体" w:eastAsia="宋体" w:cs="宋体"/>
                <w:b/>
                <w:color w:val="auto"/>
                <w:sz w:val="24"/>
                <w:szCs w:val="24"/>
                <w:highlight w:val="none"/>
              </w:rPr>
              <w:t>复印件）</w:t>
            </w:r>
            <w:r>
              <w:rPr>
                <w:rFonts w:hint="eastAsia" w:ascii="宋体" w:hAnsi="宋体" w:eastAsia="宋体" w:cs="宋体"/>
                <w:b w:val="0"/>
                <w:bCs/>
                <w:color w:val="auto"/>
                <w:sz w:val="24"/>
                <w:szCs w:val="24"/>
                <w:highlight w:val="none"/>
              </w:rPr>
              <w:t>。</w:t>
            </w:r>
          </w:p>
        </w:tc>
      </w:tr>
      <w:tr w14:paraId="46D44DC0">
        <w:tblPrEx>
          <w:tblCellMar>
            <w:top w:w="0" w:type="dxa"/>
            <w:left w:w="108" w:type="dxa"/>
            <w:bottom w:w="0" w:type="dxa"/>
            <w:right w:w="108" w:type="dxa"/>
          </w:tblCellMar>
        </w:tblPrEx>
        <w:trPr>
          <w:trHeight w:val="726" w:hRule="atLeast"/>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14:paraId="023A11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2246" w:type="dxa"/>
            <w:tcBorders>
              <w:top w:val="single" w:color="auto" w:sz="4" w:space="0"/>
              <w:left w:val="single" w:color="auto" w:sz="4" w:space="0"/>
              <w:bottom w:val="single" w:color="auto" w:sz="4" w:space="0"/>
              <w:right w:val="single" w:color="auto" w:sz="4" w:space="0"/>
            </w:tcBorders>
            <w:noWrap w:val="0"/>
            <w:vAlign w:val="center"/>
          </w:tcPr>
          <w:p w14:paraId="7B85F6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项目负责人具有有效的注册资产评估师证书</w:t>
            </w:r>
          </w:p>
        </w:tc>
        <w:tc>
          <w:tcPr>
            <w:tcW w:w="6715" w:type="dxa"/>
            <w:tcBorders>
              <w:top w:val="single" w:color="auto" w:sz="4" w:space="0"/>
              <w:left w:val="single" w:color="auto" w:sz="4" w:space="0"/>
              <w:bottom w:val="single" w:color="auto" w:sz="4" w:space="0"/>
              <w:right w:val="single" w:color="auto" w:sz="4" w:space="0"/>
            </w:tcBorders>
            <w:noWrap w:val="0"/>
            <w:vAlign w:val="center"/>
          </w:tcPr>
          <w:p w14:paraId="3198FC1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项目负责人具有有效的注册资产评估师证书</w:t>
            </w:r>
            <w:r>
              <w:rPr>
                <w:rFonts w:hint="eastAsia" w:ascii="宋体" w:hAnsi="宋体" w:cs="宋体"/>
                <w:b/>
                <w:bCs/>
                <w:color w:val="auto"/>
                <w:sz w:val="24"/>
                <w:szCs w:val="24"/>
                <w:highlight w:val="none"/>
                <w:u w:val="none"/>
                <w:lang w:val="en-US" w:eastAsia="zh-CN"/>
              </w:rPr>
              <w:t>（</w:t>
            </w:r>
            <w:r>
              <w:rPr>
                <w:rFonts w:hint="eastAsia" w:ascii="宋体" w:hAnsi="宋体" w:eastAsia="宋体" w:cs="宋体"/>
                <w:b/>
                <w:color w:val="auto"/>
                <w:sz w:val="24"/>
                <w:szCs w:val="24"/>
                <w:highlight w:val="none"/>
              </w:rPr>
              <w:t>谈判响应文件中需提供加盖投标人公章的</w:t>
            </w:r>
            <w:r>
              <w:rPr>
                <w:rFonts w:hint="eastAsia" w:ascii="宋体" w:hAnsi="宋体" w:cs="宋体"/>
                <w:b/>
                <w:color w:val="auto"/>
                <w:sz w:val="24"/>
                <w:szCs w:val="24"/>
                <w:highlight w:val="none"/>
                <w:lang w:val="en-US" w:eastAsia="zh-CN"/>
              </w:rPr>
              <w:t>证书</w:t>
            </w:r>
            <w:r>
              <w:rPr>
                <w:rFonts w:hint="eastAsia" w:ascii="宋体" w:hAnsi="宋体" w:eastAsia="宋体" w:cs="宋体"/>
                <w:b/>
                <w:color w:val="auto"/>
                <w:sz w:val="24"/>
                <w:szCs w:val="24"/>
                <w:highlight w:val="none"/>
              </w:rPr>
              <w:t>复印件）</w:t>
            </w:r>
            <w:r>
              <w:rPr>
                <w:rFonts w:hint="eastAsia" w:ascii="宋体" w:hAnsi="宋体" w:eastAsia="宋体" w:cs="宋体"/>
                <w:b w:val="0"/>
                <w:bCs/>
                <w:color w:val="auto"/>
                <w:sz w:val="24"/>
                <w:szCs w:val="24"/>
                <w:highlight w:val="none"/>
              </w:rPr>
              <w:t>。</w:t>
            </w:r>
          </w:p>
        </w:tc>
      </w:tr>
      <w:tr w14:paraId="4C692ECA">
        <w:tblPrEx>
          <w:tblCellMar>
            <w:top w:w="0" w:type="dxa"/>
            <w:left w:w="108" w:type="dxa"/>
            <w:bottom w:w="0" w:type="dxa"/>
            <w:right w:w="108" w:type="dxa"/>
          </w:tblCellMar>
        </w:tblPrEx>
        <w:trPr>
          <w:trHeight w:val="680" w:hRule="atLeast"/>
          <w:jc w:val="center"/>
        </w:trPr>
        <w:tc>
          <w:tcPr>
            <w:tcW w:w="9779" w:type="dxa"/>
            <w:gridSpan w:val="3"/>
            <w:tcBorders>
              <w:top w:val="single" w:color="auto" w:sz="4" w:space="0"/>
              <w:left w:val="single" w:color="auto" w:sz="4" w:space="0"/>
              <w:bottom w:val="single" w:color="auto" w:sz="4" w:space="0"/>
              <w:right w:val="single" w:color="auto" w:sz="4" w:space="0"/>
            </w:tcBorders>
            <w:noWrap w:val="0"/>
            <w:vAlign w:val="center"/>
          </w:tcPr>
          <w:p w14:paraId="7EDFBE6B">
            <w:pPr>
              <w:keepNext w:val="0"/>
              <w:keepLines w:val="0"/>
              <w:pageBreakBefore w:val="0"/>
              <w:widowControl w:val="0"/>
              <w:kinsoku/>
              <w:wordWrap/>
              <w:overflowPunct/>
              <w:topLinePunct w:val="0"/>
              <w:autoSpaceDE/>
              <w:autoSpaceDN/>
              <w:bidi w:val="0"/>
              <w:adjustRightInd w:val="0"/>
              <w:snapToGrid w:val="0"/>
              <w:spacing w:line="240" w:lineRule="auto"/>
              <w:ind w:firstLine="0"/>
              <w:jc w:val="left"/>
              <w:textAlignment w:val="auto"/>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未通过或缺少任何一项需提交的原件材料的，资格审查不合格，按无效投标处理。</w:t>
            </w:r>
          </w:p>
        </w:tc>
      </w:tr>
    </w:tbl>
    <w:p w14:paraId="2C6403B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评审方法和标准前附表二（初步评审指标表）</w:t>
      </w:r>
    </w:p>
    <w:tbl>
      <w:tblPr>
        <w:tblStyle w:val="38"/>
        <w:tblW w:w="0" w:type="auto"/>
        <w:jc w:val="center"/>
        <w:tblLayout w:type="fixed"/>
        <w:tblCellMar>
          <w:top w:w="0" w:type="dxa"/>
          <w:left w:w="108" w:type="dxa"/>
          <w:bottom w:w="0" w:type="dxa"/>
          <w:right w:w="108" w:type="dxa"/>
        </w:tblCellMar>
      </w:tblPr>
      <w:tblGrid>
        <w:gridCol w:w="821"/>
        <w:gridCol w:w="2227"/>
        <w:gridCol w:w="6731"/>
      </w:tblGrid>
      <w:tr w14:paraId="57DD2D9F">
        <w:tblPrEx>
          <w:tblCellMar>
            <w:top w:w="0" w:type="dxa"/>
            <w:left w:w="108" w:type="dxa"/>
            <w:bottom w:w="0" w:type="dxa"/>
            <w:right w:w="108" w:type="dxa"/>
          </w:tblCellMar>
        </w:tblPrEx>
        <w:trPr>
          <w:trHeight w:val="445"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0A365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1B4EF3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05B21F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初步评审标准</w:t>
            </w:r>
          </w:p>
        </w:tc>
      </w:tr>
      <w:tr w14:paraId="78DA78C7">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1CD64F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22256A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投标单位名称的</w:t>
            </w:r>
          </w:p>
          <w:p w14:paraId="1C75A7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一致性要求</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795C969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投标单位名称与资格审查提供的投标单位营业执照、税务登记证应一致。</w:t>
            </w:r>
          </w:p>
        </w:tc>
      </w:tr>
      <w:tr w14:paraId="57BBB1C7">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2CE65F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559638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谈判响应文件签字盖章要求</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23DB5EF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谈判响应文件应按谈判文件规定加盖投标单位印章</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投标单位负责人或其授权的代理人签字或盖章。</w:t>
            </w:r>
          </w:p>
        </w:tc>
      </w:tr>
      <w:tr w14:paraId="6143B9EF">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2885EC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2DFC56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谈判响应文件格式</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2BDC404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须按谈判文件规定的格式填写，内容完整，不得影响谈判响应文件评审，且不得出现关键字迹模糊、无法辨认等情况。</w:t>
            </w:r>
          </w:p>
        </w:tc>
      </w:tr>
      <w:tr w14:paraId="3B834C33">
        <w:tblPrEx>
          <w:tblCellMar>
            <w:top w:w="0" w:type="dxa"/>
            <w:left w:w="108" w:type="dxa"/>
            <w:bottom w:w="0" w:type="dxa"/>
            <w:right w:w="108" w:type="dxa"/>
          </w:tblCellMar>
        </w:tblPrEx>
        <w:trPr>
          <w:trHeight w:val="680" w:hRule="atLeast"/>
          <w:jc w:val="center"/>
        </w:trPr>
        <w:tc>
          <w:tcPr>
            <w:tcW w:w="821" w:type="dxa"/>
            <w:tcBorders>
              <w:top w:val="single" w:color="auto" w:sz="4" w:space="0"/>
              <w:left w:val="single" w:color="auto" w:sz="4" w:space="0"/>
              <w:bottom w:val="single" w:color="auto" w:sz="4" w:space="0"/>
              <w:right w:val="single" w:color="auto" w:sz="4" w:space="0"/>
            </w:tcBorders>
            <w:noWrap w:val="0"/>
            <w:vAlign w:val="center"/>
          </w:tcPr>
          <w:p w14:paraId="5FD00F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227" w:type="dxa"/>
            <w:tcBorders>
              <w:top w:val="single" w:color="auto" w:sz="4" w:space="0"/>
              <w:left w:val="single" w:color="auto" w:sz="4" w:space="0"/>
              <w:bottom w:val="single" w:color="auto" w:sz="4" w:space="0"/>
              <w:right w:val="single" w:color="auto" w:sz="4" w:space="0"/>
            </w:tcBorders>
            <w:noWrap w:val="0"/>
            <w:vAlign w:val="center"/>
          </w:tcPr>
          <w:p w14:paraId="338170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谈判响应文件的唯一性和确定性</w:t>
            </w:r>
          </w:p>
        </w:tc>
        <w:tc>
          <w:tcPr>
            <w:tcW w:w="6731" w:type="dxa"/>
            <w:tcBorders>
              <w:top w:val="single" w:color="auto" w:sz="4" w:space="0"/>
              <w:left w:val="single" w:color="auto" w:sz="4" w:space="0"/>
              <w:bottom w:val="single" w:color="auto" w:sz="4" w:space="0"/>
              <w:right w:val="single" w:color="auto" w:sz="4" w:space="0"/>
            </w:tcBorders>
            <w:noWrap w:val="0"/>
            <w:vAlign w:val="center"/>
          </w:tcPr>
          <w:p w14:paraId="6ABB6ED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投标单位不得递交两份或多份内容不同的响应文件，且未声明哪一个有效，按谈判文件规定提交投标替代方案的除外</w:t>
            </w:r>
            <w:r>
              <w:rPr>
                <w:rFonts w:hint="eastAsia" w:ascii="宋体" w:hAnsi="宋体" w:eastAsia="宋体" w:cs="宋体"/>
                <w:color w:val="auto"/>
                <w:sz w:val="24"/>
                <w:szCs w:val="24"/>
                <w:highlight w:val="none"/>
              </w:rPr>
              <w:t>。</w:t>
            </w:r>
          </w:p>
        </w:tc>
      </w:tr>
      <w:tr w14:paraId="2A9CCF38">
        <w:tblPrEx>
          <w:tblCellMar>
            <w:top w:w="0" w:type="dxa"/>
            <w:left w:w="108" w:type="dxa"/>
            <w:bottom w:w="0" w:type="dxa"/>
            <w:right w:w="108" w:type="dxa"/>
          </w:tblCellMar>
        </w:tblPrEx>
        <w:trPr>
          <w:trHeight w:val="487" w:hRule="atLeast"/>
          <w:jc w:val="center"/>
        </w:trPr>
        <w:tc>
          <w:tcPr>
            <w:tcW w:w="9779" w:type="dxa"/>
            <w:gridSpan w:val="3"/>
            <w:tcBorders>
              <w:top w:val="single" w:color="auto" w:sz="4" w:space="0"/>
              <w:left w:val="single" w:color="auto" w:sz="4" w:space="0"/>
              <w:bottom w:val="single" w:color="auto" w:sz="4" w:space="0"/>
              <w:right w:val="single" w:color="auto" w:sz="4" w:space="0"/>
            </w:tcBorders>
            <w:noWrap w:val="0"/>
            <w:vAlign w:val="center"/>
          </w:tcPr>
          <w:p w14:paraId="30413F2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以上评审有任何一项未通过的，初步评审不合格，按照无效投标处理。</w:t>
            </w:r>
          </w:p>
        </w:tc>
      </w:tr>
    </w:tbl>
    <w:p w14:paraId="5E79D93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评审方法和标准前附表三（</w:t>
      </w:r>
      <w:r>
        <w:rPr>
          <w:rFonts w:hint="eastAsia" w:ascii="宋体" w:hAnsi="宋体" w:eastAsia="宋体" w:cs="宋体"/>
          <w:b/>
          <w:color w:val="auto"/>
          <w:kern w:val="10"/>
          <w:sz w:val="30"/>
          <w:szCs w:val="30"/>
          <w:highlight w:val="none"/>
          <w:lang w:val="en-US" w:eastAsia="zh-CN"/>
        </w:rPr>
        <w:t>响应性评审指标</w:t>
      </w:r>
      <w:r>
        <w:rPr>
          <w:rFonts w:hint="eastAsia" w:ascii="宋体" w:hAnsi="宋体" w:eastAsia="宋体" w:cs="宋体"/>
          <w:b/>
          <w:color w:val="auto"/>
          <w:kern w:val="10"/>
          <w:sz w:val="30"/>
          <w:szCs w:val="30"/>
          <w:highlight w:val="none"/>
        </w:rPr>
        <w:t>表）</w:t>
      </w:r>
    </w:p>
    <w:tbl>
      <w:tblPr>
        <w:tblStyle w:val="38"/>
        <w:tblW w:w="0" w:type="auto"/>
        <w:jc w:val="center"/>
        <w:tblLayout w:type="fixed"/>
        <w:tblCellMar>
          <w:top w:w="0" w:type="dxa"/>
          <w:left w:w="108" w:type="dxa"/>
          <w:bottom w:w="0" w:type="dxa"/>
          <w:right w:w="108" w:type="dxa"/>
        </w:tblCellMar>
      </w:tblPr>
      <w:tblGrid>
        <w:gridCol w:w="822"/>
        <w:gridCol w:w="2231"/>
        <w:gridCol w:w="6734"/>
      </w:tblGrid>
      <w:tr w14:paraId="00AF3649">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243DB8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119BA3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1FF6B7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谈判响应文件详细评审标准</w:t>
            </w:r>
          </w:p>
        </w:tc>
      </w:tr>
      <w:tr w14:paraId="0FA27F9F">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089972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3CC5FB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服务内容</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524C37B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必须响应谈判文件的要求</w:t>
            </w:r>
          </w:p>
        </w:tc>
      </w:tr>
      <w:tr w14:paraId="69AA19B0">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06CA0E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15CD49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期</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43DBA3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必须响应谈判文件的要求</w:t>
            </w:r>
          </w:p>
        </w:tc>
      </w:tr>
      <w:tr w14:paraId="012EFCC3">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175673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40810C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付款方式</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7B202D1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必须响应谈判文件的要求</w:t>
            </w:r>
          </w:p>
        </w:tc>
      </w:tr>
      <w:tr w14:paraId="0001A44D">
        <w:tblPrEx>
          <w:tblCellMar>
            <w:top w:w="0" w:type="dxa"/>
            <w:left w:w="108" w:type="dxa"/>
            <w:bottom w:w="0" w:type="dxa"/>
            <w:right w:w="108" w:type="dxa"/>
          </w:tblCellMar>
        </w:tblPrEx>
        <w:trPr>
          <w:trHeight w:val="510" w:hRule="atLeast"/>
          <w:jc w:val="center"/>
        </w:trPr>
        <w:tc>
          <w:tcPr>
            <w:tcW w:w="822" w:type="dxa"/>
            <w:tcBorders>
              <w:top w:val="single" w:color="auto" w:sz="4" w:space="0"/>
              <w:left w:val="single" w:color="auto" w:sz="4" w:space="0"/>
              <w:bottom w:val="single" w:color="auto" w:sz="4" w:space="0"/>
              <w:right w:val="single" w:color="auto" w:sz="4" w:space="0"/>
            </w:tcBorders>
            <w:noWrap w:val="0"/>
            <w:vAlign w:val="center"/>
          </w:tcPr>
          <w:p w14:paraId="693758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231" w:type="dxa"/>
            <w:tcBorders>
              <w:top w:val="single" w:color="auto" w:sz="4" w:space="0"/>
              <w:left w:val="single" w:color="auto" w:sz="4" w:space="0"/>
              <w:bottom w:val="single" w:color="auto" w:sz="4" w:space="0"/>
              <w:right w:val="single" w:color="auto" w:sz="4" w:space="0"/>
            </w:tcBorders>
            <w:noWrap w:val="0"/>
            <w:vAlign w:val="center"/>
          </w:tcPr>
          <w:p w14:paraId="79FAAA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其他</w:t>
            </w:r>
          </w:p>
        </w:tc>
        <w:tc>
          <w:tcPr>
            <w:tcW w:w="6734" w:type="dxa"/>
            <w:tcBorders>
              <w:top w:val="single" w:color="auto" w:sz="4" w:space="0"/>
              <w:left w:val="single" w:color="auto" w:sz="4" w:space="0"/>
              <w:bottom w:val="single" w:color="auto" w:sz="4" w:space="0"/>
              <w:right w:val="single" w:color="auto" w:sz="4" w:space="0"/>
            </w:tcBorders>
            <w:noWrap w:val="0"/>
            <w:vAlign w:val="center"/>
          </w:tcPr>
          <w:p w14:paraId="53292B9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必须响应谈判文件的要求</w:t>
            </w:r>
          </w:p>
        </w:tc>
      </w:tr>
      <w:tr w14:paraId="4BFDD6F4">
        <w:tblPrEx>
          <w:tblCellMar>
            <w:top w:w="0" w:type="dxa"/>
            <w:left w:w="108" w:type="dxa"/>
            <w:bottom w:w="0" w:type="dxa"/>
            <w:right w:w="108" w:type="dxa"/>
          </w:tblCellMar>
        </w:tblPrEx>
        <w:trPr>
          <w:trHeight w:val="478" w:hRule="atLeast"/>
          <w:jc w:val="center"/>
        </w:trPr>
        <w:tc>
          <w:tcPr>
            <w:tcW w:w="9787" w:type="dxa"/>
            <w:gridSpan w:val="3"/>
            <w:tcBorders>
              <w:top w:val="single" w:color="auto" w:sz="4" w:space="0"/>
              <w:left w:val="single" w:color="auto" w:sz="4" w:space="0"/>
              <w:bottom w:val="single" w:color="auto" w:sz="4" w:space="0"/>
              <w:right w:val="single" w:color="auto" w:sz="4" w:space="0"/>
            </w:tcBorders>
            <w:noWrap w:val="0"/>
            <w:vAlign w:val="center"/>
          </w:tcPr>
          <w:p w14:paraId="14B2E26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以上评审有任何一项未通过的，响应性评审不合格，按无效投标处理。</w:t>
            </w:r>
          </w:p>
        </w:tc>
      </w:tr>
    </w:tbl>
    <w:p w14:paraId="308BE38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auto"/>
          <w:kern w:val="10"/>
          <w:sz w:val="30"/>
          <w:szCs w:val="30"/>
          <w:highlight w:val="none"/>
        </w:rPr>
      </w:pPr>
      <w:bookmarkStart w:id="56" w:name="_Toc21730"/>
      <w:bookmarkStart w:id="57" w:name="_Toc457942830"/>
      <w:bookmarkStart w:id="58" w:name="_Toc493152871"/>
    </w:p>
    <w:p w14:paraId="7ADDD634">
      <w:pPr>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br w:type="page"/>
      </w:r>
    </w:p>
    <w:p w14:paraId="321157F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1"/>
        <w:rPr>
          <w:rFonts w:hint="eastAsia" w:ascii="宋体" w:hAnsi="宋体" w:eastAsia="宋体" w:cs="宋体"/>
          <w:b/>
          <w:color w:val="auto"/>
          <w:kern w:val="10"/>
          <w:sz w:val="30"/>
          <w:szCs w:val="30"/>
          <w:highlight w:val="none"/>
        </w:rPr>
      </w:pPr>
      <w:r>
        <w:rPr>
          <w:rFonts w:hint="eastAsia" w:ascii="宋体" w:hAnsi="宋体" w:eastAsia="宋体" w:cs="宋体"/>
          <w:b/>
          <w:color w:val="auto"/>
          <w:kern w:val="10"/>
          <w:sz w:val="30"/>
          <w:szCs w:val="30"/>
          <w:highlight w:val="none"/>
        </w:rPr>
        <w:t>评审方法和标准前附表</w:t>
      </w:r>
      <w:r>
        <w:rPr>
          <w:rFonts w:hint="eastAsia" w:ascii="宋体" w:hAnsi="宋体" w:eastAsia="宋体" w:cs="宋体"/>
          <w:b/>
          <w:color w:val="auto"/>
          <w:kern w:val="10"/>
          <w:sz w:val="30"/>
          <w:szCs w:val="30"/>
          <w:highlight w:val="none"/>
          <w:lang w:val="en-US" w:eastAsia="zh-CN"/>
        </w:rPr>
        <w:t>四</w:t>
      </w:r>
      <w:r>
        <w:rPr>
          <w:rFonts w:hint="eastAsia" w:ascii="宋体" w:hAnsi="宋体" w:eastAsia="宋体" w:cs="宋体"/>
          <w:b/>
          <w:color w:val="auto"/>
          <w:kern w:val="10"/>
          <w:sz w:val="30"/>
          <w:szCs w:val="30"/>
          <w:highlight w:val="none"/>
        </w:rPr>
        <w:t>（</w:t>
      </w:r>
      <w:r>
        <w:rPr>
          <w:rFonts w:hint="eastAsia" w:ascii="宋体" w:hAnsi="宋体" w:eastAsia="宋体" w:cs="宋体"/>
          <w:b/>
          <w:color w:val="auto"/>
          <w:kern w:val="10"/>
          <w:sz w:val="30"/>
          <w:szCs w:val="30"/>
          <w:highlight w:val="none"/>
          <w:lang w:val="en-US" w:eastAsia="zh-CN"/>
        </w:rPr>
        <w:t>综合评审</w:t>
      </w:r>
      <w:r>
        <w:rPr>
          <w:rFonts w:hint="eastAsia" w:ascii="宋体" w:hAnsi="宋体" w:eastAsia="宋体" w:cs="宋体"/>
          <w:b/>
          <w:color w:val="auto"/>
          <w:kern w:val="10"/>
          <w:sz w:val="30"/>
          <w:szCs w:val="30"/>
          <w:highlight w:val="none"/>
          <w:lang w:eastAsia="zh-CN"/>
        </w:rPr>
        <w:t>指标表</w:t>
      </w:r>
      <w:r>
        <w:rPr>
          <w:rFonts w:hint="eastAsia" w:ascii="宋体" w:hAnsi="宋体" w:eastAsia="宋体" w:cs="宋体"/>
          <w:b/>
          <w:color w:val="auto"/>
          <w:kern w:val="10"/>
          <w:sz w:val="30"/>
          <w:szCs w:val="30"/>
          <w:highlight w:val="none"/>
        </w:rPr>
        <w:t>）</w:t>
      </w:r>
    </w:p>
    <w:tbl>
      <w:tblPr>
        <w:tblStyle w:val="38"/>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611"/>
        <w:gridCol w:w="6074"/>
        <w:gridCol w:w="1022"/>
      </w:tblGrid>
      <w:tr w14:paraId="3490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41" w:type="dxa"/>
            <w:noWrap w:val="0"/>
            <w:vAlign w:val="center"/>
          </w:tcPr>
          <w:p w14:paraId="7CF4EE8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类别</w:t>
            </w:r>
          </w:p>
        </w:tc>
        <w:tc>
          <w:tcPr>
            <w:tcW w:w="1611" w:type="dxa"/>
            <w:noWrap w:val="0"/>
            <w:vAlign w:val="center"/>
          </w:tcPr>
          <w:p w14:paraId="68C243B3">
            <w:pPr>
              <w:spacing w:line="360" w:lineRule="auto"/>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rPr>
              <w:t>评分因素</w:t>
            </w:r>
          </w:p>
        </w:tc>
        <w:tc>
          <w:tcPr>
            <w:tcW w:w="6074" w:type="dxa"/>
            <w:noWrap w:val="0"/>
            <w:vAlign w:val="center"/>
          </w:tcPr>
          <w:p w14:paraId="1D1D04DB">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评分标准</w:t>
            </w:r>
          </w:p>
        </w:tc>
        <w:tc>
          <w:tcPr>
            <w:tcW w:w="1022" w:type="dxa"/>
            <w:noWrap w:val="0"/>
            <w:vAlign w:val="center"/>
          </w:tcPr>
          <w:p w14:paraId="37655D57">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分值</w:t>
            </w:r>
          </w:p>
        </w:tc>
      </w:tr>
      <w:tr w14:paraId="73B6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1041" w:type="dxa"/>
            <w:vMerge w:val="restart"/>
            <w:noWrap w:val="0"/>
            <w:vAlign w:val="center"/>
          </w:tcPr>
          <w:p w14:paraId="2C9368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技术分</w:t>
            </w:r>
          </w:p>
          <w:p w14:paraId="655AE70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（90分）</w:t>
            </w:r>
          </w:p>
        </w:tc>
        <w:tc>
          <w:tcPr>
            <w:tcW w:w="1611" w:type="dxa"/>
            <w:noWrap w:val="0"/>
            <w:vAlign w:val="center"/>
          </w:tcPr>
          <w:p w14:paraId="5747E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项目理解</w:t>
            </w:r>
          </w:p>
        </w:tc>
        <w:tc>
          <w:tcPr>
            <w:tcW w:w="6074" w:type="dxa"/>
            <w:noWrap w:val="0"/>
            <w:vAlign w:val="center"/>
          </w:tcPr>
          <w:p w14:paraId="3E7C21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供应商应提供详细的项目理解与分析方案，要求包含但不限于对实际情况分析，项目背景、目标、依据，考虑实际情况内容分析等进行综合评分。</w:t>
            </w:r>
          </w:p>
          <w:p w14:paraId="662F5F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（1）根据供应商提供的项目理解与分析方案，对实际情况分析透彻，项目背景研究深刻，项目目标、依据清晰，充分考虑实际情况，方案整体内容完整详细，实用性、针对性强，得7-5分；</w:t>
            </w:r>
          </w:p>
          <w:p w14:paraId="3861A1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（2）根据供应商提供的项目理解与分析方案，对实际情况分析一般，项目背景研究较深刻，项目目标、依据较清晰，不完全考虑实际情况，方案整体内容较为完整详细，具有实用性和针对性，得5-3分；</w:t>
            </w:r>
          </w:p>
          <w:p w14:paraId="0FCBAA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（3）根据供应商提供的项目理解与分析方案，对实际情况分析不透彻，项目背景研究较不深刻，项目目标、依据不清晰，未考虑实际情况，方案整体内容实用性、针对性有待改善，得3-1分；</w:t>
            </w:r>
          </w:p>
          <w:p w14:paraId="31C901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（4）未提供方案的不得分。</w:t>
            </w:r>
          </w:p>
        </w:tc>
        <w:tc>
          <w:tcPr>
            <w:tcW w:w="1022" w:type="dxa"/>
            <w:noWrap w:val="0"/>
            <w:vAlign w:val="center"/>
          </w:tcPr>
          <w:p w14:paraId="05379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7分</w:t>
            </w:r>
          </w:p>
        </w:tc>
      </w:tr>
      <w:tr w14:paraId="6D72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6A075954">
            <w:pPr>
              <w:spacing w:line="360" w:lineRule="auto"/>
              <w:jc w:val="center"/>
              <w:rPr>
                <w:rFonts w:hint="eastAsia" w:ascii="宋体" w:hAnsi="宋体" w:cs="宋体"/>
                <w:color w:val="auto"/>
                <w:szCs w:val="21"/>
                <w:highlight w:val="none"/>
              </w:rPr>
            </w:pPr>
          </w:p>
        </w:tc>
        <w:tc>
          <w:tcPr>
            <w:tcW w:w="1611" w:type="dxa"/>
            <w:noWrap w:val="0"/>
            <w:vAlign w:val="center"/>
          </w:tcPr>
          <w:p w14:paraId="111B1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工作方案</w:t>
            </w:r>
          </w:p>
        </w:tc>
        <w:tc>
          <w:tcPr>
            <w:tcW w:w="6074" w:type="dxa"/>
            <w:noWrap w:val="0"/>
            <w:vAlign w:val="center"/>
          </w:tcPr>
          <w:p w14:paraId="204659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供应商应提供详细的项目工作方案，要求包含但不限于评估方法、技术路线规划、详细方案等进行评综合评分：</w:t>
            </w:r>
          </w:p>
          <w:p w14:paraId="474CA8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（1）根据供应商提供的项目工作方案，评估方案覆盖全面且考虑周全、方法、技术路线规划完整先进，方案整体内容完整详细，实用性、针对性强，得7-5分；</w:t>
            </w:r>
          </w:p>
          <w:p w14:paraId="0F377E4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（2）根据供应商提供的项目工作方案，评估方案基本覆盖、方法、技术路线相对专业，方案整体内容较为完整详细，具有实用性和针对性，得5-3分；</w:t>
            </w:r>
          </w:p>
          <w:p w14:paraId="224E2F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（3）根据供应商提供的项目工作方案，评估方案规范不够全面、方法有待提升、技术路线偏离实际，方案整体内容实用性、针对性有待改善，得3-1分；</w:t>
            </w:r>
          </w:p>
          <w:p w14:paraId="42EEAAB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ighlight w:val="none"/>
                <w:lang w:val="en-US" w:eastAsia="zh-CN"/>
              </w:rPr>
            </w:pPr>
            <w:r>
              <w:rPr>
                <w:rFonts w:hint="eastAsia" w:ascii="宋体" w:hAnsi="宋体" w:eastAsia="宋体" w:cs="宋体"/>
                <w:highlight w:val="none"/>
                <w:lang w:val="en-US" w:eastAsia="zh-CN"/>
              </w:rPr>
              <w:t>（4）未提供方案的不得分。</w:t>
            </w:r>
          </w:p>
        </w:tc>
        <w:tc>
          <w:tcPr>
            <w:tcW w:w="1022" w:type="dxa"/>
            <w:noWrap w:val="0"/>
            <w:vAlign w:val="center"/>
          </w:tcPr>
          <w:p w14:paraId="26D22778">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7分</w:t>
            </w:r>
          </w:p>
        </w:tc>
      </w:tr>
      <w:tr w14:paraId="101D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53195270">
            <w:pPr>
              <w:spacing w:line="360" w:lineRule="auto"/>
              <w:jc w:val="center"/>
              <w:rPr>
                <w:rFonts w:hint="eastAsia" w:ascii="宋体" w:hAnsi="宋体" w:cs="宋体"/>
                <w:color w:val="auto"/>
                <w:szCs w:val="21"/>
                <w:highlight w:val="none"/>
              </w:rPr>
            </w:pPr>
          </w:p>
        </w:tc>
        <w:tc>
          <w:tcPr>
            <w:tcW w:w="1611" w:type="dxa"/>
            <w:noWrap w:val="0"/>
            <w:vAlign w:val="center"/>
          </w:tcPr>
          <w:p w14:paraId="56F7C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工作进度</w:t>
            </w:r>
          </w:p>
          <w:p w14:paraId="544C29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保障方案</w:t>
            </w:r>
          </w:p>
        </w:tc>
        <w:tc>
          <w:tcPr>
            <w:tcW w:w="6074" w:type="dxa"/>
            <w:noWrap w:val="0"/>
            <w:vAlign w:val="center"/>
          </w:tcPr>
          <w:p w14:paraId="544C98D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供应商应提供详细的工作进度保障方案，要求包含但不限于工作计划、组织计划安排、进度保障措施等进行综合评分：</w:t>
            </w:r>
          </w:p>
          <w:p w14:paraId="05DB6F2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（1）根据供应商提供的工作进度保障方案，工作计划周密，组织计划安排及进度保障措施完善，方案整体内容完整详细，实用性、针对性强，得7-5分；</w:t>
            </w:r>
          </w:p>
          <w:p w14:paraId="334DAB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（2）根据供应商提供的工作进度保障方案，工作计划较周密，组织计划安排及进度保障措施较完善，方案整体内容较为完整详细，具有实用性和针对性，得5-3分；</w:t>
            </w:r>
          </w:p>
          <w:p w14:paraId="567051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（3）工作计划不够周密，组织计划安排不够完善，进度保障措施不够充足，方案整体内容实用性、针对性有待改善，得3-1分；</w:t>
            </w:r>
          </w:p>
          <w:p w14:paraId="6FFFECC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highlight w:val="none"/>
                <w:lang w:val="en-US" w:eastAsia="zh-CN"/>
              </w:rPr>
            </w:pPr>
            <w:r>
              <w:rPr>
                <w:rFonts w:hint="eastAsia" w:ascii="宋体" w:hAnsi="宋体" w:eastAsia="宋体" w:cs="宋体"/>
                <w:highlight w:val="none"/>
                <w:lang w:val="en-US" w:eastAsia="zh-CN"/>
              </w:rPr>
              <w:t>（4）未提供方案的不得分。</w:t>
            </w:r>
          </w:p>
        </w:tc>
        <w:tc>
          <w:tcPr>
            <w:tcW w:w="1022" w:type="dxa"/>
            <w:noWrap w:val="0"/>
            <w:vAlign w:val="center"/>
          </w:tcPr>
          <w:p w14:paraId="51C80138">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7分</w:t>
            </w:r>
          </w:p>
        </w:tc>
      </w:tr>
      <w:tr w14:paraId="027A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0D9F9E6A">
            <w:pPr>
              <w:spacing w:line="360" w:lineRule="auto"/>
              <w:jc w:val="center"/>
              <w:rPr>
                <w:rFonts w:hint="eastAsia" w:ascii="宋体" w:hAnsi="宋体" w:cs="宋体"/>
                <w:color w:val="auto"/>
                <w:szCs w:val="21"/>
                <w:highlight w:val="none"/>
              </w:rPr>
            </w:pPr>
          </w:p>
        </w:tc>
        <w:tc>
          <w:tcPr>
            <w:tcW w:w="1611" w:type="dxa"/>
            <w:noWrap w:val="0"/>
            <w:vAlign w:val="center"/>
          </w:tcPr>
          <w:p w14:paraId="1F4030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项目质量</w:t>
            </w:r>
          </w:p>
          <w:p w14:paraId="553C23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保障方案</w:t>
            </w:r>
          </w:p>
        </w:tc>
        <w:tc>
          <w:tcPr>
            <w:tcW w:w="6074" w:type="dxa"/>
            <w:noWrap w:val="0"/>
            <w:vAlign w:val="center"/>
          </w:tcPr>
          <w:p w14:paraId="4D9A46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供应商应提供详细的项目质量保障方案，要求包含但不限于质量保证措施、质量控制方案等进行综合评分：</w:t>
            </w:r>
          </w:p>
          <w:p w14:paraId="4350FA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（1）根据供应商提供的项目质量保障方案，质量保证措施有力，质量控制方案完善，方案整体内容完整详细，实用性、针对性强，得7-5分；</w:t>
            </w:r>
          </w:p>
          <w:p w14:paraId="2BF1A7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（2）根据供应商提供的项目质量保障方案，质量保证措施较有力，质量控制方案较完善，方案整体内容较为完整详细，具有实用性和针对性，得5-3分；</w:t>
            </w:r>
          </w:p>
          <w:p w14:paraId="258391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（3）根据供应商提供的项目质量保障方案，质量保证措施力度不够，质量控制方案有待提升改善，方案整体内容实用性、针对性有待改善，得3-1分；</w:t>
            </w:r>
          </w:p>
          <w:p w14:paraId="1E5B23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（4）未提供方案的不得分。</w:t>
            </w:r>
          </w:p>
        </w:tc>
        <w:tc>
          <w:tcPr>
            <w:tcW w:w="1022" w:type="dxa"/>
            <w:noWrap w:val="0"/>
            <w:vAlign w:val="center"/>
          </w:tcPr>
          <w:p w14:paraId="12970B8D">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7分</w:t>
            </w:r>
          </w:p>
        </w:tc>
      </w:tr>
      <w:tr w14:paraId="6977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0AE7CC4D">
            <w:pPr>
              <w:spacing w:line="360" w:lineRule="auto"/>
              <w:jc w:val="center"/>
              <w:rPr>
                <w:rFonts w:hint="eastAsia" w:ascii="宋体" w:hAnsi="宋体" w:cs="宋体"/>
                <w:color w:val="auto"/>
                <w:szCs w:val="21"/>
                <w:highlight w:val="none"/>
              </w:rPr>
            </w:pPr>
          </w:p>
        </w:tc>
        <w:tc>
          <w:tcPr>
            <w:tcW w:w="1611" w:type="dxa"/>
            <w:noWrap w:val="0"/>
            <w:vAlign w:val="center"/>
          </w:tcPr>
          <w:p w14:paraId="49DBC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信息安全管理保障方案</w:t>
            </w:r>
          </w:p>
        </w:tc>
        <w:tc>
          <w:tcPr>
            <w:tcW w:w="6074" w:type="dxa"/>
            <w:noWrap w:val="0"/>
            <w:vAlign w:val="center"/>
          </w:tcPr>
          <w:p w14:paraId="2207E9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供应商应提供详细的信息安全管理保障方案，要求包含但不限于安全生产措施、成果保密措施等进行综合评分：</w:t>
            </w:r>
          </w:p>
          <w:p w14:paraId="5FCC21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（1）根据供应商提供的信息安全管理保障方案，安全生产措施全面，成果保密措施严密，方案整体内容完整详细，实用性、针对性强，得7-5分；</w:t>
            </w:r>
          </w:p>
          <w:p w14:paraId="663AE3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（2）根据供应商提供的信息安全管理保障方案，安全生产措施较全面，成果保密措施较严密，方案整体内容较为完整详细，具有实用性和针对性，得5-3分；</w:t>
            </w:r>
          </w:p>
          <w:p w14:paraId="49DC9B2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（3）根据供应商提供的信息安全管理保障方案，安全生产措施不够全面，成果保密措施不够严密，方案整体内容实用性、针对性有待改善，得3-1分；</w:t>
            </w:r>
          </w:p>
          <w:p w14:paraId="1D1CEE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（4）未提供方案的不得分。</w:t>
            </w:r>
          </w:p>
        </w:tc>
        <w:tc>
          <w:tcPr>
            <w:tcW w:w="1022" w:type="dxa"/>
            <w:noWrap w:val="0"/>
            <w:vAlign w:val="center"/>
          </w:tcPr>
          <w:p w14:paraId="13D51773">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7分</w:t>
            </w:r>
          </w:p>
        </w:tc>
      </w:tr>
      <w:tr w14:paraId="1BBC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0795B0D0">
            <w:pPr>
              <w:spacing w:line="360" w:lineRule="auto"/>
              <w:jc w:val="center"/>
              <w:rPr>
                <w:rFonts w:hint="eastAsia" w:ascii="宋体" w:hAnsi="宋体" w:cs="宋体"/>
                <w:color w:val="auto"/>
                <w:szCs w:val="21"/>
                <w:highlight w:val="none"/>
              </w:rPr>
            </w:pPr>
          </w:p>
        </w:tc>
        <w:tc>
          <w:tcPr>
            <w:tcW w:w="1611" w:type="dxa"/>
            <w:noWrap w:val="0"/>
            <w:vAlign w:val="center"/>
          </w:tcPr>
          <w:p w14:paraId="3BCED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人员配备</w:t>
            </w:r>
          </w:p>
        </w:tc>
        <w:tc>
          <w:tcPr>
            <w:tcW w:w="6074" w:type="dxa"/>
            <w:noWrap w:val="0"/>
            <w:vAlign w:val="center"/>
          </w:tcPr>
          <w:p w14:paraId="64D4EC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项目组人员（不含项目负责人）：</w:t>
            </w:r>
          </w:p>
          <w:p w14:paraId="3A33776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1、每有1名注册资产评估师的得3分，本小项满分9分。</w:t>
            </w:r>
          </w:p>
          <w:p w14:paraId="7F1A59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2、每有1名注册房地产评估师的得3分，本小项满分9分。</w:t>
            </w:r>
          </w:p>
          <w:p w14:paraId="5A3C7D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3、每有1名土地估价师（执业登记）的得3分，本小项满分9分。</w:t>
            </w:r>
          </w:p>
          <w:p w14:paraId="47077B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注：响应文件中须人员证书，提交的注册执业证书中聘用企业名称必须与供应商企业名称不一致的不予认可，同一人具有多种注册证书的不累计得分，仅计分一次。</w:t>
            </w:r>
          </w:p>
        </w:tc>
        <w:tc>
          <w:tcPr>
            <w:tcW w:w="1022" w:type="dxa"/>
            <w:noWrap w:val="0"/>
            <w:vAlign w:val="center"/>
          </w:tcPr>
          <w:p w14:paraId="3925CBA3">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27分</w:t>
            </w:r>
          </w:p>
        </w:tc>
      </w:tr>
      <w:tr w14:paraId="6A62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79FBCF33">
            <w:pPr>
              <w:spacing w:line="360" w:lineRule="auto"/>
              <w:jc w:val="center"/>
              <w:rPr>
                <w:rFonts w:hint="eastAsia" w:ascii="宋体" w:hAnsi="宋体" w:cs="宋体"/>
                <w:color w:val="auto"/>
                <w:szCs w:val="21"/>
                <w:highlight w:val="none"/>
              </w:rPr>
            </w:pPr>
          </w:p>
        </w:tc>
        <w:tc>
          <w:tcPr>
            <w:tcW w:w="1611" w:type="dxa"/>
            <w:noWrap w:val="0"/>
            <w:vAlign w:val="center"/>
          </w:tcPr>
          <w:p w14:paraId="2397C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项目负责</w:t>
            </w:r>
          </w:p>
          <w:p w14:paraId="4EC77E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人业绩</w:t>
            </w:r>
          </w:p>
        </w:tc>
        <w:tc>
          <w:tcPr>
            <w:tcW w:w="6074" w:type="dxa"/>
            <w:noWrap w:val="0"/>
            <w:vAlign w:val="center"/>
          </w:tcPr>
          <w:p w14:paraId="21F8A1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供应商拟派项目负责人自2021年1月1日以来（以合同签订时间为准），具有单项报告5亿元以上评估业绩的，每有一项得7分，本小项满分14分。</w:t>
            </w:r>
          </w:p>
          <w:p w14:paraId="0F6BBC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w:t>
            </w:r>
          </w:p>
          <w:p w14:paraId="3956F1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1、响应文件中须同时提供合同、评估报告。</w:t>
            </w:r>
          </w:p>
          <w:p w14:paraId="093CBA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2、项目负责人业绩和供应商业绩可重复。</w:t>
            </w:r>
          </w:p>
        </w:tc>
        <w:tc>
          <w:tcPr>
            <w:tcW w:w="1022" w:type="dxa"/>
            <w:noWrap w:val="0"/>
            <w:vAlign w:val="center"/>
          </w:tcPr>
          <w:p w14:paraId="7322C393">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14分</w:t>
            </w:r>
          </w:p>
        </w:tc>
      </w:tr>
      <w:tr w14:paraId="5429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1041" w:type="dxa"/>
            <w:vMerge w:val="continue"/>
            <w:noWrap w:val="0"/>
            <w:vAlign w:val="center"/>
          </w:tcPr>
          <w:p w14:paraId="38011475">
            <w:pPr>
              <w:spacing w:line="360" w:lineRule="auto"/>
              <w:jc w:val="center"/>
              <w:rPr>
                <w:rFonts w:hint="eastAsia" w:ascii="宋体" w:hAnsi="宋体" w:cs="宋体"/>
                <w:color w:val="auto"/>
                <w:szCs w:val="21"/>
                <w:highlight w:val="none"/>
              </w:rPr>
            </w:pPr>
          </w:p>
        </w:tc>
        <w:tc>
          <w:tcPr>
            <w:tcW w:w="1611" w:type="dxa"/>
            <w:noWrap w:val="0"/>
            <w:vAlign w:val="center"/>
          </w:tcPr>
          <w:p w14:paraId="4F5CD8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供应商</w:t>
            </w:r>
            <w:r>
              <w:rPr>
                <w:rFonts w:hint="default" w:ascii="宋体" w:hAnsi="宋体" w:eastAsia="宋体" w:cs="宋体"/>
                <w:color w:val="auto"/>
                <w:kern w:val="2"/>
                <w:sz w:val="21"/>
                <w:szCs w:val="21"/>
                <w:highlight w:val="none"/>
                <w:lang w:val="en-US" w:eastAsia="zh-CN" w:bidi="ar-SA"/>
              </w:rPr>
              <w:t>业绩</w:t>
            </w:r>
          </w:p>
        </w:tc>
        <w:tc>
          <w:tcPr>
            <w:tcW w:w="6074" w:type="dxa"/>
            <w:noWrap w:val="0"/>
            <w:vAlign w:val="center"/>
          </w:tcPr>
          <w:p w14:paraId="6CEC25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供应商自2021年1月1日以来（以合同签订时间为准），每提供1份单项报告5亿元以上评估业绩的得7分，满分14分。</w:t>
            </w:r>
          </w:p>
          <w:p w14:paraId="707DD8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w:t>
            </w:r>
          </w:p>
          <w:p w14:paraId="360FF87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1、响应文件中须同时提供合同、评估报告。</w:t>
            </w:r>
          </w:p>
          <w:p w14:paraId="44FB81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2、项目负责人业绩和供应商业绩可重复。</w:t>
            </w:r>
          </w:p>
        </w:tc>
        <w:tc>
          <w:tcPr>
            <w:tcW w:w="1022" w:type="dxa"/>
            <w:noWrap w:val="0"/>
            <w:vAlign w:val="center"/>
          </w:tcPr>
          <w:p w14:paraId="4BE99717">
            <w:pPr>
              <w:keepNext w:val="0"/>
              <w:keepLines w:val="0"/>
              <w:pageBreakBefore w:val="0"/>
              <w:widowControl w:val="0"/>
              <w:kinsoku/>
              <w:wordWrap/>
              <w:overflowPunct/>
              <w:topLinePunct w:val="0"/>
              <w:autoSpaceDE/>
              <w:autoSpaceDN/>
              <w:bidi w:val="0"/>
              <w:adjustRightInd/>
              <w:snapToGrid/>
              <w:spacing w:line="240" w:lineRule="auto"/>
              <w:ind w:firstLine="200" w:firstLineChars="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14分</w:t>
            </w:r>
          </w:p>
        </w:tc>
      </w:tr>
      <w:tr w14:paraId="75B6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041" w:type="dxa"/>
            <w:noWrap w:val="0"/>
            <w:vAlign w:val="center"/>
          </w:tcPr>
          <w:p w14:paraId="292530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价格分（10分）</w:t>
            </w:r>
          </w:p>
        </w:tc>
        <w:tc>
          <w:tcPr>
            <w:tcW w:w="7685" w:type="dxa"/>
            <w:gridSpan w:val="2"/>
            <w:noWrap w:val="0"/>
            <w:vAlign w:val="center"/>
          </w:tcPr>
          <w:p w14:paraId="18A90C7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价格分统一采用低价优先法，即满足</w:t>
            </w:r>
            <w:r>
              <w:rPr>
                <w:rFonts w:hint="eastAsia" w:ascii="宋体" w:hAnsi="宋体" w:cs="宋体"/>
                <w:color w:val="auto"/>
                <w:kern w:val="2"/>
                <w:sz w:val="21"/>
                <w:szCs w:val="21"/>
                <w:highlight w:val="none"/>
                <w:lang w:val="en-US" w:eastAsia="zh-CN" w:bidi="ar-SA"/>
              </w:rPr>
              <w:t>谈判</w:t>
            </w:r>
            <w:r>
              <w:rPr>
                <w:rFonts w:hint="eastAsia" w:ascii="宋体" w:hAnsi="宋体" w:eastAsia="宋体" w:cs="宋体"/>
                <w:color w:val="auto"/>
                <w:kern w:val="2"/>
                <w:sz w:val="21"/>
                <w:szCs w:val="21"/>
                <w:highlight w:val="none"/>
                <w:lang w:val="en-US" w:eastAsia="zh-CN" w:bidi="ar-SA"/>
              </w:rPr>
              <w:t>文件要求且最后报价最低的供应商的价格为</w:t>
            </w:r>
            <w:r>
              <w:rPr>
                <w:rFonts w:hint="eastAsia" w:ascii="宋体" w:hAnsi="宋体" w:cs="宋体"/>
                <w:color w:val="auto"/>
                <w:kern w:val="2"/>
                <w:sz w:val="21"/>
                <w:szCs w:val="21"/>
                <w:highlight w:val="none"/>
                <w:lang w:val="en-US" w:eastAsia="zh-CN" w:bidi="ar-SA"/>
              </w:rPr>
              <w:t>谈判</w:t>
            </w:r>
            <w:r>
              <w:rPr>
                <w:rFonts w:hint="eastAsia" w:ascii="宋体" w:hAnsi="宋体" w:eastAsia="宋体" w:cs="宋体"/>
                <w:color w:val="auto"/>
                <w:kern w:val="2"/>
                <w:sz w:val="21"/>
                <w:szCs w:val="21"/>
                <w:highlight w:val="none"/>
                <w:lang w:val="en-US" w:eastAsia="zh-CN" w:bidi="ar-SA"/>
              </w:rPr>
              <w:t>基准价，其价格分为满分</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0分。其他供应商的价格分统一按照下列公式计算：</w:t>
            </w:r>
          </w:p>
          <w:p w14:paraId="7216991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价格分</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谈判</w:t>
            </w:r>
            <w:r>
              <w:rPr>
                <w:rFonts w:hint="eastAsia" w:ascii="宋体" w:hAnsi="宋体" w:eastAsia="宋体" w:cs="宋体"/>
                <w:color w:val="auto"/>
                <w:kern w:val="2"/>
                <w:sz w:val="21"/>
                <w:szCs w:val="21"/>
                <w:highlight w:val="none"/>
                <w:lang w:val="en-US" w:eastAsia="zh-CN" w:bidi="ar-SA"/>
              </w:rPr>
              <w:t>基准价/最后</w:t>
            </w:r>
            <w:r>
              <w:rPr>
                <w:rFonts w:hint="eastAsia" w:ascii="宋体" w:hAnsi="宋体" w:cs="宋体"/>
                <w:color w:val="auto"/>
                <w:kern w:val="2"/>
                <w:sz w:val="21"/>
                <w:szCs w:val="21"/>
                <w:highlight w:val="none"/>
                <w:lang w:val="en-US" w:eastAsia="zh-CN" w:bidi="ar-SA"/>
              </w:rPr>
              <w:t>谈判</w:t>
            </w:r>
            <w:r>
              <w:rPr>
                <w:rFonts w:hint="eastAsia" w:ascii="宋体" w:hAnsi="宋体" w:eastAsia="宋体" w:cs="宋体"/>
                <w:color w:val="auto"/>
                <w:kern w:val="2"/>
                <w:sz w:val="21"/>
                <w:szCs w:val="21"/>
                <w:highlight w:val="none"/>
                <w:lang w:val="en-US" w:eastAsia="zh-CN" w:bidi="ar-SA"/>
              </w:rPr>
              <w:t>报价）×</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0％×100</w:t>
            </w:r>
          </w:p>
          <w:p w14:paraId="433FF5C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备注：参照</w:t>
            </w:r>
            <w:r>
              <w:rPr>
                <w:rFonts w:hint="default" w:ascii="宋体" w:hAnsi="宋体" w:cs="宋体"/>
                <w:color w:val="auto"/>
                <w:kern w:val="2"/>
                <w:sz w:val="21"/>
                <w:szCs w:val="21"/>
                <w:highlight w:val="none"/>
                <w:lang w:val="en-US" w:eastAsia="zh-CN" w:bidi="ar-SA"/>
              </w:rPr>
              <w:t>财政部《关于推动解决政府采购异常低价问题的通知》（财库〔2026〕2号），</w:t>
            </w:r>
            <w:r>
              <w:rPr>
                <w:rFonts w:hint="eastAsia" w:ascii="宋体" w:hAnsi="宋体" w:cs="宋体"/>
                <w:color w:val="auto"/>
                <w:kern w:val="2"/>
                <w:sz w:val="21"/>
                <w:szCs w:val="21"/>
                <w:highlight w:val="none"/>
                <w:lang w:val="en-US" w:eastAsia="zh-CN" w:bidi="ar-SA"/>
              </w:rPr>
              <w:t>供应商</w:t>
            </w:r>
            <w:r>
              <w:rPr>
                <w:rFonts w:hint="default" w:ascii="宋体" w:hAnsi="宋体" w:cs="宋体"/>
                <w:color w:val="auto"/>
                <w:kern w:val="2"/>
                <w:sz w:val="21"/>
                <w:szCs w:val="21"/>
                <w:highlight w:val="none"/>
                <w:lang w:val="en-US" w:eastAsia="zh-CN" w:bidi="ar-SA"/>
              </w:rPr>
              <w:t>响应报价</w:t>
            </w:r>
            <w:r>
              <w:rPr>
                <w:rFonts w:hint="eastAsia" w:ascii="宋体" w:hAnsi="宋体" w:cs="宋体"/>
                <w:color w:val="auto"/>
                <w:kern w:val="2"/>
                <w:sz w:val="21"/>
                <w:szCs w:val="21"/>
                <w:highlight w:val="none"/>
                <w:lang w:val="en-US" w:eastAsia="zh-CN" w:bidi="ar-SA"/>
              </w:rPr>
              <w:t>满足</w:t>
            </w:r>
            <w:r>
              <w:rPr>
                <w:rFonts w:hint="default" w:ascii="宋体" w:hAnsi="宋体" w:cs="宋体"/>
                <w:color w:val="auto"/>
                <w:kern w:val="2"/>
                <w:sz w:val="21"/>
                <w:szCs w:val="21"/>
                <w:highlight w:val="none"/>
                <w:lang w:val="en-US" w:eastAsia="zh-CN" w:bidi="ar-SA"/>
              </w:rPr>
              <w:t>下列情形之一的，</w:t>
            </w:r>
            <w:r>
              <w:rPr>
                <w:rFonts w:hint="eastAsia" w:ascii="宋体" w:hAnsi="宋体" w:cs="宋体"/>
                <w:color w:val="auto"/>
                <w:kern w:val="2"/>
                <w:sz w:val="21"/>
                <w:szCs w:val="21"/>
                <w:highlight w:val="none"/>
                <w:lang w:val="en-US" w:eastAsia="zh-CN" w:bidi="ar-SA"/>
              </w:rPr>
              <w:t>其价格分为0分，其响应报价不列入谈判基准价计算</w:t>
            </w:r>
            <w:r>
              <w:rPr>
                <w:rFonts w:hint="default" w:ascii="宋体" w:hAnsi="宋体" w:cs="宋体"/>
                <w:color w:val="auto"/>
                <w:kern w:val="2"/>
                <w:sz w:val="21"/>
                <w:szCs w:val="21"/>
                <w:highlight w:val="none"/>
                <w:lang w:val="en-US" w:eastAsia="zh-CN" w:bidi="ar-SA"/>
              </w:rPr>
              <w:t>：</w:t>
            </w:r>
          </w:p>
          <w:p w14:paraId="0325B69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s="宋体"/>
                <w:color w:val="auto"/>
                <w:kern w:val="2"/>
                <w:sz w:val="21"/>
                <w:szCs w:val="21"/>
                <w:highlight w:val="none"/>
                <w:lang w:val="en-US" w:eastAsia="zh-CN" w:bidi="ar-SA"/>
              </w:rPr>
            </w:pPr>
            <w:r>
              <w:rPr>
                <w:rFonts w:hint="default" w:ascii="宋体" w:hAnsi="宋体" w:cs="宋体"/>
                <w:color w:val="auto"/>
                <w:kern w:val="2"/>
                <w:sz w:val="21"/>
                <w:szCs w:val="21"/>
                <w:highlight w:val="none"/>
                <w:lang w:val="en-US" w:eastAsia="zh-CN" w:bidi="ar-SA"/>
              </w:rPr>
              <w:t>1、响应报价低于全部通过符合性审查供应商响应报价平均值</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%的，即响应报价&lt;全部通过符合性审查供应商响应报价平均值×</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w:t>
            </w:r>
          </w:p>
          <w:p w14:paraId="3C95996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s="宋体"/>
                <w:color w:val="auto"/>
                <w:kern w:val="2"/>
                <w:sz w:val="21"/>
                <w:szCs w:val="21"/>
                <w:highlight w:val="none"/>
                <w:lang w:val="en-US" w:eastAsia="zh-CN" w:bidi="ar-SA"/>
              </w:rPr>
            </w:pPr>
            <w:r>
              <w:rPr>
                <w:rFonts w:hint="default" w:ascii="宋体" w:hAnsi="宋体" w:cs="宋体"/>
                <w:color w:val="auto"/>
                <w:kern w:val="2"/>
                <w:sz w:val="21"/>
                <w:szCs w:val="21"/>
                <w:highlight w:val="none"/>
                <w:lang w:val="en-US" w:eastAsia="zh-CN" w:bidi="ar-SA"/>
              </w:rPr>
              <w:t>2.响应报价低于通过符合性审查的次低报价供应商响应报价</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%的，即响应报价&lt;通过符合性审查的次低报价供应商响应报价×</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w:t>
            </w:r>
          </w:p>
          <w:p w14:paraId="625AFEB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s="宋体"/>
                <w:color w:val="auto"/>
                <w:kern w:val="2"/>
                <w:sz w:val="21"/>
                <w:szCs w:val="21"/>
                <w:highlight w:val="none"/>
                <w:lang w:val="en-US" w:eastAsia="zh-CN" w:bidi="ar-SA"/>
              </w:rPr>
            </w:pPr>
            <w:r>
              <w:rPr>
                <w:rFonts w:hint="default" w:ascii="宋体" w:hAnsi="宋体" w:cs="宋体"/>
                <w:color w:val="auto"/>
                <w:kern w:val="2"/>
                <w:sz w:val="21"/>
                <w:szCs w:val="21"/>
                <w:highlight w:val="none"/>
                <w:lang w:val="en-US" w:eastAsia="zh-CN" w:bidi="ar-SA"/>
              </w:rPr>
              <w:t>3.响应报价低于采购项目最高限价</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%的，即响应报价&lt;采购项目最高限价×</w:t>
            </w:r>
            <w:r>
              <w:rPr>
                <w:rFonts w:hint="eastAsia" w:ascii="宋体" w:hAnsi="宋体" w:cs="宋体"/>
                <w:color w:val="auto"/>
                <w:kern w:val="2"/>
                <w:sz w:val="21"/>
                <w:szCs w:val="21"/>
                <w:highlight w:val="none"/>
                <w:lang w:val="en-US" w:eastAsia="zh-CN" w:bidi="ar-SA"/>
              </w:rPr>
              <w:t>65</w:t>
            </w:r>
            <w:r>
              <w:rPr>
                <w:rFonts w:hint="default" w:ascii="宋体" w:hAnsi="宋体" w:cs="宋体"/>
                <w:color w:val="auto"/>
                <w:kern w:val="2"/>
                <w:sz w:val="21"/>
                <w:szCs w:val="21"/>
                <w:highlight w:val="none"/>
                <w:lang w:val="en-US" w:eastAsia="zh-CN" w:bidi="ar-SA"/>
              </w:rPr>
              <w:t>%；</w:t>
            </w:r>
          </w:p>
          <w:p w14:paraId="1E7F54E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s="宋体"/>
                <w:color w:val="auto"/>
                <w:kern w:val="2"/>
                <w:sz w:val="21"/>
                <w:szCs w:val="21"/>
                <w:highlight w:val="none"/>
                <w:lang w:val="en-US" w:eastAsia="zh-CN" w:bidi="ar-SA"/>
              </w:rPr>
            </w:pPr>
            <w:r>
              <w:rPr>
                <w:rFonts w:hint="default" w:ascii="宋体" w:hAnsi="宋体" w:cs="宋体"/>
                <w:color w:val="auto"/>
                <w:kern w:val="2"/>
                <w:sz w:val="21"/>
                <w:szCs w:val="21"/>
                <w:highlight w:val="none"/>
                <w:lang w:val="en-US" w:eastAsia="zh-CN" w:bidi="ar-SA"/>
              </w:rPr>
              <w:t>4.磋商小组基于专业判断，认为供应商报价过低，有可能影响产品质量或者不能诚信履约的其他情形。</w:t>
            </w:r>
          </w:p>
          <w:p w14:paraId="7C7C92D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highlight w:val="none"/>
                <w:lang w:val="en-US" w:eastAsia="zh-CN"/>
              </w:rPr>
            </w:pPr>
            <w:r>
              <w:rPr>
                <w:rFonts w:hint="eastAsia" w:ascii="宋体" w:hAnsi="宋体" w:cs="宋体"/>
                <w:color w:val="auto"/>
                <w:kern w:val="2"/>
                <w:sz w:val="21"/>
                <w:szCs w:val="21"/>
                <w:highlight w:val="none"/>
                <w:lang w:val="en-US" w:eastAsia="zh-CN" w:bidi="ar-SA"/>
              </w:rPr>
              <w:t>上述</w:t>
            </w:r>
            <w:r>
              <w:rPr>
                <w:rFonts w:hint="default" w:ascii="宋体" w:hAnsi="宋体" w:cs="宋体"/>
                <w:color w:val="auto"/>
                <w:kern w:val="2"/>
                <w:sz w:val="21"/>
                <w:szCs w:val="21"/>
                <w:highlight w:val="none"/>
                <w:lang w:val="en-US" w:eastAsia="zh-CN" w:bidi="ar-SA"/>
              </w:rPr>
              <w:t>响应报价</w:t>
            </w:r>
            <w:r>
              <w:rPr>
                <w:rFonts w:hint="eastAsia" w:ascii="宋体" w:hAnsi="宋体" w:cs="宋体"/>
                <w:color w:val="auto"/>
                <w:kern w:val="2"/>
                <w:sz w:val="21"/>
                <w:szCs w:val="21"/>
                <w:highlight w:val="none"/>
                <w:lang w:val="en-US" w:eastAsia="zh-CN" w:bidi="ar-SA"/>
              </w:rPr>
              <w:t>是指供应商最后谈判报价。</w:t>
            </w:r>
          </w:p>
        </w:tc>
        <w:tc>
          <w:tcPr>
            <w:tcW w:w="1022" w:type="dxa"/>
            <w:noWrap w:val="0"/>
            <w:vAlign w:val="center"/>
          </w:tcPr>
          <w:p w14:paraId="76485620">
            <w:pPr>
              <w:keepNext w:val="0"/>
              <w:keepLines w:val="0"/>
              <w:pageBreakBefore w:val="0"/>
              <w:widowControl w:val="0"/>
              <w:kinsoku/>
              <w:wordWrap/>
              <w:overflowPunct/>
              <w:topLinePunct w:val="0"/>
              <w:autoSpaceDE/>
              <w:autoSpaceDN/>
              <w:bidi w:val="0"/>
              <w:adjustRightInd/>
              <w:snapToGrid/>
              <w:spacing w:line="240" w:lineRule="auto"/>
              <w:ind w:firstLine="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0分</w:t>
            </w:r>
          </w:p>
        </w:tc>
      </w:tr>
    </w:tbl>
    <w:p w14:paraId="1AF7253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一、评审</w:t>
      </w:r>
      <w:r>
        <w:rPr>
          <w:rFonts w:hint="eastAsia" w:ascii="宋体" w:hAnsi="宋体" w:eastAsia="宋体" w:cs="宋体"/>
          <w:b/>
          <w:color w:val="auto"/>
          <w:sz w:val="24"/>
          <w:szCs w:val="24"/>
          <w:highlight w:val="none"/>
          <w:lang w:val="en-US" w:eastAsia="zh-CN"/>
        </w:rPr>
        <w:t>方</w:t>
      </w:r>
      <w:r>
        <w:rPr>
          <w:rFonts w:hint="eastAsia" w:ascii="宋体" w:hAnsi="宋体" w:eastAsia="宋体" w:cs="宋体"/>
          <w:b/>
          <w:color w:val="auto"/>
          <w:sz w:val="24"/>
          <w:szCs w:val="24"/>
          <w:highlight w:val="none"/>
        </w:rPr>
        <w:t>法：综合评分</w:t>
      </w:r>
      <w:r>
        <w:rPr>
          <w:rFonts w:hint="eastAsia" w:ascii="宋体" w:hAnsi="宋体" w:eastAsia="宋体" w:cs="宋体"/>
          <w:b/>
          <w:color w:val="auto"/>
          <w:sz w:val="24"/>
          <w:szCs w:val="24"/>
          <w:highlight w:val="none"/>
          <w:lang w:eastAsia="zh-CN"/>
        </w:rPr>
        <w:t>法</w:t>
      </w:r>
      <w:r>
        <w:rPr>
          <w:rFonts w:hint="eastAsia" w:ascii="宋体" w:hAnsi="宋体" w:eastAsia="宋体" w:cs="宋体"/>
          <w:b/>
          <w:color w:val="auto"/>
          <w:sz w:val="24"/>
          <w:szCs w:val="24"/>
          <w:highlight w:val="none"/>
        </w:rPr>
        <w:t>。</w:t>
      </w:r>
    </w:p>
    <w:p w14:paraId="7C83AE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b/>
          <w:bCs/>
          <w:color w:val="auto"/>
          <w:kern w:val="10"/>
          <w:sz w:val="24"/>
          <w:szCs w:val="24"/>
          <w:highlight w:val="none"/>
        </w:rPr>
        <w:t>评审</w:t>
      </w:r>
      <w:r>
        <w:rPr>
          <w:rFonts w:hint="eastAsia" w:ascii="宋体" w:hAnsi="宋体" w:eastAsia="宋体" w:cs="宋体"/>
          <w:b/>
          <w:color w:val="auto"/>
          <w:sz w:val="24"/>
          <w:szCs w:val="24"/>
          <w:highlight w:val="none"/>
        </w:rPr>
        <w:t>程序：</w:t>
      </w:r>
    </w:p>
    <w:p w14:paraId="3B3100E2">
      <w:pPr>
        <w:pStyle w:val="3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按照以下顺序进行：“</w:t>
      </w:r>
      <w:r>
        <w:rPr>
          <w:rFonts w:hint="eastAsia" w:ascii="宋体" w:hAnsi="宋体" w:eastAsia="宋体" w:cs="宋体"/>
          <w:b/>
          <w:color w:val="auto"/>
          <w:kern w:val="2"/>
          <w:sz w:val="24"/>
          <w:szCs w:val="24"/>
          <w:highlight w:val="none"/>
        </w:rPr>
        <w:t>符合性评审→</w:t>
      </w:r>
      <w:r>
        <w:rPr>
          <w:rFonts w:hint="eastAsia" w:ascii="宋体" w:hAnsi="宋体" w:cs="宋体"/>
          <w:b/>
          <w:color w:val="auto"/>
          <w:kern w:val="2"/>
          <w:sz w:val="24"/>
          <w:szCs w:val="24"/>
          <w:highlight w:val="none"/>
          <w:lang w:val="en-US" w:eastAsia="zh-CN"/>
        </w:rPr>
        <w:t>谈判</w:t>
      </w:r>
      <w:r>
        <w:rPr>
          <w:rFonts w:hint="eastAsia" w:ascii="宋体" w:hAnsi="宋体" w:eastAsia="宋体" w:cs="宋体"/>
          <w:b/>
          <w:color w:val="auto"/>
          <w:kern w:val="2"/>
          <w:sz w:val="24"/>
          <w:szCs w:val="24"/>
          <w:highlight w:val="none"/>
        </w:rPr>
        <w:t>→第二轮报价→综合</w:t>
      </w:r>
      <w:r>
        <w:rPr>
          <w:rFonts w:hint="eastAsia" w:ascii="宋体" w:hAnsi="宋体" w:eastAsia="宋体" w:cs="宋体"/>
          <w:b/>
          <w:color w:val="auto"/>
          <w:kern w:val="2"/>
          <w:sz w:val="24"/>
          <w:szCs w:val="24"/>
          <w:highlight w:val="none"/>
          <w:lang w:val="en-US" w:eastAsia="zh-CN"/>
        </w:rPr>
        <w:t>评审</w:t>
      </w:r>
      <w:r>
        <w:rPr>
          <w:rFonts w:hint="eastAsia" w:ascii="宋体" w:hAnsi="宋体" w:eastAsia="宋体" w:cs="宋体"/>
          <w:b/>
          <w:color w:val="auto"/>
          <w:kern w:val="2"/>
          <w:sz w:val="24"/>
          <w:szCs w:val="24"/>
          <w:highlight w:val="none"/>
        </w:rPr>
        <w:t>→确定</w:t>
      </w:r>
      <w:r>
        <w:rPr>
          <w:rFonts w:hint="eastAsia" w:ascii="宋体" w:hAnsi="宋体" w:eastAsia="宋体" w:cs="宋体"/>
          <w:b/>
          <w:color w:val="auto"/>
          <w:sz w:val="24"/>
          <w:szCs w:val="24"/>
          <w:highlight w:val="none"/>
        </w:rPr>
        <w:t>成交</w:t>
      </w:r>
      <w:r>
        <w:rPr>
          <w:rFonts w:hint="eastAsia" w:ascii="宋体" w:hAnsi="宋体" w:eastAsia="宋体" w:cs="宋体"/>
          <w:b/>
          <w:color w:val="auto"/>
          <w:kern w:val="2"/>
          <w:sz w:val="24"/>
          <w:szCs w:val="24"/>
          <w:highlight w:val="none"/>
        </w:rPr>
        <w:t>供应商</w:t>
      </w:r>
      <w:r>
        <w:rPr>
          <w:rFonts w:hint="eastAsia" w:ascii="宋体" w:hAnsi="宋体" w:eastAsia="宋体" w:cs="宋体"/>
          <w:b/>
          <w:color w:val="auto"/>
          <w:kern w:val="2"/>
          <w:sz w:val="24"/>
          <w:szCs w:val="24"/>
          <w:highlight w:val="none"/>
          <w:lang w:val="en-US" w:eastAsia="zh-CN"/>
        </w:rPr>
        <w:t>及</w:t>
      </w:r>
      <w:r>
        <w:rPr>
          <w:rFonts w:hint="eastAsia" w:ascii="宋体" w:hAnsi="宋体" w:eastAsia="宋体" w:cs="宋体"/>
          <w:b/>
          <w:color w:val="auto"/>
          <w:kern w:val="2"/>
          <w:sz w:val="24"/>
          <w:szCs w:val="24"/>
          <w:highlight w:val="none"/>
        </w:rPr>
        <w:t>成交候选供应商→</w:t>
      </w:r>
      <w:r>
        <w:rPr>
          <w:rFonts w:hint="eastAsia" w:ascii="宋体" w:hAnsi="宋体" w:eastAsia="宋体" w:cs="宋体"/>
          <w:b/>
          <w:color w:val="auto"/>
          <w:sz w:val="24"/>
          <w:szCs w:val="24"/>
          <w:highlight w:val="none"/>
        </w:rPr>
        <w:t>宣布评审结果</w:t>
      </w: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highlight w:val="none"/>
        </w:rPr>
        <w:t>。</w:t>
      </w:r>
    </w:p>
    <w:p w14:paraId="622D6271">
      <w:pPr>
        <w:pStyle w:val="3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（一）符合性评审</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谈判小组</w:t>
      </w: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kern w:val="2"/>
          <w:sz w:val="24"/>
          <w:szCs w:val="24"/>
          <w:highlight w:val="none"/>
          <w:lang w:eastAsia="zh-CN"/>
        </w:rPr>
        <w:t>评审方法和标准前附表</w:t>
      </w:r>
      <w:r>
        <w:rPr>
          <w:rFonts w:hint="eastAsia" w:ascii="宋体" w:hAnsi="宋体" w:eastAsia="宋体" w:cs="宋体"/>
          <w:color w:val="auto"/>
          <w:kern w:val="2"/>
          <w:sz w:val="24"/>
          <w:szCs w:val="24"/>
          <w:highlight w:val="none"/>
          <w:lang w:val="en-US" w:eastAsia="zh-CN"/>
        </w:rPr>
        <w:t>一、二、三对供应商的响应文件进行符合性评审</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符合性评审未通过的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不得</w:t>
      </w:r>
      <w:r>
        <w:rPr>
          <w:rFonts w:hint="eastAsia" w:ascii="宋体" w:hAnsi="宋体" w:eastAsia="宋体" w:cs="宋体"/>
          <w:color w:val="auto"/>
          <w:sz w:val="24"/>
          <w:szCs w:val="24"/>
          <w:highlight w:val="none"/>
          <w:lang w:val="en-US" w:eastAsia="zh-CN"/>
        </w:rPr>
        <w:t>进入下一步评审</w:t>
      </w:r>
      <w:r>
        <w:rPr>
          <w:rFonts w:hint="eastAsia" w:ascii="宋体" w:hAnsi="宋体" w:eastAsia="宋体" w:cs="宋体"/>
          <w:color w:val="auto"/>
          <w:sz w:val="24"/>
          <w:szCs w:val="24"/>
          <w:highlight w:val="none"/>
        </w:rPr>
        <w:t>。</w:t>
      </w:r>
    </w:p>
    <w:p w14:paraId="7A0C7D5D">
      <w:pPr>
        <w:pStyle w:val="33"/>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2"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val="0"/>
          <w:color w:val="auto"/>
          <w:sz w:val="24"/>
          <w:szCs w:val="24"/>
          <w:highlight w:val="none"/>
        </w:rPr>
        <w:t>（二）谈判。</w:t>
      </w:r>
      <w:r>
        <w:rPr>
          <w:rFonts w:hint="eastAsia" w:ascii="宋体" w:hAnsi="宋体" w:eastAsia="宋体" w:cs="宋体"/>
          <w:b w:val="0"/>
          <w:bCs/>
          <w:color w:val="auto"/>
          <w:sz w:val="24"/>
          <w:szCs w:val="24"/>
          <w:highlight w:val="none"/>
        </w:rPr>
        <w:t>谈判小组所有成员集中与通过符合性评审的单一供应商分别进行谈判。各供应商的技术资料、价格和其他信息在谈判时均予以保密。</w:t>
      </w:r>
    </w:p>
    <w:p w14:paraId="5F0ED878">
      <w:pPr>
        <w:pStyle w:val="33"/>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在谈判过程中，谈判小组可以根据谈判文件和谈判情况实质性变动招标需求中的技术、服务要求以及合同草案条款，但不得变动谈判文件中的其他内容。实质性变动的内容，须经采购人代表确认。</w:t>
      </w:r>
    </w:p>
    <w:p w14:paraId="7CB1DC89">
      <w:pPr>
        <w:pStyle w:val="33"/>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对谈判文件作出的实质性变动是谈判文件的有效组成部分，谈判小组应当及时以书面形式同时通知所有参加谈判的供应商。</w:t>
      </w:r>
    </w:p>
    <w:p w14:paraId="0C302100">
      <w:pPr>
        <w:pStyle w:val="33"/>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供应商应当按照谈判文件的变动情况和谈判小组的要求重新提交响应文件，并由其法定代表人或授权代表签字或者加盖公章。由授权代表签字的，应当附法定代表人授权书。</w:t>
      </w:r>
    </w:p>
    <w:p w14:paraId="7E3CED70">
      <w:pPr>
        <w:pStyle w:val="33"/>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谈判文件能够详细列明招标标的的技术、服务要求的，谈判结束后，谈判小组应当要求所有继续参加谈判的供应商在规定时间内提交最后报价。</w:t>
      </w:r>
    </w:p>
    <w:p w14:paraId="0ECE64A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（三）第二轮报价。</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结束后，供应商现场分别填写并</w:t>
      </w:r>
      <w:r>
        <w:rPr>
          <w:rFonts w:hint="eastAsia" w:ascii="宋体" w:hAnsi="宋体" w:eastAsia="宋体" w:cs="宋体"/>
          <w:color w:val="auto"/>
          <w:sz w:val="24"/>
          <w:szCs w:val="24"/>
          <w:highlight w:val="none"/>
          <w:lang w:val="en-US" w:eastAsia="zh-CN"/>
        </w:rPr>
        <w:t>在规定时间内</w:t>
      </w:r>
      <w:r>
        <w:rPr>
          <w:rFonts w:hint="eastAsia" w:ascii="宋体" w:hAnsi="宋体" w:eastAsia="宋体" w:cs="宋体"/>
          <w:color w:val="auto"/>
          <w:sz w:val="24"/>
          <w:szCs w:val="24"/>
          <w:highlight w:val="none"/>
        </w:rPr>
        <w:t>提交《</w:t>
      </w:r>
      <w:r>
        <w:rPr>
          <w:rFonts w:hint="eastAsia" w:ascii="宋体" w:hAnsi="宋体" w:eastAsia="宋体" w:cs="宋体"/>
          <w:color w:val="auto"/>
          <w:sz w:val="24"/>
          <w:szCs w:val="24"/>
          <w:highlight w:val="none"/>
          <w:lang w:eastAsia="zh-CN"/>
        </w:rPr>
        <w:t>最终承诺报价表</w:t>
      </w:r>
      <w:r>
        <w:rPr>
          <w:rFonts w:hint="eastAsia" w:ascii="宋体" w:hAnsi="宋体" w:eastAsia="宋体" w:cs="宋体"/>
          <w:color w:val="auto"/>
          <w:sz w:val="24"/>
          <w:szCs w:val="24"/>
          <w:highlight w:val="none"/>
        </w:rPr>
        <w:t>》。</w:t>
      </w:r>
    </w:p>
    <w:p w14:paraId="1CF1E86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（四）综合</w:t>
      </w:r>
      <w:r>
        <w:rPr>
          <w:rFonts w:hint="eastAsia" w:ascii="宋体" w:hAnsi="宋体" w:eastAsia="宋体" w:cs="宋体"/>
          <w:b/>
          <w:color w:val="auto"/>
          <w:sz w:val="24"/>
          <w:szCs w:val="24"/>
          <w:highlight w:val="none"/>
          <w:lang w:val="en-US" w:eastAsia="zh-CN"/>
        </w:rPr>
        <w:t>评审</w:t>
      </w:r>
      <w:r>
        <w:rPr>
          <w:rFonts w:hint="eastAsia" w:ascii="宋体" w:hAnsi="宋体" w:eastAsia="宋体" w:cs="宋体"/>
          <w:b/>
          <w:color w:val="auto"/>
          <w:sz w:val="24"/>
          <w:szCs w:val="24"/>
          <w:highlight w:val="none"/>
        </w:rPr>
        <w:t>。</w:t>
      </w:r>
      <w:r>
        <w:rPr>
          <w:rFonts w:hint="eastAsia" w:ascii="宋体" w:hAnsi="宋体" w:cs="宋体"/>
          <w:b w:val="0"/>
          <w:bCs/>
          <w:color w:val="auto"/>
          <w:sz w:val="24"/>
          <w:szCs w:val="24"/>
          <w:highlight w:val="none"/>
          <w:lang w:val="en-US" w:eastAsia="zh-CN"/>
        </w:rPr>
        <w:t>谈判小组</w:t>
      </w:r>
      <w:r>
        <w:rPr>
          <w:rFonts w:hint="eastAsia" w:ascii="宋体" w:hAnsi="宋体" w:eastAsia="宋体" w:cs="宋体"/>
          <w:b w:val="0"/>
          <w:bCs/>
          <w:color w:val="auto"/>
          <w:sz w:val="24"/>
          <w:szCs w:val="24"/>
          <w:highlight w:val="none"/>
          <w:lang w:val="en-US" w:eastAsia="zh-CN"/>
        </w:rPr>
        <w:t>按</w:t>
      </w:r>
      <w:r>
        <w:rPr>
          <w:rFonts w:hint="eastAsia" w:ascii="宋体" w:hAnsi="宋体" w:eastAsia="宋体" w:cs="宋体"/>
          <w:b w:val="0"/>
          <w:bCs/>
          <w:color w:val="auto"/>
          <w:sz w:val="24"/>
          <w:szCs w:val="24"/>
          <w:highlight w:val="none"/>
        </w:rPr>
        <w:t>评审方法和标准前附表四</w:t>
      </w:r>
      <w:r>
        <w:rPr>
          <w:rFonts w:hint="eastAsia" w:ascii="宋体" w:hAnsi="宋体" w:eastAsia="宋体" w:cs="宋体"/>
          <w:b w:val="0"/>
          <w:bCs/>
          <w:color w:val="auto"/>
          <w:sz w:val="24"/>
          <w:szCs w:val="24"/>
          <w:highlight w:val="none"/>
          <w:lang w:val="en-US" w:eastAsia="zh-CN"/>
        </w:rPr>
        <w:t>内容进行综合评审</w:t>
      </w:r>
      <w:r>
        <w:rPr>
          <w:rFonts w:hint="eastAsia" w:ascii="宋体" w:hAnsi="宋体" w:eastAsia="宋体" w:cs="宋体"/>
          <w:color w:val="auto"/>
          <w:sz w:val="24"/>
          <w:szCs w:val="24"/>
          <w:highlight w:val="none"/>
        </w:rPr>
        <w:t>。</w:t>
      </w:r>
    </w:p>
    <w:p w14:paraId="64A864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5AD1D7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得分汇总</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将每个有效</w:t>
      </w:r>
      <w:r>
        <w:rPr>
          <w:rFonts w:hint="eastAsia" w:ascii="宋体" w:hAnsi="宋体" w:cs="宋体"/>
          <w:b w:val="0"/>
          <w:bCs w:val="0"/>
          <w:color w:val="auto"/>
          <w:sz w:val="24"/>
          <w:szCs w:val="24"/>
          <w:highlight w:val="none"/>
          <w:lang w:eastAsia="zh-CN"/>
        </w:rPr>
        <w:t>谈判</w:t>
      </w:r>
      <w:r>
        <w:rPr>
          <w:rFonts w:hint="eastAsia" w:ascii="宋体" w:hAnsi="宋体" w:eastAsia="宋体" w:cs="宋体"/>
          <w:b w:val="0"/>
          <w:bCs w:val="0"/>
          <w:color w:val="auto"/>
          <w:sz w:val="24"/>
          <w:szCs w:val="24"/>
          <w:highlight w:val="none"/>
        </w:rPr>
        <w:t>供应商的技术标分之和加上</w:t>
      </w:r>
      <w:r>
        <w:rPr>
          <w:rFonts w:hint="eastAsia" w:ascii="宋体" w:hAnsi="宋体" w:eastAsia="宋体" w:cs="宋体"/>
          <w:b w:val="0"/>
          <w:bCs w:val="0"/>
          <w:color w:val="auto"/>
          <w:sz w:val="24"/>
          <w:szCs w:val="24"/>
          <w:highlight w:val="none"/>
          <w:lang w:val="en-US" w:eastAsia="zh-CN"/>
        </w:rPr>
        <w:t>价格分计算标准</w:t>
      </w:r>
      <w:r>
        <w:rPr>
          <w:rFonts w:hint="eastAsia" w:ascii="宋体" w:hAnsi="宋体" w:eastAsia="宋体" w:cs="宋体"/>
          <w:b w:val="0"/>
          <w:bCs w:val="0"/>
          <w:color w:val="auto"/>
          <w:sz w:val="24"/>
          <w:szCs w:val="24"/>
          <w:highlight w:val="none"/>
        </w:rPr>
        <w:t>计算出的价格分，即为该</w:t>
      </w:r>
      <w:r>
        <w:rPr>
          <w:rFonts w:hint="eastAsia" w:ascii="宋体" w:hAnsi="宋体" w:cs="宋体"/>
          <w:b w:val="0"/>
          <w:bCs w:val="0"/>
          <w:color w:val="auto"/>
          <w:sz w:val="24"/>
          <w:szCs w:val="24"/>
          <w:highlight w:val="none"/>
          <w:lang w:eastAsia="zh-CN"/>
        </w:rPr>
        <w:t>谈判</w:t>
      </w:r>
      <w:r>
        <w:rPr>
          <w:rFonts w:hint="eastAsia" w:ascii="宋体" w:hAnsi="宋体" w:eastAsia="宋体" w:cs="宋体"/>
          <w:b w:val="0"/>
          <w:bCs w:val="0"/>
          <w:color w:val="auto"/>
          <w:sz w:val="24"/>
          <w:szCs w:val="24"/>
          <w:highlight w:val="none"/>
        </w:rPr>
        <w:t>供应商的综合总得分。</w:t>
      </w:r>
    </w:p>
    <w:p w14:paraId="186EBB0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）确定成交供应商及成交候选供应商。</w:t>
      </w:r>
      <w:r>
        <w:rPr>
          <w:rFonts w:hint="eastAsia" w:ascii="宋体" w:hAnsi="宋体" w:cs="宋体"/>
          <w:snapToGrid w:val="0"/>
          <w:color w:val="auto"/>
          <w:kern w:val="0"/>
          <w:sz w:val="24"/>
          <w:szCs w:val="24"/>
          <w:highlight w:val="none"/>
          <w:lang w:eastAsia="zh-CN"/>
        </w:rPr>
        <w:t>谈判小组</w:t>
      </w:r>
      <w:r>
        <w:rPr>
          <w:rFonts w:hint="eastAsia" w:ascii="宋体" w:hAnsi="宋体" w:eastAsia="宋体" w:cs="宋体"/>
          <w:snapToGrid w:val="0"/>
          <w:color w:val="auto"/>
          <w:kern w:val="0"/>
          <w:sz w:val="24"/>
          <w:szCs w:val="24"/>
          <w:highlight w:val="none"/>
          <w:lang w:eastAsia="zh-CN"/>
        </w:rPr>
        <w:t>按照有效</w:t>
      </w:r>
      <w:r>
        <w:rPr>
          <w:rFonts w:hint="eastAsia" w:ascii="宋体" w:hAnsi="宋体" w:cs="宋体"/>
          <w:snapToGrid w:val="0"/>
          <w:color w:val="auto"/>
          <w:kern w:val="0"/>
          <w:sz w:val="24"/>
          <w:szCs w:val="24"/>
          <w:highlight w:val="none"/>
          <w:lang w:eastAsia="zh-CN"/>
        </w:rPr>
        <w:t>谈判</w:t>
      </w:r>
      <w:r>
        <w:rPr>
          <w:rFonts w:hint="eastAsia" w:ascii="宋体" w:hAnsi="宋体" w:eastAsia="宋体" w:cs="宋体"/>
          <w:snapToGrid w:val="0"/>
          <w:color w:val="auto"/>
          <w:kern w:val="0"/>
          <w:sz w:val="24"/>
          <w:szCs w:val="24"/>
          <w:highlight w:val="none"/>
          <w:lang w:eastAsia="zh-CN"/>
        </w:rPr>
        <w:t>供应商综合总得分由高到低依次排出成交供应商及成交候选供应商。如果出现多家供应商综合总得分相同时，谈判小组将采取抽签的方式确定排序。</w:t>
      </w:r>
    </w:p>
    <w:p w14:paraId="4747F37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color w:val="auto"/>
          <w:szCs w:val="21"/>
          <w:highlight w:val="none"/>
        </w:rPr>
      </w:pPr>
      <w:r>
        <w:rPr>
          <w:rFonts w:hint="eastAsia" w:ascii="宋体" w:hAnsi="宋体" w:eastAsia="宋体" w:cs="宋体"/>
          <w:b/>
          <w:color w:val="auto"/>
          <w:sz w:val="24"/>
          <w:szCs w:val="24"/>
          <w:highlight w:val="none"/>
        </w:rPr>
        <w:t>（六）宣布评审结果。</w:t>
      </w:r>
      <w:r>
        <w:rPr>
          <w:rFonts w:hint="eastAsia" w:ascii="宋体" w:hAnsi="宋体" w:cs="宋体"/>
          <w:snapToGrid w:val="0"/>
          <w:color w:val="auto"/>
          <w:kern w:val="0"/>
          <w:sz w:val="24"/>
          <w:szCs w:val="24"/>
          <w:highlight w:val="none"/>
          <w:lang w:val="en-US" w:eastAsia="zh-CN"/>
        </w:rPr>
        <w:t>谈判</w:t>
      </w:r>
      <w:r>
        <w:rPr>
          <w:rFonts w:hint="eastAsia" w:ascii="宋体" w:hAnsi="宋体" w:eastAsia="宋体" w:cs="宋体"/>
          <w:snapToGrid w:val="0"/>
          <w:color w:val="auto"/>
          <w:kern w:val="0"/>
          <w:sz w:val="24"/>
          <w:szCs w:val="24"/>
          <w:highlight w:val="none"/>
          <w:lang w:eastAsia="zh-CN"/>
        </w:rPr>
        <w:t>主持人</w:t>
      </w:r>
      <w:r>
        <w:rPr>
          <w:rFonts w:hint="eastAsia" w:ascii="宋体" w:hAnsi="宋体" w:eastAsia="宋体" w:cs="宋体"/>
          <w:snapToGrid w:val="0"/>
          <w:color w:val="auto"/>
          <w:kern w:val="0"/>
          <w:sz w:val="24"/>
          <w:szCs w:val="24"/>
          <w:highlight w:val="none"/>
          <w:lang w:val="en-US" w:eastAsia="zh-CN"/>
        </w:rPr>
        <w:t>现场宣布</w:t>
      </w:r>
      <w:r>
        <w:rPr>
          <w:rFonts w:hint="eastAsia" w:ascii="宋体" w:hAnsi="宋体" w:eastAsia="宋体" w:cs="宋体"/>
          <w:snapToGrid w:val="0"/>
          <w:color w:val="auto"/>
          <w:kern w:val="0"/>
          <w:sz w:val="24"/>
          <w:szCs w:val="24"/>
          <w:highlight w:val="none"/>
          <w:lang w:eastAsia="zh-CN"/>
        </w:rPr>
        <w:t>评审结果。</w:t>
      </w:r>
    </w:p>
    <w:p w14:paraId="0EB972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aps/>
          <w:color w:val="auto"/>
          <w:kern w:val="2"/>
          <w:szCs w:val="30"/>
          <w:highlight w:val="none"/>
          <w:lang w:val="zh-CN"/>
        </w:rPr>
      </w:pPr>
      <w:r>
        <w:rPr>
          <w:rFonts w:hint="eastAsia" w:ascii="宋体" w:hAnsi="宋体" w:cs="宋体"/>
          <w:caps/>
          <w:color w:val="auto"/>
          <w:kern w:val="2"/>
          <w:szCs w:val="30"/>
          <w:highlight w:val="none"/>
          <w:lang w:val="zh-CN"/>
        </w:rPr>
        <w:br w:type="page"/>
      </w:r>
    </w:p>
    <w:p w14:paraId="794A071F">
      <w:pPr>
        <w:pStyle w:val="2"/>
        <w:keepNext/>
        <w:keepLines w:val="0"/>
        <w:pageBreakBefore w:val="0"/>
        <w:widowControl w:val="0"/>
        <w:kinsoku/>
        <w:wordWrap/>
        <w:overflowPunct/>
        <w:topLinePunct w:val="0"/>
        <w:autoSpaceDE/>
        <w:autoSpaceDN/>
        <w:bidi w:val="0"/>
        <w:adjustRightInd w:val="0"/>
        <w:snapToGrid w:val="0"/>
        <w:spacing w:before="0" w:after="0" w:line="480" w:lineRule="auto"/>
        <w:jc w:val="center"/>
        <w:textAlignment w:val="auto"/>
        <w:rPr>
          <w:rFonts w:hint="eastAsia" w:ascii="宋体" w:hAnsi="宋体" w:cs="宋体"/>
          <w:b/>
          <w:bCs/>
          <w:caps/>
          <w:color w:val="auto"/>
          <w:kern w:val="2"/>
          <w:sz w:val="30"/>
          <w:szCs w:val="30"/>
          <w:highlight w:val="none"/>
          <w:lang w:val="zh-CN"/>
        </w:rPr>
      </w:pPr>
      <w:bookmarkStart w:id="59" w:name="_Toc32513"/>
      <w:r>
        <w:rPr>
          <w:rFonts w:hint="eastAsia" w:ascii="宋体" w:hAnsi="宋体" w:cs="宋体"/>
          <w:b/>
          <w:bCs/>
          <w:caps/>
          <w:color w:val="auto"/>
          <w:kern w:val="2"/>
          <w:sz w:val="32"/>
          <w:szCs w:val="32"/>
          <w:highlight w:val="none"/>
          <w:lang w:val="zh-CN"/>
        </w:rPr>
        <w:t>第</w:t>
      </w:r>
      <w:r>
        <w:rPr>
          <w:rFonts w:hint="eastAsia" w:ascii="宋体" w:hAnsi="宋体" w:cs="宋体"/>
          <w:b/>
          <w:bCs/>
          <w:caps/>
          <w:color w:val="auto"/>
          <w:kern w:val="2"/>
          <w:sz w:val="32"/>
          <w:szCs w:val="32"/>
          <w:highlight w:val="none"/>
          <w:lang w:val="en-US" w:eastAsia="zh-CN"/>
        </w:rPr>
        <w:t>六</w:t>
      </w:r>
      <w:r>
        <w:rPr>
          <w:rFonts w:hint="eastAsia" w:ascii="宋体" w:hAnsi="宋体" w:cs="宋体"/>
          <w:b/>
          <w:bCs/>
          <w:caps/>
          <w:color w:val="auto"/>
          <w:kern w:val="2"/>
          <w:sz w:val="32"/>
          <w:szCs w:val="32"/>
          <w:highlight w:val="none"/>
          <w:lang w:val="zh-CN"/>
        </w:rPr>
        <w:t>章  谈判响应文件格式</w:t>
      </w:r>
      <w:bookmarkEnd w:id="56"/>
      <w:bookmarkEnd w:id="59"/>
    </w:p>
    <w:p w14:paraId="2684B2D4">
      <w:pPr>
        <w:spacing w:before="0" w:after="0" w:line="440" w:lineRule="exact"/>
        <w:jc w:val="center"/>
        <w:outlineLvl w:val="9"/>
        <w:rPr>
          <w:rFonts w:hint="eastAsia" w:ascii="宋体" w:hAnsi="宋体" w:cs="宋体"/>
          <w:color w:val="auto"/>
          <w:kern w:val="2"/>
          <w:szCs w:val="30"/>
          <w:highlight w:val="none"/>
        </w:rPr>
      </w:pPr>
    </w:p>
    <w:p w14:paraId="3B1937E6">
      <w:pPr>
        <w:adjustRightInd w:val="0"/>
        <w:snapToGrid w:val="0"/>
        <w:spacing w:line="320" w:lineRule="auto"/>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u w:val="single"/>
          <w:lang w:val="en-US" w:eastAsia="zh-CN"/>
        </w:rPr>
        <w:t xml:space="preserve">                        </w:t>
      </w:r>
      <w:r>
        <w:rPr>
          <w:rFonts w:hint="eastAsia" w:ascii="宋体" w:hAnsi="宋体" w:cs="宋体"/>
          <w:b/>
          <w:bCs/>
          <w:color w:val="auto"/>
          <w:sz w:val="36"/>
          <w:szCs w:val="36"/>
          <w:highlight w:val="none"/>
          <w:lang w:eastAsia="zh-CN"/>
        </w:rPr>
        <w:t>项目竞争谈判</w:t>
      </w:r>
    </w:p>
    <w:p w14:paraId="01512187">
      <w:pPr>
        <w:adjustRightInd w:val="0"/>
        <w:snapToGrid w:val="0"/>
        <w:spacing w:line="320" w:lineRule="auto"/>
        <w:jc w:val="center"/>
        <w:rPr>
          <w:rFonts w:hint="eastAsia" w:ascii="宋体" w:hAnsi="宋体" w:cs="宋体"/>
          <w:color w:val="auto"/>
          <w:sz w:val="36"/>
          <w:szCs w:val="36"/>
          <w:highlight w:val="none"/>
        </w:rPr>
      </w:pPr>
    </w:p>
    <w:p w14:paraId="6C118417">
      <w:pPr>
        <w:adjustRightInd w:val="0"/>
        <w:snapToGrid w:val="0"/>
        <w:spacing w:line="320" w:lineRule="auto"/>
        <w:jc w:val="center"/>
        <w:rPr>
          <w:rFonts w:hint="eastAsia" w:ascii="宋体" w:hAnsi="宋体" w:cs="宋体"/>
          <w:b/>
          <w:bCs/>
          <w:color w:val="auto"/>
          <w:sz w:val="36"/>
          <w:szCs w:val="36"/>
          <w:highlight w:val="none"/>
        </w:rPr>
      </w:pPr>
    </w:p>
    <w:p w14:paraId="2335E911">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响</w:t>
      </w:r>
    </w:p>
    <w:p w14:paraId="1F31C5EC">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应</w:t>
      </w:r>
    </w:p>
    <w:p w14:paraId="47DC3C4E">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文</w:t>
      </w:r>
    </w:p>
    <w:p w14:paraId="342216AF">
      <w:pPr>
        <w:adjustRightInd w:val="0"/>
        <w:snapToGrid w:val="0"/>
        <w:spacing w:line="32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件</w:t>
      </w:r>
    </w:p>
    <w:p w14:paraId="302C55FB">
      <w:pPr>
        <w:adjustRightInd w:val="0"/>
        <w:snapToGrid w:val="0"/>
        <w:spacing w:line="320" w:lineRule="auto"/>
        <w:rPr>
          <w:rFonts w:hint="eastAsia" w:ascii="宋体" w:hAnsi="宋体" w:cs="宋体"/>
          <w:color w:val="auto"/>
          <w:szCs w:val="21"/>
          <w:highlight w:val="none"/>
        </w:rPr>
      </w:pPr>
    </w:p>
    <w:p w14:paraId="5C6769CF">
      <w:pPr>
        <w:spacing w:line="500" w:lineRule="exact"/>
        <w:rPr>
          <w:rFonts w:hint="eastAsia" w:ascii="宋体" w:hAnsi="宋体" w:cs="宋体"/>
          <w:color w:val="auto"/>
          <w:sz w:val="28"/>
          <w:szCs w:val="28"/>
          <w:highlight w:val="none"/>
        </w:rPr>
      </w:pPr>
    </w:p>
    <w:p w14:paraId="22848BCE">
      <w:pPr>
        <w:spacing w:line="500" w:lineRule="exact"/>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项目编号：</w:t>
      </w:r>
    </w:p>
    <w:p w14:paraId="69EBDDD9">
      <w:pPr>
        <w:adjustRightInd w:val="0"/>
        <w:snapToGrid w:val="0"/>
        <w:spacing w:line="320" w:lineRule="auto"/>
        <w:rPr>
          <w:rFonts w:hint="eastAsia" w:ascii="宋体" w:hAnsi="宋体" w:cs="宋体"/>
          <w:b/>
          <w:color w:val="auto"/>
          <w:spacing w:val="26"/>
          <w:szCs w:val="21"/>
          <w:highlight w:val="none"/>
        </w:rPr>
      </w:pPr>
    </w:p>
    <w:p w14:paraId="4051C4ED">
      <w:pPr>
        <w:adjustRightInd w:val="0"/>
        <w:snapToGrid w:val="0"/>
        <w:spacing w:line="320" w:lineRule="auto"/>
        <w:ind w:firstLine="1577" w:firstLineChars="600"/>
        <w:rPr>
          <w:rFonts w:hint="eastAsia" w:ascii="宋体" w:hAnsi="宋体" w:cs="宋体"/>
          <w:b/>
          <w:color w:val="auto"/>
          <w:spacing w:val="26"/>
          <w:szCs w:val="21"/>
          <w:highlight w:val="none"/>
        </w:rPr>
      </w:pPr>
    </w:p>
    <w:p w14:paraId="3D04BB43">
      <w:pPr>
        <w:adjustRightInd w:val="0"/>
        <w:snapToGrid w:val="0"/>
        <w:spacing w:line="320" w:lineRule="auto"/>
        <w:ind w:firstLine="1577" w:firstLineChars="600"/>
        <w:rPr>
          <w:rFonts w:hint="eastAsia" w:ascii="宋体" w:hAnsi="宋体" w:cs="宋体"/>
          <w:b/>
          <w:color w:val="auto"/>
          <w:spacing w:val="26"/>
          <w:szCs w:val="21"/>
          <w:highlight w:val="none"/>
        </w:rPr>
      </w:pPr>
    </w:p>
    <w:p w14:paraId="0C383AC4">
      <w:pPr>
        <w:spacing w:line="500" w:lineRule="exact"/>
        <w:jc w:val="center"/>
        <w:rPr>
          <w:rFonts w:hint="eastAsia" w:ascii="宋体" w:hAnsi="宋体" w:cs="宋体"/>
          <w:b/>
          <w:color w:val="auto"/>
          <w:sz w:val="28"/>
          <w:szCs w:val="28"/>
          <w:highlight w:val="none"/>
        </w:rPr>
      </w:pPr>
    </w:p>
    <w:p w14:paraId="44BDE8D4">
      <w:pPr>
        <w:spacing w:line="500" w:lineRule="exact"/>
        <w:jc w:val="center"/>
        <w:rPr>
          <w:rFonts w:hint="eastAsia" w:ascii="宋体" w:hAnsi="宋体" w:cs="宋体"/>
          <w:b/>
          <w:color w:val="auto"/>
          <w:sz w:val="28"/>
          <w:szCs w:val="28"/>
          <w:highlight w:val="none"/>
        </w:rPr>
      </w:pPr>
    </w:p>
    <w:p w14:paraId="1690924B">
      <w:pPr>
        <w:spacing w:line="500" w:lineRule="exact"/>
        <w:jc w:val="center"/>
        <w:rPr>
          <w:rFonts w:hint="eastAsia" w:ascii="宋体" w:hAnsi="宋体" w:cs="宋体"/>
          <w:b/>
          <w:color w:val="auto"/>
          <w:sz w:val="28"/>
          <w:szCs w:val="28"/>
          <w:highlight w:val="none"/>
        </w:rPr>
      </w:pPr>
    </w:p>
    <w:p w14:paraId="46AB9521">
      <w:pPr>
        <w:spacing w:line="500" w:lineRule="exact"/>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供应商：</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（盖单位章）</w:t>
      </w:r>
      <w:r>
        <w:rPr>
          <w:rFonts w:hint="eastAsia" w:ascii="宋体" w:hAnsi="宋体" w:cs="宋体"/>
          <w:b/>
          <w:color w:val="auto"/>
          <w:sz w:val="28"/>
          <w:szCs w:val="28"/>
          <w:highlight w:val="none"/>
          <w:lang w:eastAsia="zh-CN"/>
        </w:rPr>
        <w:t>（正本</w:t>
      </w:r>
      <w:r>
        <w:rPr>
          <w:rFonts w:hint="eastAsia" w:ascii="宋体" w:hAnsi="宋体" w:cs="宋体"/>
          <w:b/>
          <w:color w:val="auto"/>
          <w:sz w:val="28"/>
          <w:szCs w:val="28"/>
          <w:highlight w:val="none"/>
          <w:lang w:val="en-US" w:eastAsia="zh-CN"/>
        </w:rPr>
        <w:t>/副本</w:t>
      </w:r>
      <w:r>
        <w:rPr>
          <w:rFonts w:hint="eastAsia" w:ascii="宋体" w:hAnsi="宋体" w:cs="宋体"/>
          <w:b/>
          <w:color w:val="auto"/>
          <w:sz w:val="28"/>
          <w:szCs w:val="28"/>
          <w:highlight w:val="none"/>
          <w:lang w:eastAsia="zh-CN"/>
        </w:rPr>
        <w:t>）</w:t>
      </w:r>
    </w:p>
    <w:p w14:paraId="62066C94">
      <w:pPr>
        <w:spacing w:line="500" w:lineRule="exact"/>
        <w:jc w:val="center"/>
        <w:rPr>
          <w:rFonts w:hint="eastAsia" w:ascii="宋体" w:hAnsi="宋体" w:cs="宋体"/>
          <w:b/>
          <w:color w:val="auto"/>
          <w:sz w:val="28"/>
          <w:szCs w:val="28"/>
          <w:highlight w:val="none"/>
        </w:rPr>
      </w:pPr>
    </w:p>
    <w:p w14:paraId="208DF22C">
      <w:pPr>
        <w:spacing w:line="50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法定代表人或其委托代理人：</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（签字或盖章）</w:t>
      </w:r>
    </w:p>
    <w:p w14:paraId="271E55D6">
      <w:pPr>
        <w:spacing w:line="440" w:lineRule="exact"/>
        <w:rPr>
          <w:rFonts w:hint="eastAsia" w:ascii="宋体" w:hAnsi="宋体" w:cs="宋体"/>
          <w:b/>
          <w:color w:val="auto"/>
          <w:sz w:val="28"/>
          <w:szCs w:val="28"/>
          <w:highlight w:val="none"/>
        </w:rPr>
      </w:pPr>
    </w:p>
    <w:p w14:paraId="12F2269E">
      <w:pPr>
        <w:spacing w:line="440" w:lineRule="exact"/>
        <w:jc w:val="center"/>
        <w:rPr>
          <w:rFonts w:hint="eastAsia" w:ascii="宋体" w:hAnsi="宋体" w:cs="宋体"/>
          <w:b/>
          <w:color w:val="auto"/>
          <w:sz w:val="28"/>
          <w:szCs w:val="28"/>
          <w:highlight w:val="none"/>
        </w:rPr>
      </w:pPr>
    </w:p>
    <w:p w14:paraId="575AAA9C">
      <w:pPr>
        <w:spacing w:line="440" w:lineRule="exact"/>
        <w:jc w:val="center"/>
        <w:rPr>
          <w:rFonts w:hint="eastAsia" w:ascii="宋体" w:hAnsi="宋体" w:cs="宋体"/>
          <w:b/>
          <w:color w:val="auto"/>
          <w:kern w:val="10"/>
          <w:sz w:val="32"/>
          <w:szCs w:val="32"/>
          <w:highlight w:val="none"/>
        </w:rPr>
      </w:pP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 xml:space="preserve">年 </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月</w:t>
      </w:r>
      <w:r>
        <w:rPr>
          <w:rFonts w:hint="eastAsia" w:ascii="宋体" w:hAnsi="宋体" w:cs="宋体"/>
          <w:b/>
          <w:color w:val="auto"/>
          <w:sz w:val="28"/>
          <w:szCs w:val="28"/>
          <w:highlight w:val="none"/>
          <w:u w:val="single"/>
        </w:rPr>
        <w:t xml:space="preserve">    </w:t>
      </w:r>
      <w:r>
        <w:rPr>
          <w:rFonts w:hint="eastAsia" w:ascii="宋体" w:hAnsi="宋体" w:cs="宋体"/>
          <w:b/>
          <w:color w:val="auto"/>
          <w:sz w:val="28"/>
          <w:szCs w:val="28"/>
          <w:highlight w:val="none"/>
        </w:rPr>
        <w:t>日</w:t>
      </w:r>
    </w:p>
    <w:p w14:paraId="01B706D9">
      <w:pPr>
        <w:adjustRightInd w:val="0"/>
        <w:snapToGrid w:val="0"/>
        <w:spacing w:line="320" w:lineRule="auto"/>
        <w:jc w:val="center"/>
        <w:rPr>
          <w:rFonts w:hint="eastAsia" w:ascii="宋体" w:hAnsi="宋体" w:cs="宋体"/>
          <w:b/>
          <w:color w:val="auto"/>
          <w:kern w:val="10"/>
          <w:szCs w:val="21"/>
          <w:highlight w:val="none"/>
        </w:rPr>
      </w:pPr>
    </w:p>
    <w:p w14:paraId="04048DF2">
      <w:pPr>
        <w:adjustRightInd w:val="0"/>
        <w:snapToGrid w:val="0"/>
        <w:spacing w:line="320" w:lineRule="auto"/>
        <w:rPr>
          <w:rFonts w:hint="eastAsia" w:ascii="宋体" w:hAnsi="宋体" w:cs="宋体"/>
          <w:b/>
          <w:bCs/>
          <w:color w:val="auto"/>
          <w:szCs w:val="21"/>
          <w:highlight w:val="none"/>
        </w:rPr>
      </w:pPr>
    </w:p>
    <w:p w14:paraId="5600DD97">
      <w:pPr>
        <w:spacing w:before="0" w:after="0" w:line="440" w:lineRule="exact"/>
        <w:jc w:val="center"/>
        <w:outlineLvl w:val="1"/>
        <w:rPr>
          <w:rFonts w:hint="eastAsia" w:ascii="宋体" w:hAnsi="宋体" w:cs="宋体"/>
          <w:b/>
          <w:bCs/>
          <w:color w:val="auto"/>
          <w:sz w:val="30"/>
          <w:szCs w:val="30"/>
          <w:highlight w:val="none"/>
        </w:rPr>
      </w:pPr>
      <w:r>
        <w:rPr>
          <w:rFonts w:hint="eastAsia" w:ascii="宋体" w:hAnsi="宋体" w:cs="宋体"/>
          <w:caps/>
          <w:color w:val="auto"/>
          <w:kern w:val="2"/>
          <w:szCs w:val="30"/>
          <w:highlight w:val="none"/>
          <w:lang w:val="zh-CN"/>
        </w:rPr>
        <w:br w:type="page"/>
      </w:r>
      <w:bookmarkEnd w:id="57"/>
      <w:bookmarkEnd w:id="58"/>
      <w:r>
        <w:rPr>
          <w:rFonts w:hint="eastAsia" w:ascii="宋体" w:hAnsi="宋体" w:cs="宋体"/>
          <w:b/>
          <w:bCs/>
          <w:caps/>
          <w:color w:val="auto"/>
          <w:kern w:val="2"/>
          <w:sz w:val="30"/>
          <w:szCs w:val="30"/>
          <w:highlight w:val="none"/>
          <w:lang w:val="zh-CN"/>
        </w:rPr>
        <w:t>目</w:t>
      </w:r>
      <w:r>
        <w:rPr>
          <w:rFonts w:hint="eastAsia" w:ascii="宋体" w:hAnsi="宋体" w:cs="宋体"/>
          <w:b/>
          <w:bCs/>
          <w:caps/>
          <w:color w:val="auto"/>
          <w:kern w:val="2"/>
          <w:sz w:val="30"/>
          <w:szCs w:val="30"/>
          <w:highlight w:val="none"/>
        </w:rPr>
        <w:t xml:space="preserve">  </w:t>
      </w:r>
      <w:r>
        <w:rPr>
          <w:rFonts w:hint="eastAsia" w:ascii="宋体" w:hAnsi="宋体" w:cs="宋体"/>
          <w:b/>
          <w:bCs/>
          <w:caps/>
          <w:color w:val="auto"/>
          <w:kern w:val="2"/>
          <w:sz w:val="30"/>
          <w:szCs w:val="30"/>
          <w:highlight w:val="none"/>
          <w:lang w:val="zh-CN"/>
        </w:rPr>
        <w:t>录</w:t>
      </w:r>
    </w:p>
    <w:p w14:paraId="302E7A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31F2E0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w:t>
      </w:r>
      <w:r>
        <w:rPr>
          <w:rFonts w:hint="eastAsia" w:ascii="宋体" w:hAnsi="宋体" w:cs="宋体"/>
          <w:color w:val="auto"/>
          <w:sz w:val="24"/>
          <w:szCs w:val="24"/>
          <w:highlight w:val="none"/>
          <w:lang w:val="en-US" w:eastAsia="zh-CN"/>
        </w:rPr>
        <w:t>项目报价书</w:t>
      </w:r>
    </w:p>
    <w:p w14:paraId="316040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供应商基本情况</w:t>
      </w:r>
    </w:p>
    <w:p w14:paraId="5AE7D4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eastAsia="zh-CN"/>
        </w:rPr>
        <w:t>、谈判响应函</w:t>
      </w:r>
    </w:p>
    <w:p w14:paraId="75E261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、谈判授权书</w:t>
      </w:r>
    </w:p>
    <w:p w14:paraId="729570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、资格审查证明材料</w:t>
      </w:r>
    </w:p>
    <w:p w14:paraId="040A54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、响应情况表</w:t>
      </w:r>
    </w:p>
    <w:p w14:paraId="78DD55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、其他资料</w:t>
      </w:r>
    </w:p>
    <w:p w14:paraId="759853E6">
      <w:pPr>
        <w:rPr>
          <w:rFonts w:hint="eastAsia" w:ascii="宋体" w:hAnsi="宋体" w:cs="宋体"/>
          <w:color w:val="auto"/>
          <w:kern w:val="2"/>
          <w:sz w:val="30"/>
          <w:szCs w:val="30"/>
          <w:highlight w:val="none"/>
          <w:lang w:val="en-US" w:eastAsia="zh-CN"/>
        </w:rPr>
      </w:pPr>
      <w:r>
        <w:rPr>
          <w:rFonts w:hint="eastAsia" w:ascii="宋体" w:hAnsi="宋体" w:cs="宋体"/>
          <w:color w:val="auto"/>
          <w:kern w:val="2"/>
          <w:sz w:val="30"/>
          <w:szCs w:val="30"/>
          <w:highlight w:val="none"/>
          <w:lang w:val="en-US" w:eastAsia="zh-CN"/>
        </w:rPr>
        <w:br w:type="page"/>
      </w:r>
    </w:p>
    <w:p w14:paraId="45D4C63D">
      <w:pPr>
        <w:jc w:val="center"/>
        <w:outlineLvl w:val="1"/>
        <w:rPr>
          <w:rFonts w:hint="eastAsia" w:ascii="黑体" w:hAnsi="黑体" w:eastAsia="黑体" w:cs="黑体"/>
          <w:b/>
          <w:bCs/>
          <w:color w:val="auto"/>
          <w:kern w:val="2"/>
          <w:sz w:val="30"/>
          <w:szCs w:val="30"/>
          <w:highlight w:val="none"/>
          <w:lang w:val="en-US" w:eastAsia="zh-CN"/>
        </w:rPr>
      </w:pPr>
      <w:r>
        <w:rPr>
          <w:rFonts w:hint="eastAsia" w:ascii="黑体" w:hAnsi="黑体" w:eastAsia="黑体" w:cs="黑体"/>
          <w:b/>
          <w:bCs/>
          <w:color w:val="auto"/>
          <w:kern w:val="2"/>
          <w:sz w:val="30"/>
          <w:szCs w:val="30"/>
          <w:highlight w:val="none"/>
          <w:lang w:val="en-US" w:eastAsia="zh-CN"/>
        </w:rPr>
        <w:t>一、项目报价书</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0091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471" w:type="dxa"/>
            <w:tcBorders>
              <w:top w:val="single" w:color="auto" w:sz="4" w:space="0"/>
              <w:bottom w:val="single" w:color="auto" w:sz="4" w:space="0"/>
              <w:right w:val="single" w:color="auto" w:sz="4" w:space="0"/>
            </w:tcBorders>
            <w:vAlign w:val="center"/>
          </w:tcPr>
          <w:p w14:paraId="651F4AA8">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667" w:type="dxa"/>
            <w:tcBorders>
              <w:top w:val="single" w:color="auto" w:sz="4" w:space="0"/>
              <w:bottom w:val="single" w:color="auto" w:sz="4" w:space="0"/>
              <w:right w:val="single" w:color="auto" w:sz="4" w:space="0"/>
            </w:tcBorders>
            <w:vAlign w:val="center"/>
          </w:tcPr>
          <w:p w14:paraId="31E7EBFE">
            <w:pPr>
              <w:spacing w:line="360" w:lineRule="exact"/>
              <w:jc w:val="center"/>
              <w:rPr>
                <w:rFonts w:ascii="宋体" w:hAnsi="宋体" w:cs="宋体"/>
                <w:bCs/>
                <w:color w:val="auto"/>
                <w:sz w:val="24"/>
                <w:highlight w:val="none"/>
                <w:u w:val="single"/>
              </w:rPr>
            </w:pPr>
          </w:p>
        </w:tc>
      </w:tr>
      <w:tr w14:paraId="5C42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471" w:type="dxa"/>
            <w:tcBorders>
              <w:top w:val="nil"/>
            </w:tcBorders>
            <w:vAlign w:val="center"/>
          </w:tcPr>
          <w:p w14:paraId="3A7BFBE9">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项目编号</w:t>
            </w:r>
          </w:p>
        </w:tc>
        <w:tc>
          <w:tcPr>
            <w:tcW w:w="6667" w:type="dxa"/>
            <w:tcBorders>
              <w:top w:val="nil"/>
            </w:tcBorders>
            <w:vAlign w:val="center"/>
          </w:tcPr>
          <w:p w14:paraId="71E51D09">
            <w:pPr>
              <w:jc w:val="center"/>
              <w:rPr>
                <w:rFonts w:ascii="宋体" w:hAnsi="宋体" w:cs="宋体"/>
                <w:bCs/>
                <w:color w:val="auto"/>
                <w:sz w:val="24"/>
                <w:highlight w:val="none"/>
              </w:rPr>
            </w:pPr>
          </w:p>
        </w:tc>
      </w:tr>
      <w:tr w14:paraId="0083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471" w:type="dxa"/>
            <w:tcBorders>
              <w:top w:val="nil"/>
            </w:tcBorders>
            <w:vAlign w:val="center"/>
          </w:tcPr>
          <w:p w14:paraId="41CB4723">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响应供应商全称</w:t>
            </w:r>
          </w:p>
        </w:tc>
        <w:tc>
          <w:tcPr>
            <w:tcW w:w="6667" w:type="dxa"/>
            <w:tcBorders>
              <w:top w:val="nil"/>
            </w:tcBorders>
            <w:vAlign w:val="center"/>
          </w:tcPr>
          <w:p w14:paraId="02783B96">
            <w:pPr>
              <w:spacing w:line="360" w:lineRule="auto"/>
              <w:jc w:val="center"/>
              <w:rPr>
                <w:rFonts w:ascii="宋体" w:hAnsi="宋体" w:cs="宋体"/>
                <w:bCs/>
                <w:color w:val="auto"/>
                <w:sz w:val="24"/>
                <w:highlight w:val="none"/>
              </w:rPr>
            </w:pPr>
          </w:p>
        </w:tc>
      </w:tr>
      <w:tr w14:paraId="160A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471" w:type="dxa"/>
            <w:tcBorders>
              <w:top w:val="nil"/>
            </w:tcBorders>
            <w:vAlign w:val="center"/>
          </w:tcPr>
          <w:p w14:paraId="3059BE15">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响应范围</w:t>
            </w:r>
          </w:p>
        </w:tc>
        <w:tc>
          <w:tcPr>
            <w:tcW w:w="6667" w:type="dxa"/>
            <w:tcBorders>
              <w:top w:val="nil"/>
            </w:tcBorders>
            <w:vAlign w:val="center"/>
          </w:tcPr>
          <w:p w14:paraId="01B3FFE0">
            <w:pPr>
              <w:spacing w:line="360" w:lineRule="exact"/>
              <w:jc w:val="center"/>
              <w:rPr>
                <w:rFonts w:ascii="宋体" w:hAnsi="宋体" w:cs="宋体"/>
                <w:bCs/>
                <w:color w:val="auto"/>
                <w:sz w:val="24"/>
                <w:highlight w:val="none"/>
              </w:rPr>
            </w:pPr>
            <w:r>
              <w:rPr>
                <w:rFonts w:hint="eastAsia" w:ascii="宋体" w:hAnsi="宋体" w:cs="宋体"/>
                <w:bCs/>
                <w:color w:val="auto"/>
                <w:sz w:val="24"/>
                <w:highlight w:val="none"/>
              </w:rPr>
              <w:t>全部</w:t>
            </w:r>
          </w:p>
        </w:tc>
      </w:tr>
      <w:tr w14:paraId="40D7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9" w:hRule="atLeast"/>
          <w:jc w:val="center"/>
        </w:trPr>
        <w:tc>
          <w:tcPr>
            <w:tcW w:w="2471" w:type="dxa"/>
            <w:tcBorders>
              <w:top w:val="nil"/>
            </w:tcBorders>
            <w:vAlign w:val="center"/>
          </w:tcPr>
          <w:p w14:paraId="2D43ED53">
            <w:pPr>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响应报价</w:t>
            </w:r>
          </w:p>
        </w:tc>
        <w:tc>
          <w:tcPr>
            <w:tcW w:w="6667" w:type="dxa"/>
            <w:tcBorders>
              <w:top w:val="nil"/>
            </w:tcBorders>
            <w:vAlign w:val="center"/>
          </w:tcPr>
          <w:p w14:paraId="3A383D55">
            <w:pPr>
              <w:spacing w:line="560" w:lineRule="exact"/>
              <w:rPr>
                <w:rFonts w:hint="eastAsia" w:ascii="宋体" w:hAnsi="宋体" w:cs="宋体"/>
                <w:bCs/>
                <w:color w:val="auto"/>
                <w:sz w:val="24"/>
                <w:highlight w:val="none"/>
                <w:u w:val="single"/>
                <w:lang w:val="en-US" w:eastAsia="zh-CN"/>
              </w:rPr>
            </w:pPr>
            <w:r>
              <w:rPr>
                <w:rFonts w:hint="eastAsia" w:ascii="宋体" w:hAnsi="宋体" w:cs="宋体"/>
                <w:bCs/>
                <w:color w:val="auto"/>
                <w:sz w:val="24"/>
                <w:highlight w:val="none"/>
                <w:u w:val="none"/>
                <w:lang w:val="en-US" w:eastAsia="zh-CN"/>
              </w:rPr>
              <w:t>小写：</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元</w:t>
            </w:r>
          </w:p>
          <w:p w14:paraId="277B8F89">
            <w:pPr>
              <w:pStyle w:val="36"/>
              <w:ind w:left="0" w:leftChars="0" w:firstLine="0" w:firstLineChars="0"/>
              <w:rPr>
                <w:rFonts w:hint="default"/>
                <w:highlight w:val="none"/>
                <w:lang w:val="en-US" w:eastAsia="zh-CN"/>
              </w:rPr>
            </w:pPr>
            <w:r>
              <w:rPr>
                <w:rFonts w:hint="eastAsia" w:ascii="宋体" w:hAnsi="宋体" w:cs="宋体"/>
                <w:bCs/>
                <w:color w:val="auto"/>
                <w:sz w:val="24"/>
                <w:highlight w:val="none"/>
                <w:u w:val="none"/>
                <w:lang w:val="en-US" w:eastAsia="zh-CN"/>
              </w:rPr>
              <w:t>大写：</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p>
        </w:tc>
      </w:tr>
      <w:tr w14:paraId="199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2471" w:type="dxa"/>
            <w:tcBorders>
              <w:top w:val="nil"/>
            </w:tcBorders>
            <w:vAlign w:val="center"/>
          </w:tcPr>
          <w:p w14:paraId="13081299">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c>
          <w:tcPr>
            <w:tcW w:w="6667" w:type="dxa"/>
            <w:tcBorders>
              <w:top w:val="nil"/>
            </w:tcBorders>
            <w:vAlign w:val="center"/>
          </w:tcPr>
          <w:p w14:paraId="23768B4B">
            <w:pPr>
              <w:spacing w:line="360" w:lineRule="auto"/>
              <w:rPr>
                <w:rFonts w:ascii="宋体" w:hAnsi="宋体" w:cs="宋体"/>
                <w:bCs/>
                <w:color w:val="auto"/>
                <w:sz w:val="24"/>
                <w:highlight w:val="none"/>
              </w:rPr>
            </w:pPr>
          </w:p>
        </w:tc>
      </w:tr>
    </w:tbl>
    <w:p w14:paraId="008AB2E7">
      <w:pPr>
        <w:spacing w:line="360" w:lineRule="auto"/>
        <w:rPr>
          <w:rFonts w:hint="eastAsia" w:ascii="宋体" w:hAnsi="宋体" w:eastAsia="宋体" w:cs="宋体"/>
          <w:color w:val="auto"/>
          <w:sz w:val="21"/>
          <w:szCs w:val="21"/>
          <w:highlight w:val="none"/>
        </w:rPr>
      </w:pPr>
    </w:p>
    <w:p w14:paraId="4579BE01">
      <w:pPr>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盖</w:t>
      </w:r>
      <w:r>
        <w:rPr>
          <w:rFonts w:hint="eastAsia" w:ascii="宋体" w:hAnsi="宋体" w:eastAsia="宋体" w:cs="宋体"/>
          <w:color w:val="auto"/>
          <w:sz w:val="21"/>
          <w:szCs w:val="21"/>
          <w:highlight w:val="none"/>
        </w:rPr>
        <w:t>章：</w:t>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r>
        <w:rPr>
          <w:rFonts w:hint="eastAsia" w:ascii="宋体" w:hAnsi="宋体" w:cs="宋体"/>
          <w:color w:val="auto"/>
          <w:sz w:val="21"/>
          <w:szCs w:val="21"/>
          <w:highlight w:val="none"/>
          <w:lang w:val="en-US" w:eastAsia="zh-CN"/>
        </w:rPr>
        <w:tab/>
      </w:r>
    </w:p>
    <w:p w14:paraId="13AAD50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C41AEA5">
      <w:pPr>
        <w:numPr>
          <w:ilvl w:val="0"/>
          <w:numId w:val="0"/>
        </w:numPr>
        <w:spacing w:line="440" w:lineRule="exact"/>
        <w:rPr>
          <w:rFonts w:hint="eastAsia" w:ascii="宋体" w:hAnsi="宋体" w:eastAsia="宋体" w:cs="宋体"/>
          <w:b w:val="0"/>
          <w:i w:val="0"/>
          <w:iCs w:val="0"/>
          <w:color w:val="auto"/>
          <w:kern w:val="0"/>
          <w:sz w:val="21"/>
          <w:szCs w:val="21"/>
          <w:highlight w:val="none"/>
          <w:u w:val="none"/>
          <w:lang w:val="en-US" w:eastAsia="zh-CN" w:bidi="ar"/>
        </w:rPr>
      </w:pPr>
      <w:r>
        <w:rPr>
          <w:rFonts w:hint="eastAsia" w:ascii="宋体" w:hAnsi="宋体" w:eastAsia="宋体" w:cs="宋体"/>
          <w:b w:val="0"/>
          <w:i w:val="0"/>
          <w:iCs w:val="0"/>
          <w:color w:val="auto"/>
          <w:kern w:val="0"/>
          <w:sz w:val="21"/>
          <w:szCs w:val="21"/>
          <w:highlight w:val="none"/>
          <w:u w:val="none"/>
          <w:lang w:val="en-US" w:eastAsia="zh-CN" w:bidi="ar"/>
        </w:rPr>
        <w:t>注：</w:t>
      </w:r>
    </w:p>
    <w:p w14:paraId="21EFC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i w:val="0"/>
          <w:iCs w:val="0"/>
          <w:color w:val="auto"/>
          <w:kern w:val="0"/>
          <w:sz w:val="21"/>
          <w:szCs w:val="21"/>
          <w:highlight w:val="none"/>
          <w:u w:val="none"/>
          <w:lang w:val="en-US" w:eastAsia="zh-CN" w:bidi="ar"/>
        </w:rPr>
      </w:pPr>
      <w:r>
        <w:rPr>
          <w:rFonts w:hint="eastAsia" w:ascii="宋体" w:hAnsi="宋体" w:eastAsia="宋体" w:cs="宋体"/>
          <w:b w:val="0"/>
          <w:i w:val="0"/>
          <w:iCs w:val="0"/>
          <w:color w:val="auto"/>
          <w:kern w:val="0"/>
          <w:sz w:val="21"/>
          <w:szCs w:val="21"/>
          <w:highlight w:val="none"/>
          <w:u w:val="none"/>
          <w:lang w:val="en-US" w:eastAsia="zh-CN" w:bidi="ar"/>
        </w:rPr>
        <w:t>1、投标人的报价应包含所投项目的所有费用。</w:t>
      </w:r>
    </w:p>
    <w:p w14:paraId="3FB828E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 w:val="0"/>
          <w:i w:val="0"/>
          <w:iCs w:val="0"/>
          <w:color w:val="auto"/>
          <w:kern w:val="0"/>
          <w:sz w:val="21"/>
          <w:szCs w:val="21"/>
          <w:highlight w:val="none"/>
          <w:u w:val="none"/>
          <w:lang w:val="en-US" w:eastAsia="zh-CN" w:bidi="ar"/>
        </w:rPr>
        <w:t>、本《项目报价书》为第一轮报价，第一轮报价高于公告要求的最高限价的按无效投标处理。</w:t>
      </w:r>
    </w:p>
    <w:p w14:paraId="44A0DB45">
      <w:pPr>
        <w:rPr>
          <w:rFonts w:hint="eastAsia" w:ascii="宋体" w:hAnsi="宋体" w:cs="宋体"/>
          <w:color w:val="auto"/>
          <w:kern w:val="2"/>
          <w:sz w:val="30"/>
          <w:szCs w:val="30"/>
          <w:highlight w:val="none"/>
          <w:lang w:val="en-US" w:eastAsia="zh-CN"/>
        </w:rPr>
      </w:pPr>
      <w:r>
        <w:rPr>
          <w:rFonts w:hint="eastAsia" w:ascii="宋体" w:hAnsi="宋体" w:cs="宋体"/>
          <w:color w:val="auto"/>
          <w:kern w:val="2"/>
          <w:sz w:val="30"/>
          <w:szCs w:val="30"/>
          <w:highlight w:val="none"/>
          <w:lang w:val="en-US" w:eastAsia="zh-CN"/>
        </w:rPr>
        <w:br w:type="page"/>
      </w:r>
    </w:p>
    <w:p w14:paraId="4F86A97D">
      <w:pPr>
        <w:pStyle w:val="3"/>
        <w:spacing w:before="120" w:beforeLines="50" w:after="120" w:afterLines="50" w:line="560" w:lineRule="exact"/>
        <w:ind w:left="0" w:leftChars="0" w:firstLine="0" w:firstLineChars="0"/>
        <w:jc w:val="center"/>
        <w:outlineLvl w:val="1"/>
        <w:rPr>
          <w:rFonts w:hint="eastAsia" w:ascii="宋体" w:hAnsi="宋体" w:cs="宋体"/>
          <w:b/>
          <w:bCs/>
          <w:color w:val="auto"/>
          <w:kern w:val="2"/>
          <w:sz w:val="24"/>
          <w:szCs w:val="24"/>
          <w:highlight w:val="none"/>
        </w:rPr>
      </w:pPr>
      <w:r>
        <w:rPr>
          <w:rFonts w:hint="eastAsia" w:ascii="宋体" w:hAnsi="宋体" w:cs="宋体"/>
          <w:b/>
          <w:bCs/>
          <w:color w:val="auto"/>
          <w:kern w:val="2"/>
          <w:sz w:val="30"/>
          <w:szCs w:val="30"/>
          <w:highlight w:val="none"/>
          <w:lang w:val="en-US" w:eastAsia="zh-CN"/>
        </w:rPr>
        <w:t>二、</w:t>
      </w:r>
      <w:r>
        <w:rPr>
          <w:rFonts w:hint="eastAsia" w:ascii="宋体" w:hAnsi="宋体" w:cs="宋体"/>
          <w:b/>
          <w:bCs/>
          <w:color w:val="auto"/>
          <w:kern w:val="2"/>
          <w:sz w:val="30"/>
          <w:szCs w:val="30"/>
          <w:highlight w:val="none"/>
        </w:rPr>
        <w:t>供应商基本情况</w:t>
      </w:r>
      <w:bookmarkStart w:id="60" w:name="_Toc172171561"/>
      <w:bookmarkStart w:id="61" w:name="_Toc516969106"/>
      <w:bookmarkStart w:id="62" w:name="_Toc121626298"/>
    </w:p>
    <w:p w14:paraId="23910F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（格式自拟）</w:t>
      </w:r>
    </w:p>
    <w:p w14:paraId="5E7796DE">
      <w:pPr>
        <w:adjustRightInd w:val="0"/>
        <w:snapToGrid w:val="0"/>
        <w:spacing w:before="156" w:beforeLines="50" w:after="156" w:afterLines="50" w:line="440" w:lineRule="exact"/>
        <w:jc w:val="center"/>
        <w:outlineLvl w:val="9"/>
        <w:rPr>
          <w:rFonts w:hint="eastAsia" w:ascii="宋体" w:hAnsi="宋体" w:cs="宋体"/>
          <w:color w:val="auto"/>
          <w:kern w:val="2"/>
          <w:sz w:val="24"/>
          <w:szCs w:val="24"/>
          <w:highlight w:val="none"/>
        </w:rPr>
      </w:pPr>
    </w:p>
    <w:p w14:paraId="623C030F">
      <w:pPr>
        <w:rPr>
          <w:rFonts w:hint="eastAsia" w:ascii="宋体" w:hAnsi="宋体" w:eastAsia="宋体" w:cs="宋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br w:type="page"/>
      </w:r>
    </w:p>
    <w:p w14:paraId="6421E07C">
      <w:pPr>
        <w:pStyle w:val="3"/>
        <w:adjustRightInd w:val="0"/>
        <w:snapToGrid w:val="0"/>
        <w:spacing w:before="156" w:beforeLines="50" w:after="156" w:afterLines="50" w:line="440" w:lineRule="exact"/>
        <w:ind w:left="0" w:leftChars="0" w:firstLine="0" w:firstLineChars="0"/>
        <w:jc w:val="center"/>
        <w:outlineLvl w:val="1"/>
        <w:rPr>
          <w:rFonts w:hint="eastAsia" w:ascii="黑体" w:hAnsi="黑体" w:eastAsia="黑体" w:cs="黑体"/>
          <w:color w:val="auto"/>
          <w:kern w:val="2"/>
          <w:sz w:val="30"/>
          <w:szCs w:val="30"/>
          <w:highlight w:val="none"/>
        </w:rPr>
      </w:pPr>
      <w:r>
        <w:rPr>
          <w:rFonts w:hint="eastAsia" w:ascii="黑体" w:hAnsi="黑体" w:eastAsia="黑体" w:cs="黑体"/>
          <w:color w:val="auto"/>
          <w:kern w:val="2"/>
          <w:sz w:val="30"/>
          <w:szCs w:val="30"/>
          <w:highlight w:val="none"/>
          <w:lang w:val="en-US" w:eastAsia="zh-CN"/>
        </w:rPr>
        <w:t>三</w:t>
      </w:r>
      <w:r>
        <w:rPr>
          <w:rFonts w:hint="eastAsia" w:ascii="黑体" w:hAnsi="黑体" w:eastAsia="黑体" w:cs="黑体"/>
          <w:color w:val="auto"/>
          <w:kern w:val="2"/>
          <w:sz w:val="30"/>
          <w:szCs w:val="30"/>
          <w:highlight w:val="none"/>
        </w:rPr>
        <w:t>、</w:t>
      </w:r>
      <w:r>
        <w:rPr>
          <w:rFonts w:hint="eastAsia" w:ascii="黑体" w:hAnsi="黑体" w:eastAsia="黑体" w:cs="黑体"/>
          <w:color w:val="auto"/>
          <w:kern w:val="2"/>
          <w:sz w:val="30"/>
          <w:szCs w:val="30"/>
          <w:highlight w:val="none"/>
          <w:lang w:val="en-US" w:eastAsia="zh-CN"/>
        </w:rPr>
        <w:t>谈判响应</w:t>
      </w:r>
      <w:r>
        <w:rPr>
          <w:rFonts w:hint="eastAsia" w:ascii="黑体" w:hAnsi="黑体" w:eastAsia="黑体" w:cs="黑体"/>
          <w:color w:val="auto"/>
          <w:kern w:val="2"/>
          <w:sz w:val="30"/>
          <w:szCs w:val="30"/>
          <w:highlight w:val="none"/>
        </w:rPr>
        <w:t>函</w:t>
      </w:r>
    </w:p>
    <w:p w14:paraId="40D08066">
      <w:pPr>
        <w:adjustRightInd w:val="0"/>
        <w:snapToGrid w:val="0"/>
        <w:spacing w:line="320" w:lineRule="auto"/>
        <w:jc w:val="center"/>
        <w:rPr>
          <w:rFonts w:hint="eastAsia" w:ascii="宋体" w:hAnsi="宋体" w:cs="宋体"/>
          <w:b/>
          <w:color w:val="auto"/>
          <w:szCs w:val="21"/>
          <w:highlight w:val="none"/>
        </w:rPr>
      </w:pPr>
    </w:p>
    <w:p w14:paraId="32CFA8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致：</w:t>
      </w:r>
      <w:r>
        <w:rPr>
          <w:rFonts w:hint="eastAsia" w:ascii="宋体" w:hAnsi="宋体" w:eastAsia="宋体" w:cs="宋体"/>
          <w:b/>
          <w:bCs/>
          <w:color w:val="auto"/>
          <w:sz w:val="24"/>
          <w:szCs w:val="24"/>
          <w:highlight w:val="none"/>
          <w:u w:val="single"/>
        </w:rPr>
        <w:t>（代理机构名称）</w:t>
      </w:r>
    </w:p>
    <w:p w14:paraId="6AF17EA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szCs w:val="24"/>
          <w:highlight w:val="none"/>
        </w:rPr>
      </w:pPr>
    </w:p>
    <w:p w14:paraId="3CB370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1、根据项目编号：</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项目编号）</w:t>
      </w:r>
      <w:r>
        <w:rPr>
          <w:rFonts w:hint="eastAsia" w:ascii="宋体" w:hAnsi="宋体" w:eastAsia="宋体" w:cs="宋体"/>
          <w:b w:val="0"/>
          <w:bCs w:val="0"/>
          <w:color w:val="auto"/>
          <w:sz w:val="24"/>
          <w:szCs w:val="24"/>
          <w:highlight w:val="none"/>
        </w:rPr>
        <w:t>号谈判公告的内容，我方决定参加贵方组织的</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项目名称</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rPr>
        <w:t>项目的竞争性谈判采购。我方授权</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rPr>
        <w:t>授权代表</w:t>
      </w:r>
      <w:r>
        <w:rPr>
          <w:rFonts w:hint="eastAsia" w:ascii="宋体" w:hAnsi="宋体" w:eastAsia="宋体" w:cs="宋体"/>
          <w:b w:val="0"/>
          <w:bCs w:val="0"/>
          <w:color w:val="auto"/>
          <w:sz w:val="24"/>
          <w:szCs w:val="24"/>
          <w:highlight w:val="none"/>
          <w:u w:val="single"/>
          <w:lang w:val="en-US" w:eastAsia="zh-CN"/>
        </w:rPr>
        <w:t>姓名）</w:t>
      </w:r>
      <w:r>
        <w:rPr>
          <w:rFonts w:hint="eastAsia" w:ascii="宋体" w:hAnsi="宋体" w:eastAsia="宋体" w:cs="宋体"/>
          <w:b w:val="0"/>
          <w:bCs w:val="0"/>
          <w:color w:val="auto"/>
          <w:sz w:val="24"/>
          <w:szCs w:val="24"/>
          <w:highlight w:val="none"/>
        </w:rPr>
        <w:t>)代表我方</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供应商名称）</w:t>
      </w:r>
      <w:r>
        <w:rPr>
          <w:rFonts w:hint="eastAsia" w:ascii="宋体" w:hAnsi="宋体" w:eastAsia="宋体" w:cs="宋体"/>
          <w:b w:val="0"/>
          <w:bCs w:val="0"/>
          <w:color w:val="auto"/>
          <w:sz w:val="24"/>
          <w:szCs w:val="24"/>
          <w:highlight w:val="none"/>
        </w:rPr>
        <w:t>全权处理本项目谈判的有关事宜。</w:t>
      </w:r>
    </w:p>
    <w:p w14:paraId="7D94E2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2、我方愿意按照采购</w:t>
      </w:r>
      <w:r>
        <w:rPr>
          <w:rFonts w:hint="eastAsia" w:ascii="宋体" w:hAnsi="宋体" w:eastAsia="宋体" w:cs="宋体"/>
          <w:b w:val="0"/>
          <w:bCs w:val="0"/>
          <w:color w:val="auto"/>
          <w:sz w:val="24"/>
          <w:szCs w:val="24"/>
          <w:highlight w:val="none"/>
          <w:lang w:val="en-US" w:eastAsia="zh-CN"/>
        </w:rPr>
        <w:t>文件</w:t>
      </w:r>
      <w:r>
        <w:rPr>
          <w:rFonts w:hint="eastAsia" w:ascii="宋体" w:hAnsi="宋体" w:eastAsia="宋体" w:cs="宋体"/>
          <w:b w:val="0"/>
          <w:bCs w:val="0"/>
          <w:color w:val="auto"/>
          <w:sz w:val="24"/>
          <w:szCs w:val="24"/>
          <w:highlight w:val="none"/>
        </w:rPr>
        <w:t>规定的各项要求，向采购人提供所需的服务。</w:t>
      </w:r>
    </w:p>
    <w:p w14:paraId="125AE8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3、一旦我方中标，我方将严格履行合同规定的责任和义务，保证于采购人要求的日期内完成</w:t>
      </w:r>
      <w:r>
        <w:rPr>
          <w:rFonts w:hint="eastAsia" w:ascii="宋体" w:hAnsi="宋体" w:eastAsia="宋体" w:cs="宋体"/>
          <w:b w:val="0"/>
          <w:bCs w:val="0"/>
          <w:color w:val="auto"/>
          <w:sz w:val="24"/>
          <w:szCs w:val="24"/>
          <w:highlight w:val="none"/>
          <w:lang w:val="en-US" w:eastAsia="zh-CN"/>
        </w:rPr>
        <w:t>服务内容</w:t>
      </w:r>
      <w:r>
        <w:rPr>
          <w:rFonts w:hint="eastAsia" w:ascii="宋体" w:hAnsi="宋体" w:eastAsia="宋体" w:cs="宋体"/>
          <w:b w:val="0"/>
          <w:bCs w:val="0"/>
          <w:color w:val="auto"/>
          <w:sz w:val="24"/>
          <w:szCs w:val="24"/>
          <w:highlight w:val="none"/>
        </w:rPr>
        <w:t>。</w:t>
      </w:r>
    </w:p>
    <w:p w14:paraId="15CC5D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4、如我公司成交，我公司承诺愿意按谈判文件规定缴纳履约保证金。</w:t>
      </w:r>
    </w:p>
    <w:p w14:paraId="26DB47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5、我方愿意提供贵方可能另外要求的、与谈判有关的文件资料，并保证我方已提供和将要提供的文件是真实的、准确的。</w:t>
      </w:r>
    </w:p>
    <w:p w14:paraId="3C1077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6、我方完全理解贵方不一定将合同授予最低报价的供应商。</w:t>
      </w:r>
    </w:p>
    <w:p w14:paraId="071CDB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p>
    <w:p w14:paraId="65079619">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供应商盖章</w:t>
      </w:r>
      <w:r>
        <w:rPr>
          <w:rFonts w:hint="eastAsia" w:ascii="宋体" w:hAnsi="宋体" w:eastAsia="宋体" w:cs="宋体"/>
          <w:b w:val="0"/>
          <w:bCs w:val="0"/>
          <w:color w:val="auto"/>
          <w:sz w:val="24"/>
          <w:szCs w:val="24"/>
          <w:highlight w:val="none"/>
        </w:rPr>
        <w:t>：</w:t>
      </w:r>
    </w:p>
    <w:p w14:paraId="64DB5E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     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4A195227">
      <w:pPr>
        <w:pStyle w:val="3"/>
        <w:adjustRightInd w:val="0"/>
        <w:snapToGrid w:val="0"/>
        <w:spacing w:before="156" w:beforeLines="50" w:after="156" w:afterLines="50" w:line="440" w:lineRule="exact"/>
        <w:ind w:left="0" w:leftChars="0" w:firstLine="0" w:firstLineChars="0"/>
        <w:jc w:val="center"/>
        <w:outlineLvl w:val="1"/>
        <w:rPr>
          <w:rFonts w:hint="eastAsia" w:ascii="黑体" w:hAnsi="黑体" w:eastAsia="黑体" w:cs="黑体"/>
          <w:color w:val="auto"/>
          <w:kern w:val="2"/>
          <w:sz w:val="30"/>
          <w:szCs w:val="30"/>
          <w:highlight w:val="none"/>
          <w:lang w:val="en-US" w:eastAsia="zh-CN"/>
        </w:rPr>
      </w:pPr>
      <w:r>
        <w:rPr>
          <w:rFonts w:hint="eastAsia" w:ascii="宋体" w:hAnsi="宋体" w:eastAsia="宋体" w:cs="宋体"/>
          <w:color w:val="auto"/>
          <w:kern w:val="2"/>
          <w:sz w:val="30"/>
          <w:szCs w:val="30"/>
          <w:highlight w:val="none"/>
          <w:lang w:val="en-US" w:eastAsia="zh-CN"/>
        </w:rPr>
        <w:br w:type="page"/>
      </w:r>
      <w:r>
        <w:rPr>
          <w:rFonts w:hint="eastAsia" w:ascii="黑体" w:hAnsi="黑体" w:eastAsia="黑体" w:cs="黑体"/>
          <w:color w:val="auto"/>
          <w:kern w:val="2"/>
          <w:sz w:val="30"/>
          <w:szCs w:val="30"/>
          <w:highlight w:val="none"/>
          <w:lang w:val="en-US" w:eastAsia="zh-CN"/>
        </w:rPr>
        <w:t>四</w:t>
      </w:r>
      <w:r>
        <w:rPr>
          <w:rFonts w:hint="eastAsia" w:ascii="黑体" w:hAnsi="黑体" w:eastAsia="黑体" w:cs="黑体"/>
          <w:color w:val="auto"/>
          <w:kern w:val="2"/>
          <w:sz w:val="30"/>
          <w:szCs w:val="30"/>
          <w:highlight w:val="none"/>
        </w:rPr>
        <w:t>、</w:t>
      </w:r>
      <w:r>
        <w:rPr>
          <w:rFonts w:hint="eastAsia" w:ascii="黑体" w:hAnsi="黑体" w:eastAsia="黑体" w:cs="黑体"/>
          <w:color w:val="auto"/>
          <w:kern w:val="2"/>
          <w:sz w:val="30"/>
          <w:szCs w:val="30"/>
          <w:highlight w:val="none"/>
          <w:lang w:val="en-US" w:eastAsia="zh-CN"/>
        </w:rPr>
        <w:t>谈判授权书</w:t>
      </w:r>
    </w:p>
    <w:p w14:paraId="5B8CB5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（供应商名称）</w:t>
      </w:r>
      <w:r>
        <w:rPr>
          <w:rFonts w:hint="eastAsia" w:ascii="宋体" w:hAnsi="宋体" w:cs="宋体"/>
          <w:color w:val="auto"/>
          <w:sz w:val="24"/>
          <w:szCs w:val="24"/>
          <w:highlight w:val="none"/>
          <w:u w:val="none"/>
        </w:rPr>
        <w:t>授权</w:t>
      </w:r>
      <w:r>
        <w:rPr>
          <w:rFonts w:hint="eastAsia" w:ascii="宋体" w:hAnsi="宋体" w:cs="宋体"/>
          <w:color w:val="auto"/>
          <w:sz w:val="24"/>
          <w:szCs w:val="24"/>
          <w:highlight w:val="none"/>
          <w:u w:val="single"/>
        </w:rPr>
        <w:t>（供应商授权代表姓名）</w:t>
      </w:r>
      <w:r>
        <w:rPr>
          <w:rFonts w:hint="eastAsia" w:ascii="宋体" w:hAnsi="宋体" w:cs="宋体"/>
          <w:color w:val="auto"/>
          <w:sz w:val="24"/>
          <w:szCs w:val="24"/>
          <w:highlight w:val="none"/>
          <w:u w:val="none"/>
        </w:rPr>
        <w:t>代表我方参加</w:t>
      </w:r>
      <w:r>
        <w:rPr>
          <w:rFonts w:hint="eastAsia" w:ascii="宋体" w:hAnsi="宋体" w:cs="宋体"/>
          <w:color w:val="auto"/>
          <w:sz w:val="24"/>
          <w:szCs w:val="24"/>
          <w:highlight w:val="none"/>
          <w:u w:val="single"/>
        </w:rPr>
        <w:t>（项目编号）（项目名称）</w:t>
      </w:r>
      <w:r>
        <w:rPr>
          <w:rFonts w:hint="eastAsia" w:ascii="宋体" w:hAnsi="宋体" w:cs="宋体"/>
          <w:color w:val="auto"/>
          <w:sz w:val="24"/>
          <w:szCs w:val="24"/>
          <w:highlight w:val="none"/>
          <w:u w:val="none"/>
        </w:rPr>
        <w:t>采购活动</w:t>
      </w:r>
      <w:r>
        <w:rPr>
          <w:rFonts w:hint="eastAsia" w:ascii="宋体" w:hAnsi="宋体" w:cs="宋体"/>
          <w:color w:val="auto"/>
          <w:sz w:val="24"/>
          <w:szCs w:val="24"/>
          <w:highlight w:val="none"/>
        </w:rPr>
        <w:t>，以我方名义全权处理与该项目谈判、签订合同以及合同执行有关的一切事务。</w:t>
      </w:r>
    </w:p>
    <w:p w14:paraId="7448A034">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本授权书自出具之日起生效。</w:t>
      </w:r>
    </w:p>
    <w:p w14:paraId="4DD53AAE">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授权代表</w:t>
      </w:r>
      <w:r>
        <w:rPr>
          <w:rFonts w:hint="eastAsia" w:ascii="宋体" w:hAnsi="宋体" w:eastAsia="宋体" w:cs="宋体"/>
          <w:b w:val="0"/>
          <w:bCs w:val="0"/>
          <w:color w:val="auto"/>
          <w:sz w:val="24"/>
          <w:szCs w:val="24"/>
          <w:highlight w:val="none"/>
        </w:rPr>
        <w:t>身份证明</w:t>
      </w:r>
      <w:r>
        <w:rPr>
          <w:rFonts w:hint="eastAsia" w:ascii="宋体" w:hAnsi="宋体" w:eastAsia="宋体" w:cs="宋体"/>
          <w:b w:val="0"/>
          <w:bCs w:val="0"/>
          <w:color w:val="auto"/>
          <w:sz w:val="24"/>
          <w:szCs w:val="24"/>
          <w:highlight w:val="none"/>
          <w:lang w:val="en-US" w:eastAsia="zh-CN"/>
        </w:rPr>
        <w:t>复印件</w:t>
      </w:r>
      <w:r>
        <w:rPr>
          <w:rFonts w:hint="eastAsia" w:ascii="宋体" w:hAnsi="宋体" w:eastAsia="宋体" w:cs="宋体"/>
          <w:b w:val="0"/>
          <w:bCs w:val="0"/>
          <w:color w:val="auto"/>
          <w:sz w:val="24"/>
          <w:szCs w:val="24"/>
          <w:highlight w:val="none"/>
        </w:rPr>
        <w:t>：</w:t>
      </w:r>
    </w:p>
    <w:p w14:paraId="6545A2CD">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rPr>
      </w:pPr>
    </w:p>
    <w:p w14:paraId="6C9123D7">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rPr>
      </w:pPr>
    </w:p>
    <w:p w14:paraId="16D19030">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授权代表联系方式：</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（请填写手机号码）</w:t>
      </w:r>
    </w:p>
    <w:p w14:paraId="63B9F2C2">
      <w:pPr>
        <w:spacing w:line="360" w:lineRule="auto"/>
        <w:ind w:firstLine="645"/>
        <w:rPr>
          <w:rFonts w:hint="eastAsia" w:ascii="宋体" w:hAnsi="宋体" w:eastAsia="宋体" w:cs="宋体"/>
          <w:b w:val="0"/>
          <w:bCs w:val="0"/>
          <w:color w:val="auto"/>
          <w:sz w:val="24"/>
          <w:szCs w:val="24"/>
          <w:highlight w:val="none"/>
        </w:rPr>
      </w:pPr>
    </w:p>
    <w:p w14:paraId="63B58C2B">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特此声明。</w:t>
      </w:r>
    </w:p>
    <w:p w14:paraId="6FD4407A">
      <w:pPr>
        <w:pStyle w:val="18"/>
        <w:snapToGrid w:val="0"/>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p>
    <w:p w14:paraId="5EB4C790">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供应商盖章</w:t>
      </w:r>
      <w:r>
        <w:rPr>
          <w:rFonts w:hint="eastAsia" w:ascii="宋体" w:hAnsi="宋体" w:eastAsia="宋体" w:cs="宋体"/>
          <w:b w:val="0"/>
          <w:bCs w:val="0"/>
          <w:color w:val="auto"/>
          <w:sz w:val="24"/>
          <w:szCs w:val="24"/>
          <w:highlight w:val="none"/>
        </w:rPr>
        <w:t>：</w:t>
      </w:r>
    </w:p>
    <w:p w14:paraId="7801286D">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     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4B4B8C56">
      <w:pPr>
        <w:rPr>
          <w:rFonts w:hint="eastAsia" w:ascii="宋体" w:hAnsi="宋体" w:eastAsia="宋体" w:cs="宋体"/>
          <w:b w:val="0"/>
          <w:bCs w:val="0"/>
          <w:color w:val="auto"/>
          <w:sz w:val="24"/>
          <w:szCs w:val="24"/>
          <w:highlight w:val="none"/>
        </w:rPr>
      </w:pPr>
    </w:p>
    <w:p w14:paraId="2A760A35">
      <w:pPr>
        <w:pStyle w:val="36"/>
        <w:ind w:left="0" w:leftChars="0" w:firstLine="0" w:firstLineChars="0"/>
        <w:rPr>
          <w:rFonts w:hint="eastAsia" w:ascii="宋体" w:hAnsi="宋体" w:eastAsia="宋体" w:cs="宋体"/>
          <w:b w:val="0"/>
          <w:bCs w:val="0"/>
          <w:color w:val="auto"/>
          <w:sz w:val="24"/>
          <w:szCs w:val="24"/>
          <w:highlight w:val="none"/>
        </w:rPr>
      </w:pPr>
    </w:p>
    <w:p w14:paraId="084E8891">
      <w:pPr>
        <w:pStyle w:val="18"/>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w:t>
      </w:r>
    </w:p>
    <w:p w14:paraId="3B79DA60">
      <w:pPr>
        <w:pStyle w:val="18"/>
        <w:keepNext w:val="0"/>
        <w:keepLines w:val="0"/>
        <w:pageBreakBefore w:val="0"/>
        <w:widowControl w:val="0"/>
        <w:numPr>
          <w:ilvl w:val="0"/>
          <w:numId w:val="0"/>
        </w:numPr>
        <w:kinsoku/>
        <w:wordWrap/>
        <w:overflowPunct/>
        <w:topLinePunct w:val="0"/>
        <w:autoSpaceDE/>
        <w:autoSpaceDN/>
        <w:bidi w:val="0"/>
        <w:snapToGrid w:val="0"/>
        <w:spacing w:line="36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b w:val="0"/>
          <w:bCs w:val="0"/>
          <w:color w:val="auto"/>
          <w:sz w:val="24"/>
          <w:szCs w:val="24"/>
          <w:highlight w:val="none"/>
        </w:rPr>
        <w:t>本项目只允许有唯一的供应商授权代表（提供身份证明</w:t>
      </w:r>
      <w:r>
        <w:rPr>
          <w:rFonts w:hint="eastAsia" w:ascii="宋体" w:hAnsi="宋体" w:eastAsia="宋体" w:cs="宋体"/>
          <w:b w:val="0"/>
          <w:bCs w:val="0"/>
          <w:color w:val="auto"/>
          <w:sz w:val="24"/>
          <w:szCs w:val="24"/>
          <w:highlight w:val="none"/>
          <w:lang w:eastAsia="zh-CN"/>
        </w:rPr>
        <w:t>复印件</w:t>
      </w:r>
      <w:r>
        <w:rPr>
          <w:rFonts w:hint="eastAsia" w:ascii="宋体" w:hAnsi="宋体" w:eastAsia="宋体" w:cs="宋体"/>
          <w:b w:val="0"/>
          <w:bCs w:val="0"/>
          <w:color w:val="auto"/>
          <w:sz w:val="24"/>
          <w:szCs w:val="24"/>
          <w:highlight w:val="none"/>
        </w:rPr>
        <w:t>及联系方式）；</w:t>
      </w:r>
    </w:p>
    <w:p w14:paraId="72AE10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color w:val="auto"/>
          <w:szCs w:val="21"/>
          <w:highlight w:val="none"/>
          <w:lang w:val="en-US" w:eastAsia="zh-CN"/>
        </w:rPr>
      </w:pPr>
      <w:r>
        <w:rPr>
          <w:rFonts w:hint="eastAsia" w:ascii="宋体" w:hAnsi="宋体" w:eastAsia="宋体" w:cs="宋体"/>
          <w:b w:val="0"/>
          <w:bCs w:val="0"/>
          <w:color w:val="auto"/>
          <w:sz w:val="24"/>
          <w:szCs w:val="24"/>
          <w:highlight w:val="none"/>
        </w:rPr>
        <w:t>2、法定代表人参加</w:t>
      </w:r>
      <w:r>
        <w:rPr>
          <w:rFonts w:hint="eastAsia" w:ascii="宋体" w:hAnsi="宋体" w:eastAsia="宋体" w:cs="宋体"/>
          <w:b w:val="0"/>
          <w:bCs w:val="0"/>
          <w:color w:val="auto"/>
          <w:sz w:val="24"/>
          <w:szCs w:val="24"/>
          <w:highlight w:val="none"/>
          <w:lang w:val="en-US" w:eastAsia="zh-CN"/>
        </w:rPr>
        <w:t>采购活动</w:t>
      </w:r>
      <w:r>
        <w:rPr>
          <w:rFonts w:hint="eastAsia" w:ascii="宋体" w:hAnsi="宋体" w:eastAsia="宋体" w:cs="宋体"/>
          <w:b w:val="0"/>
          <w:bCs w:val="0"/>
          <w:color w:val="auto"/>
          <w:sz w:val="24"/>
          <w:szCs w:val="24"/>
          <w:highlight w:val="none"/>
        </w:rPr>
        <w:t>的无需提供</w:t>
      </w:r>
      <w:r>
        <w:rPr>
          <w:rFonts w:hint="eastAsia" w:ascii="宋体" w:hAnsi="宋体" w:eastAsia="宋体" w:cs="宋体"/>
          <w:b w:val="0"/>
          <w:bCs w:val="0"/>
          <w:color w:val="auto"/>
          <w:sz w:val="24"/>
          <w:szCs w:val="24"/>
          <w:highlight w:val="none"/>
          <w:lang w:val="en-US" w:eastAsia="zh-CN"/>
        </w:rPr>
        <w:t>谈判</w:t>
      </w:r>
      <w:r>
        <w:rPr>
          <w:rFonts w:hint="eastAsia" w:ascii="宋体" w:hAnsi="宋体" w:eastAsia="宋体" w:cs="宋体"/>
          <w:b w:val="0"/>
          <w:bCs w:val="0"/>
          <w:color w:val="auto"/>
          <w:sz w:val="24"/>
          <w:szCs w:val="24"/>
          <w:highlight w:val="none"/>
        </w:rPr>
        <w:t>授权书，仅提供身份证明</w:t>
      </w:r>
      <w:r>
        <w:rPr>
          <w:rFonts w:hint="eastAsia" w:ascii="宋体" w:hAnsi="宋体" w:eastAsia="宋体" w:cs="宋体"/>
          <w:b w:val="0"/>
          <w:bCs w:val="0"/>
          <w:color w:val="auto"/>
          <w:sz w:val="24"/>
          <w:szCs w:val="24"/>
          <w:highlight w:val="none"/>
          <w:lang w:eastAsia="zh-CN"/>
        </w:rPr>
        <w:t>复印件</w:t>
      </w:r>
      <w:r>
        <w:rPr>
          <w:rFonts w:hint="eastAsia" w:ascii="宋体" w:hAnsi="宋体" w:eastAsia="宋体" w:cs="宋体"/>
          <w:b w:val="0"/>
          <w:bCs w:val="0"/>
          <w:color w:val="auto"/>
          <w:sz w:val="24"/>
          <w:szCs w:val="24"/>
          <w:highlight w:val="none"/>
        </w:rPr>
        <w:t>及联系方式即可。</w:t>
      </w:r>
    </w:p>
    <w:p w14:paraId="0A74DEEF">
      <w:pPr>
        <w:pStyle w:val="10"/>
        <w:rPr>
          <w:rFonts w:hint="eastAsia"/>
          <w:color w:val="auto"/>
          <w:highlight w:val="none"/>
          <w:lang w:eastAsia="zh-CN"/>
        </w:rPr>
      </w:pPr>
    </w:p>
    <w:p w14:paraId="55565527">
      <w:pPr>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br w:type="page"/>
      </w:r>
    </w:p>
    <w:p w14:paraId="1B8D1ED7">
      <w:pPr>
        <w:numPr>
          <w:ilvl w:val="0"/>
          <w:numId w:val="0"/>
        </w:numPr>
        <w:jc w:val="center"/>
        <w:outlineLvl w:val="1"/>
        <w:rPr>
          <w:rFonts w:hint="eastAsia" w:ascii="黑体" w:hAnsi="黑体" w:eastAsia="黑体" w:cs="黑体"/>
          <w:b/>
          <w:bCs/>
          <w:color w:val="auto"/>
          <w:kern w:val="2"/>
          <w:sz w:val="30"/>
          <w:szCs w:val="30"/>
          <w:highlight w:val="none"/>
          <w:lang w:val="en-US" w:eastAsia="zh-CN" w:bidi="ar-SA"/>
        </w:rPr>
      </w:pPr>
      <w:r>
        <w:rPr>
          <w:rFonts w:hint="eastAsia" w:ascii="黑体" w:hAnsi="黑体" w:eastAsia="黑体" w:cs="黑体"/>
          <w:b/>
          <w:bCs/>
          <w:color w:val="auto"/>
          <w:kern w:val="2"/>
          <w:sz w:val="30"/>
          <w:szCs w:val="30"/>
          <w:highlight w:val="none"/>
          <w:lang w:val="en-US" w:eastAsia="zh-CN"/>
        </w:rPr>
        <w:t>五、</w:t>
      </w:r>
      <w:r>
        <w:rPr>
          <w:rFonts w:hint="eastAsia" w:ascii="黑体" w:hAnsi="黑体" w:eastAsia="黑体" w:cs="黑体"/>
          <w:b/>
          <w:bCs/>
          <w:color w:val="auto"/>
          <w:kern w:val="2"/>
          <w:sz w:val="30"/>
          <w:szCs w:val="30"/>
          <w:highlight w:val="none"/>
          <w:lang w:val="en-US" w:eastAsia="zh-CN" w:bidi="ar-SA"/>
        </w:rPr>
        <w:t>资格审查证明材料</w:t>
      </w:r>
    </w:p>
    <w:p w14:paraId="58EAE343">
      <w:pPr>
        <w:pStyle w:val="37"/>
        <w:numPr>
          <w:ilvl w:val="0"/>
          <w:numId w:val="0"/>
        </w:numPr>
        <w:rPr>
          <w:rFonts w:hint="default"/>
          <w:color w:val="auto"/>
          <w:highlight w:val="none"/>
          <w:lang w:val="en-US" w:eastAsia="zh-CN"/>
        </w:rPr>
      </w:pPr>
    </w:p>
    <w:p w14:paraId="634D42D0">
      <w:pPr>
        <w:numPr>
          <w:ilvl w:val="0"/>
          <w:numId w:val="0"/>
        </w:numPr>
        <w:rPr>
          <w:rFonts w:hint="eastAsia" w:ascii="宋体" w:hAnsi="宋体" w:cs="宋体"/>
          <w:color w:val="auto"/>
          <w:kern w:val="2"/>
          <w:sz w:val="24"/>
          <w:szCs w:val="24"/>
          <w:highlight w:val="none"/>
          <w:lang w:val="en-US" w:eastAsia="zh-CN"/>
        </w:rPr>
      </w:pPr>
    </w:p>
    <w:p w14:paraId="090977F3">
      <w:pPr>
        <w:numPr>
          <w:ilvl w:val="0"/>
          <w:numId w:val="0"/>
        </w:numPr>
        <w:rPr>
          <w:rFonts w:hint="eastAsia" w:ascii="宋体" w:hAnsi="宋体" w:cs="宋体"/>
          <w:color w:val="auto"/>
          <w:kern w:val="2"/>
          <w:sz w:val="24"/>
          <w:szCs w:val="24"/>
          <w:highlight w:val="none"/>
          <w:lang w:val="en-US" w:eastAsia="zh-CN"/>
        </w:rPr>
      </w:pPr>
    </w:p>
    <w:p w14:paraId="156A31D1">
      <w:pPr>
        <w:numPr>
          <w:ilvl w:val="0"/>
          <w:numId w:val="0"/>
        </w:numPr>
        <w:rPr>
          <w:rFonts w:hint="eastAsia" w:ascii="宋体" w:hAnsi="宋体" w:cs="宋体"/>
          <w:color w:val="auto"/>
          <w:kern w:val="2"/>
          <w:sz w:val="24"/>
          <w:szCs w:val="24"/>
          <w:highlight w:val="none"/>
          <w:lang w:val="en-US" w:eastAsia="zh-CN"/>
        </w:rPr>
      </w:pPr>
    </w:p>
    <w:p w14:paraId="22F4EA07">
      <w:pPr>
        <w:numPr>
          <w:ilvl w:val="0"/>
          <w:numId w:val="0"/>
        </w:numPr>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br w:type="page"/>
      </w:r>
    </w:p>
    <w:p w14:paraId="042A5A9B">
      <w:pPr>
        <w:pStyle w:val="3"/>
        <w:adjustRightInd w:val="0"/>
        <w:snapToGrid w:val="0"/>
        <w:spacing w:before="156" w:beforeLines="50" w:after="156" w:afterLines="50" w:line="440" w:lineRule="exact"/>
        <w:ind w:left="0" w:leftChars="0" w:firstLine="0" w:firstLineChars="0"/>
        <w:jc w:val="center"/>
        <w:outlineLvl w:val="1"/>
        <w:rPr>
          <w:rFonts w:hint="eastAsia" w:ascii="黑体" w:hAnsi="黑体" w:eastAsia="黑体" w:cs="黑体"/>
          <w:color w:val="auto"/>
          <w:kern w:val="2"/>
          <w:sz w:val="30"/>
          <w:szCs w:val="30"/>
          <w:highlight w:val="none"/>
          <w:lang w:val="en-US"/>
        </w:rPr>
      </w:pPr>
      <w:r>
        <w:rPr>
          <w:rFonts w:hint="eastAsia" w:ascii="黑体" w:hAnsi="黑体" w:eastAsia="黑体" w:cs="黑体"/>
          <w:color w:val="auto"/>
          <w:kern w:val="2"/>
          <w:sz w:val="30"/>
          <w:szCs w:val="30"/>
          <w:highlight w:val="none"/>
          <w:lang w:val="en-US" w:eastAsia="zh-CN"/>
        </w:rPr>
        <w:t>六</w:t>
      </w:r>
      <w:r>
        <w:rPr>
          <w:rFonts w:hint="eastAsia" w:ascii="黑体" w:hAnsi="黑体" w:eastAsia="黑体" w:cs="黑体"/>
          <w:color w:val="auto"/>
          <w:kern w:val="2"/>
          <w:sz w:val="30"/>
          <w:szCs w:val="30"/>
          <w:highlight w:val="none"/>
        </w:rPr>
        <w:t>、</w:t>
      </w:r>
      <w:r>
        <w:rPr>
          <w:rFonts w:hint="eastAsia" w:ascii="黑体" w:hAnsi="黑体" w:eastAsia="黑体" w:cs="黑体"/>
          <w:color w:val="auto"/>
          <w:kern w:val="2"/>
          <w:sz w:val="30"/>
          <w:szCs w:val="30"/>
          <w:highlight w:val="none"/>
          <w:lang w:val="en-US" w:eastAsia="zh-CN"/>
        </w:rPr>
        <w:t>响应情况表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4CC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7E0540B2">
            <w:pPr>
              <w:jc w:val="center"/>
              <w:rPr>
                <w:rFonts w:ascii="宋体" w:hAnsi="宋体" w:cs="宋体"/>
                <w:b/>
                <w:color w:val="auto"/>
                <w:sz w:val="24"/>
                <w:szCs w:val="21"/>
                <w:highlight w:val="none"/>
              </w:rPr>
            </w:pPr>
            <w:r>
              <w:rPr>
                <w:rFonts w:hint="eastAsia" w:ascii="宋体" w:hAnsi="宋体" w:cs="宋体"/>
                <w:b/>
                <w:color w:val="auto"/>
                <w:sz w:val="24"/>
                <w:szCs w:val="21"/>
                <w:highlight w:val="none"/>
                <w:lang w:val="en-US" w:eastAsia="zh-CN"/>
              </w:rPr>
              <w:t>谈判</w:t>
            </w:r>
            <w:r>
              <w:rPr>
                <w:rFonts w:hint="eastAsia" w:ascii="宋体" w:hAnsi="宋体" w:cs="宋体"/>
                <w:b/>
                <w:color w:val="auto"/>
                <w:sz w:val="24"/>
                <w:szCs w:val="21"/>
                <w:highlight w:val="none"/>
              </w:rPr>
              <w:t>文件规定填写</w:t>
            </w:r>
          </w:p>
        </w:tc>
        <w:tc>
          <w:tcPr>
            <w:tcW w:w="4200" w:type="dxa"/>
            <w:gridSpan w:val="2"/>
            <w:noWrap w:val="0"/>
            <w:vAlign w:val="center"/>
          </w:tcPr>
          <w:p w14:paraId="03953F55">
            <w:pPr>
              <w:jc w:val="center"/>
              <w:rPr>
                <w:rFonts w:ascii="宋体" w:hAnsi="宋体" w:cs="宋体"/>
                <w:b/>
                <w:color w:val="auto"/>
                <w:sz w:val="24"/>
                <w:szCs w:val="21"/>
                <w:highlight w:val="none"/>
              </w:rPr>
            </w:pPr>
            <w:r>
              <w:rPr>
                <w:rFonts w:hint="eastAsia" w:ascii="宋体" w:hAnsi="宋体" w:cs="宋体"/>
                <w:b/>
                <w:color w:val="auto"/>
                <w:sz w:val="24"/>
                <w:szCs w:val="21"/>
                <w:highlight w:val="none"/>
              </w:rPr>
              <w:t>按供应商所投内容填写</w:t>
            </w:r>
          </w:p>
        </w:tc>
      </w:tr>
      <w:tr w14:paraId="2542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593B14B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序号</w:t>
            </w:r>
          </w:p>
        </w:tc>
        <w:tc>
          <w:tcPr>
            <w:tcW w:w="1794" w:type="dxa"/>
            <w:noWrap w:val="0"/>
            <w:vAlign w:val="center"/>
          </w:tcPr>
          <w:p w14:paraId="5DED837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内容</w:t>
            </w:r>
          </w:p>
        </w:tc>
        <w:tc>
          <w:tcPr>
            <w:tcW w:w="2196" w:type="dxa"/>
            <w:noWrap w:val="0"/>
            <w:vAlign w:val="center"/>
          </w:tcPr>
          <w:p w14:paraId="05A67DD0">
            <w:pPr>
              <w:jc w:val="center"/>
              <w:rPr>
                <w:rFonts w:ascii="宋体" w:hAnsi="宋体" w:cs="宋体"/>
                <w:b/>
                <w:color w:val="auto"/>
                <w:sz w:val="24"/>
                <w:szCs w:val="21"/>
                <w:highlight w:val="none"/>
              </w:rPr>
            </w:pPr>
            <w:r>
              <w:rPr>
                <w:rFonts w:hint="eastAsia" w:ascii="宋体" w:hAnsi="宋体" w:cs="宋体"/>
                <w:b/>
                <w:color w:val="auto"/>
                <w:sz w:val="24"/>
                <w:szCs w:val="21"/>
                <w:highlight w:val="none"/>
                <w:lang w:val="en-US" w:eastAsia="zh-CN"/>
              </w:rPr>
              <w:t>谈判</w:t>
            </w:r>
            <w:r>
              <w:rPr>
                <w:rFonts w:hint="eastAsia" w:ascii="宋体" w:hAnsi="宋体" w:cs="宋体"/>
                <w:b/>
                <w:color w:val="auto"/>
                <w:sz w:val="24"/>
                <w:szCs w:val="21"/>
                <w:highlight w:val="none"/>
              </w:rPr>
              <w:t>文件要求</w:t>
            </w:r>
          </w:p>
        </w:tc>
        <w:tc>
          <w:tcPr>
            <w:tcW w:w="2222" w:type="dxa"/>
            <w:noWrap w:val="0"/>
            <w:vAlign w:val="center"/>
          </w:tcPr>
          <w:p w14:paraId="1FE4748B">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响应承诺</w:t>
            </w:r>
          </w:p>
        </w:tc>
        <w:tc>
          <w:tcPr>
            <w:tcW w:w="1978" w:type="dxa"/>
            <w:noWrap w:val="0"/>
            <w:vAlign w:val="center"/>
          </w:tcPr>
          <w:p w14:paraId="7485A2E9">
            <w:pPr>
              <w:jc w:val="center"/>
              <w:rPr>
                <w:rFonts w:ascii="宋体" w:hAnsi="宋体" w:cs="宋体"/>
                <w:b/>
                <w:color w:val="auto"/>
                <w:sz w:val="24"/>
                <w:szCs w:val="21"/>
                <w:highlight w:val="none"/>
              </w:rPr>
            </w:pPr>
            <w:r>
              <w:rPr>
                <w:rFonts w:hint="eastAsia" w:ascii="宋体" w:hAnsi="宋体" w:cs="宋体"/>
                <w:b/>
                <w:color w:val="auto"/>
                <w:sz w:val="24"/>
                <w:szCs w:val="21"/>
                <w:highlight w:val="none"/>
              </w:rPr>
              <w:t>偏离说明</w:t>
            </w:r>
          </w:p>
        </w:tc>
      </w:tr>
      <w:tr w14:paraId="4D1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44C051DB">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794" w:type="dxa"/>
            <w:noWrap w:val="0"/>
            <w:vAlign w:val="center"/>
          </w:tcPr>
          <w:p w14:paraId="78EE98FA">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服务内容</w:t>
            </w:r>
          </w:p>
        </w:tc>
        <w:tc>
          <w:tcPr>
            <w:tcW w:w="2196" w:type="dxa"/>
            <w:noWrap w:val="0"/>
            <w:vAlign w:val="center"/>
          </w:tcPr>
          <w:p w14:paraId="756E6E75">
            <w:pPr>
              <w:rPr>
                <w:rFonts w:ascii="宋体" w:hAnsi="宋体" w:cs="宋体"/>
                <w:color w:val="auto"/>
                <w:sz w:val="24"/>
                <w:szCs w:val="24"/>
                <w:highlight w:val="none"/>
              </w:rPr>
            </w:pPr>
          </w:p>
        </w:tc>
        <w:tc>
          <w:tcPr>
            <w:tcW w:w="2222" w:type="dxa"/>
            <w:noWrap w:val="0"/>
            <w:vAlign w:val="center"/>
          </w:tcPr>
          <w:p w14:paraId="065B3813">
            <w:pPr>
              <w:rPr>
                <w:rFonts w:ascii="宋体" w:hAnsi="宋体" w:cs="宋体"/>
                <w:color w:val="auto"/>
                <w:sz w:val="24"/>
                <w:szCs w:val="24"/>
                <w:highlight w:val="none"/>
              </w:rPr>
            </w:pPr>
          </w:p>
        </w:tc>
        <w:tc>
          <w:tcPr>
            <w:tcW w:w="1978" w:type="dxa"/>
            <w:noWrap w:val="0"/>
            <w:vAlign w:val="center"/>
          </w:tcPr>
          <w:p w14:paraId="369D5EFE">
            <w:pPr>
              <w:rPr>
                <w:rFonts w:ascii="宋体" w:hAnsi="宋体" w:cs="宋体"/>
                <w:color w:val="auto"/>
                <w:sz w:val="24"/>
                <w:szCs w:val="24"/>
                <w:highlight w:val="none"/>
              </w:rPr>
            </w:pPr>
          </w:p>
        </w:tc>
      </w:tr>
      <w:tr w14:paraId="76EC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50E62E1">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794" w:type="dxa"/>
            <w:noWrap w:val="0"/>
            <w:vAlign w:val="center"/>
          </w:tcPr>
          <w:p w14:paraId="12A95710">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服务</w:t>
            </w:r>
            <w:r>
              <w:rPr>
                <w:rFonts w:hint="eastAsia" w:ascii="宋体" w:hAnsi="宋体" w:eastAsia="宋体" w:cs="宋体"/>
                <w:b w:val="0"/>
                <w:bCs/>
                <w:color w:val="auto"/>
                <w:sz w:val="24"/>
                <w:szCs w:val="21"/>
                <w:highlight w:val="none"/>
              </w:rPr>
              <w:t>期</w:t>
            </w:r>
          </w:p>
        </w:tc>
        <w:tc>
          <w:tcPr>
            <w:tcW w:w="2196" w:type="dxa"/>
            <w:noWrap w:val="0"/>
            <w:vAlign w:val="center"/>
          </w:tcPr>
          <w:p w14:paraId="372BCF2F">
            <w:pPr>
              <w:rPr>
                <w:rFonts w:ascii="宋体" w:hAnsi="宋体" w:cs="宋体"/>
                <w:color w:val="auto"/>
                <w:sz w:val="24"/>
                <w:szCs w:val="24"/>
                <w:highlight w:val="none"/>
              </w:rPr>
            </w:pPr>
          </w:p>
        </w:tc>
        <w:tc>
          <w:tcPr>
            <w:tcW w:w="2222" w:type="dxa"/>
            <w:noWrap w:val="0"/>
            <w:vAlign w:val="center"/>
          </w:tcPr>
          <w:p w14:paraId="4A440E36">
            <w:pPr>
              <w:rPr>
                <w:rFonts w:ascii="宋体" w:hAnsi="宋体" w:cs="宋体"/>
                <w:color w:val="auto"/>
                <w:sz w:val="24"/>
                <w:szCs w:val="24"/>
                <w:highlight w:val="none"/>
              </w:rPr>
            </w:pPr>
          </w:p>
        </w:tc>
        <w:tc>
          <w:tcPr>
            <w:tcW w:w="1978" w:type="dxa"/>
            <w:noWrap w:val="0"/>
            <w:vAlign w:val="center"/>
          </w:tcPr>
          <w:p w14:paraId="68966357">
            <w:pPr>
              <w:rPr>
                <w:rFonts w:ascii="宋体" w:hAnsi="宋体" w:cs="宋体"/>
                <w:color w:val="auto"/>
                <w:sz w:val="24"/>
                <w:szCs w:val="24"/>
                <w:highlight w:val="none"/>
              </w:rPr>
            </w:pPr>
          </w:p>
        </w:tc>
      </w:tr>
      <w:tr w14:paraId="69E2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252AF0">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794" w:type="dxa"/>
            <w:noWrap w:val="0"/>
            <w:vAlign w:val="center"/>
          </w:tcPr>
          <w:p w14:paraId="0475F3C3">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付款方式</w:t>
            </w:r>
          </w:p>
        </w:tc>
        <w:tc>
          <w:tcPr>
            <w:tcW w:w="2196" w:type="dxa"/>
            <w:noWrap w:val="0"/>
            <w:vAlign w:val="center"/>
          </w:tcPr>
          <w:p w14:paraId="300D284A">
            <w:pPr>
              <w:rPr>
                <w:rFonts w:ascii="宋体" w:hAnsi="宋体" w:cs="宋体"/>
                <w:color w:val="auto"/>
                <w:sz w:val="24"/>
                <w:szCs w:val="24"/>
                <w:highlight w:val="none"/>
              </w:rPr>
            </w:pPr>
          </w:p>
        </w:tc>
        <w:tc>
          <w:tcPr>
            <w:tcW w:w="2222" w:type="dxa"/>
            <w:noWrap w:val="0"/>
            <w:vAlign w:val="center"/>
          </w:tcPr>
          <w:p w14:paraId="3D26CD32">
            <w:pPr>
              <w:rPr>
                <w:rFonts w:ascii="宋体" w:hAnsi="宋体" w:cs="宋体"/>
                <w:color w:val="auto"/>
                <w:sz w:val="24"/>
                <w:szCs w:val="24"/>
                <w:highlight w:val="none"/>
              </w:rPr>
            </w:pPr>
          </w:p>
        </w:tc>
        <w:tc>
          <w:tcPr>
            <w:tcW w:w="1978" w:type="dxa"/>
            <w:noWrap w:val="0"/>
            <w:vAlign w:val="center"/>
          </w:tcPr>
          <w:p w14:paraId="3F4AC11F">
            <w:pPr>
              <w:rPr>
                <w:rFonts w:ascii="宋体" w:hAnsi="宋体" w:cs="宋体"/>
                <w:color w:val="auto"/>
                <w:sz w:val="24"/>
                <w:szCs w:val="24"/>
                <w:highlight w:val="none"/>
              </w:rPr>
            </w:pPr>
          </w:p>
        </w:tc>
      </w:tr>
      <w:tr w14:paraId="2248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4E854C6">
            <w:pPr>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794" w:type="dxa"/>
            <w:noWrap w:val="0"/>
            <w:vAlign w:val="center"/>
          </w:tcPr>
          <w:p w14:paraId="3744026C">
            <w:pPr>
              <w:jc w:val="center"/>
              <w:rPr>
                <w:rFonts w:hint="eastAsia" w:ascii="宋体" w:hAnsi="宋体" w:eastAsia="宋体" w:cs="宋体"/>
                <w:b w:val="0"/>
                <w:bCs/>
                <w:color w:val="auto"/>
                <w:sz w:val="24"/>
                <w:szCs w:val="21"/>
                <w:highlight w:val="none"/>
              </w:rPr>
            </w:pPr>
            <w:r>
              <w:rPr>
                <w:rFonts w:hint="eastAsia" w:ascii="宋体" w:hAnsi="宋体" w:eastAsia="宋体" w:cs="宋体"/>
                <w:b w:val="0"/>
                <w:bCs/>
                <w:color w:val="auto"/>
                <w:sz w:val="24"/>
                <w:szCs w:val="21"/>
                <w:highlight w:val="none"/>
                <w:lang w:val="en-US" w:eastAsia="zh-CN"/>
              </w:rPr>
              <w:t>服务内容</w:t>
            </w:r>
          </w:p>
        </w:tc>
        <w:tc>
          <w:tcPr>
            <w:tcW w:w="2196" w:type="dxa"/>
            <w:noWrap w:val="0"/>
            <w:vAlign w:val="center"/>
          </w:tcPr>
          <w:p w14:paraId="71939436">
            <w:pPr>
              <w:rPr>
                <w:rFonts w:ascii="宋体" w:hAnsi="宋体" w:cs="宋体"/>
                <w:color w:val="auto"/>
                <w:sz w:val="24"/>
                <w:szCs w:val="24"/>
                <w:highlight w:val="none"/>
              </w:rPr>
            </w:pPr>
          </w:p>
        </w:tc>
        <w:tc>
          <w:tcPr>
            <w:tcW w:w="2222" w:type="dxa"/>
            <w:noWrap w:val="0"/>
            <w:vAlign w:val="center"/>
          </w:tcPr>
          <w:p w14:paraId="3E4B6FD7">
            <w:pPr>
              <w:rPr>
                <w:rFonts w:ascii="宋体" w:hAnsi="宋体" w:cs="宋体"/>
                <w:color w:val="auto"/>
                <w:sz w:val="24"/>
                <w:szCs w:val="24"/>
                <w:highlight w:val="none"/>
              </w:rPr>
            </w:pPr>
          </w:p>
        </w:tc>
        <w:tc>
          <w:tcPr>
            <w:tcW w:w="1978" w:type="dxa"/>
            <w:noWrap w:val="0"/>
            <w:vAlign w:val="center"/>
          </w:tcPr>
          <w:p w14:paraId="03CBB112">
            <w:pPr>
              <w:rPr>
                <w:rFonts w:ascii="宋体" w:hAnsi="宋体" w:cs="宋体"/>
                <w:color w:val="auto"/>
                <w:sz w:val="24"/>
                <w:szCs w:val="24"/>
                <w:highlight w:val="none"/>
              </w:rPr>
            </w:pPr>
          </w:p>
        </w:tc>
      </w:tr>
    </w:tbl>
    <w:p w14:paraId="0AEA6A46">
      <w:pPr>
        <w:pStyle w:val="3"/>
        <w:adjustRightInd w:val="0"/>
        <w:snapToGrid w:val="0"/>
        <w:spacing w:before="156" w:beforeLines="50" w:after="156" w:afterLines="50" w:line="440" w:lineRule="exact"/>
        <w:ind w:left="0" w:leftChars="0" w:firstLine="0" w:firstLineChars="0"/>
        <w:jc w:val="center"/>
        <w:outlineLvl w:val="1"/>
        <w:rPr>
          <w:rFonts w:hint="eastAsia" w:ascii="宋体" w:hAnsi="宋体" w:eastAsia="宋体" w:cs="宋体"/>
          <w:color w:val="auto"/>
          <w:kern w:val="2"/>
          <w:sz w:val="30"/>
          <w:szCs w:val="30"/>
          <w:highlight w:val="none"/>
        </w:rPr>
      </w:pPr>
      <w:r>
        <w:rPr>
          <w:rFonts w:hint="eastAsia" w:ascii="宋体" w:hAnsi="宋体" w:cs="宋体"/>
          <w:color w:val="auto"/>
          <w:kern w:val="2"/>
          <w:sz w:val="24"/>
          <w:szCs w:val="24"/>
          <w:highlight w:val="none"/>
          <w:lang w:val="en-US" w:eastAsia="zh-CN"/>
        </w:rPr>
        <w:br w:type="page"/>
      </w:r>
      <w:r>
        <w:rPr>
          <w:rFonts w:hint="eastAsia" w:ascii="宋体" w:hAnsi="宋体" w:eastAsia="宋体" w:cs="宋体"/>
          <w:color w:val="auto"/>
          <w:kern w:val="2"/>
          <w:sz w:val="30"/>
          <w:szCs w:val="30"/>
          <w:highlight w:val="none"/>
          <w:lang w:val="en-US" w:eastAsia="zh-CN"/>
        </w:rPr>
        <w:t>七</w:t>
      </w:r>
      <w:r>
        <w:rPr>
          <w:rFonts w:hint="eastAsia" w:ascii="宋体" w:hAnsi="宋体" w:eastAsia="宋体" w:cs="宋体"/>
          <w:color w:val="auto"/>
          <w:kern w:val="2"/>
          <w:sz w:val="30"/>
          <w:szCs w:val="30"/>
          <w:highlight w:val="none"/>
          <w:lang w:eastAsia="zh-CN"/>
        </w:rPr>
        <w:t>、</w:t>
      </w:r>
      <w:r>
        <w:rPr>
          <w:rFonts w:hint="eastAsia" w:ascii="宋体" w:hAnsi="宋体" w:eastAsia="宋体" w:cs="宋体"/>
          <w:color w:val="auto"/>
          <w:kern w:val="2"/>
          <w:sz w:val="30"/>
          <w:szCs w:val="30"/>
          <w:highlight w:val="none"/>
        </w:rPr>
        <w:t>其他资料</w:t>
      </w:r>
    </w:p>
    <w:p w14:paraId="09B380FE">
      <w:pPr>
        <w:adjustRightInd w:val="0"/>
        <w:snapToGrid w:val="0"/>
        <w:spacing w:before="156" w:beforeLines="50" w:after="156" w:afterLines="50" w:line="440" w:lineRule="exact"/>
        <w:jc w:val="center"/>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eastAsia="zh-CN"/>
        </w:rPr>
        <w:t>谈判</w:t>
      </w:r>
      <w:r>
        <w:rPr>
          <w:rFonts w:hint="eastAsia" w:ascii="宋体" w:hAnsi="宋体" w:eastAsia="宋体" w:cs="宋体"/>
          <w:color w:val="auto"/>
          <w:kern w:val="2"/>
          <w:sz w:val="24"/>
          <w:szCs w:val="24"/>
          <w:highlight w:val="none"/>
        </w:rPr>
        <w:t>文件要求提交的</w:t>
      </w:r>
      <w:r>
        <w:rPr>
          <w:rFonts w:hint="eastAsia" w:ascii="宋体" w:hAnsi="宋体" w:cs="宋体"/>
          <w:color w:val="auto"/>
          <w:kern w:val="2"/>
          <w:sz w:val="24"/>
          <w:szCs w:val="24"/>
          <w:highlight w:val="none"/>
          <w:lang w:val="en-US" w:eastAsia="zh-CN"/>
        </w:rPr>
        <w:t>技术标评审资料</w:t>
      </w:r>
      <w:r>
        <w:rPr>
          <w:rFonts w:hint="eastAsia" w:ascii="宋体" w:hAnsi="宋体" w:eastAsia="宋体" w:cs="宋体"/>
          <w:color w:val="auto"/>
          <w:kern w:val="2"/>
          <w:sz w:val="24"/>
          <w:szCs w:val="24"/>
          <w:highlight w:val="none"/>
          <w:lang w:val="en-US" w:eastAsia="zh-CN"/>
        </w:rPr>
        <w:t>以及供应商认为应当提交的其他资料。</w:t>
      </w:r>
      <w:bookmarkEnd w:id="60"/>
      <w:bookmarkEnd w:id="61"/>
      <w:bookmarkEnd w:id="62"/>
    </w:p>
    <w:p w14:paraId="5F5741E1">
      <w:pP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br w:type="page"/>
      </w:r>
    </w:p>
    <w:p w14:paraId="09F45BA2">
      <w:pPr>
        <w:keepNext w:val="0"/>
        <w:keepLines w:val="0"/>
        <w:pageBreakBefore w:val="0"/>
        <w:widowControl w:val="0"/>
        <w:kinsoku/>
        <w:wordWrap/>
        <w:overflowPunct/>
        <w:topLinePunct w:val="0"/>
        <w:autoSpaceDE w:val="0"/>
        <w:autoSpaceDN w:val="0"/>
        <w:bidi w:val="0"/>
        <w:adjustRightInd w:val="0"/>
        <w:snapToGrid w:val="0"/>
        <w:ind w:right="0"/>
        <w:jc w:val="center"/>
        <w:textAlignment w:val="auto"/>
        <w:outlineLvl w:val="1"/>
        <w:rPr>
          <w:rFonts w:hint="eastAsia" w:ascii="黑体" w:hAnsi="黑体" w:eastAsia="黑体" w:cs="黑体"/>
          <w:b/>
          <w:bCs/>
          <w:color w:val="auto"/>
          <w:sz w:val="30"/>
          <w:szCs w:val="30"/>
          <w:highlight w:val="none"/>
          <w:lang w:val="zh-CN" w:bidi="zh-CN"/>
        </w:rPr>
      </w:pPr>
      <w:r>
        <w:rPr>
          <w:rFonts w:hint="eastAsia" w:ascii="黑体" w:hAnsi="黑体" w:eastAsia="黑体" w:cs="黑体"/>
          <w:b/>
          <w:bCs/>
          <w:color w:val="auto"/>
          <w:kern w:val="2"/>
          <w:sz w:val="30"/>
          <w:szCs w:val="30"/>
          <w:highlight w:val="none"/>
          <w:lang w:val="en-US" w:eastAsia="zh-CN" w:bidi="ar-SA"/>
        </w:rPr>
        <w:t>最终</w:t>
      </w:r>
      <w:r>
        <w:rPr>
          <w:rFonts w:hint="eastAsia" w:ascii="黑体" w:hAnsi="黑体" w:eastAsia="黑体" w:cs="黑体"/>
          <w:b/>
          <w:bCs/>
          <w:color w:val="auto"/>
          <w:kern w:val="2"/>
          <w:sz w:val="30"/>
          <w:szCs w:val="30"/>
          <w:highlight w:val="none"/>
          <w:lang w:val="zh-CN" w:eastAsia="zh-CN" w:bidi="ar-SA"/>
        </w:rPr>
        <w:t>承</w:t>
      </w:r>
      <w:r>
        <w:rPr>
          <w:rFonts w:hint="eastAsia" w:ascii="黑体" w:hAnsi="黑体" w:eastAsia="黑体" w:cs="黑体"/>
          <w:b/>
          <w:bCs/>
          <w:color w:val="auto"/>
          <w:sz w:val="30"/>
          <w:szCs w:val="30"/>
          <w:highlight w:val="none"/>
          <w:lang w:val="zh-CN" w:bidi="zh-CN"/>
        </w:rPr>
        <w:t>诺报价表</w:t>
      </w:r>
    </w:p>
    <w:p w14:paraId="314F0EE4">
      <w:pPr>
        <w:autoSpaceDE w:val="0"/>
        <w:autoSpaceDN w:val="0"/>
        <w:spacing w:before="9"/>
        <w:jc w:val="left"/>
        <w:rPr>
          <w:rFonts w:ascii="宋体" w:hAnsi="宋体" w:cs="宋体"/>
          <w:b/>
          <w:color w:val="auto"/>
          <w:sz w:val="24"/>
          <w:szCs w:val="24"/>
          <w:highlight w:val="none"/>
          <w:lang w:val="zh-CN" w:bidi="zh-CN"/>
        </w:rPr>
      </w:pPr>
    </w:p>
    <w:p w14:paraId="64A1F001">
      <w:pPr>
        <w:tabs>
          <w:tab w:val="left" w:pos="1663"/>
        </w:tabs>
        <w:autoSpaceDE w:val="0"/>
        <w:autoSpaceDN w:val="0"/>
        <w:ind w:left="96"/>
        <w:jc w:val="center"/>
        <w:outlineLvl w:val="9"/>
        <w:rPr>
          <w:rFonts w:ascii="宋体" w:hAnsi="宋体" w:cs="宋体"/>
          <w:b/>
          <w:bCs/>
          <w:color w:val="auto"/>
          <w:sz w:val="24"/>
          <w:szCs w:val="24"/>
          <w:highlight w:val="none"/>
          <w:lang w:val="zh-CN" w:bidi="zh-CN"/>
        </w:rPr>
      </w:pPr>
      <w:r>
        <w:rPr>
          <w:rFonts w:ascii="宋体" w:hAnsi="宋体" w:cs="宋体"/>
          <w:b/>
          <w:bCs/>
          <w:color w:val="auto"/>
          <w:sz w:val="24"/>
          <w:szCs w:val="24"/>
          <w:highlight w:val="none"/>
          <w:lang w:val="zh-CN" w:bidi="zh-CN"/>
        </w:rPr>
        <w:t>（某项目第</w:t>
      </w:r>
      <w:r>
        <w:rPr>
          <w:rFonts w:hint="eastAsia" w:ascii="宋体" w:hAnsi="宋体" w:cs="宋体"/>
          <w:b/>
          <w:bCs/>
          <w:color w:val="auto"/>
          <w:sz w:val="24"/>
          <w:szCs w:val="24"/>
          <w:highlight w:val="none"/>
          <w:u w:val="single"/>
          <w:lang w:val="en-US" w:bidi="zh-CN"/>
        </w:rPr>
        <w:tab/>
      </w:r>
      <w:r>
        <w:rPr>
          <w:rFonts w:hint="eastAsia" w:ascii="宋体" w:hAnsi="宋体" w:cs="宋体"/>
          <w:b/>
          <w:bCs/>
          <w:color w:val="auto"/>
          <w:sz w:val="24"/>
          <w:szCs w:val="24"/>
          <w:highlight w:val="none"/>
          <w:u w:val="single"/>
          <w:lang w:val="en-US" w:bidi="zh-CN"/>
        </w:rPr>
        <w:tab/>
      </w:r>
      <w:r>
        <w:rPr>
          <w:rFonts w:hint="eastAsia" w:ascii="宋体" w:hAnsi="宋体" w:cs="宋体"/>
          <w:b/>
          <w:bCs/>
          <w:color w:val="auto"/>
          <w:sz w:val="24"/>
          <w:szCs w:val="24"/>
          <w:highlight w:val="none"/>
          <w:u w:val="single"/>
          <w:lang w:val="en-US" w:bidi="zh-CN"/>
        </w:rPr>
        <w:tab/>
      </w:r>
      <w:r>
        <w:rPr>
          <w:rFonts w:ascii="宋体" w:hAnsi="宋体" w:cs="宋体"/>
          <w:b/>
          <w:bCs/>
          <w:color w:val="auto"/>
          <w:sz w:val="24"/>
          <w:szCs w:val="24"/>
          <w:highlight w:val="none"/>
          <w:lang w:val="zh-CN" w:bidi="zh-CN"/>
        </w:rPr>
        <w:t>次报价书）</w:t>
      </w:r>
    </w:p>
    <w:p w14:paraId="686BD2C8">
      <w:pPr>
        <w:keepNext w:val="0"/>
        <w:keepLines w:val="0"/>
        <w:pageBreakBefore w:val="0"/>
        <w:widowControl w:val="0"/>
        <w:tabs>
          <w:tab w:val="left" w:pos="2992"/>
        </w:tabs>
        <w:kinsoku/>
        <w:wordWrap/>
        <w:overflowPunct/>
        <w:topLinePunct w:val="0"/>
        <w:autoSpaceDE w:val="0"/>
        <w:autoSpaceDN w:val="0"/>
        <w:bidi w:val="0"/>
        <w:adjustRightInd/>
        <w:snapToGrid/>
        <w:spacing w:line="360" w:lineRule="auto"/>
        <w:ind w:left="0" w:right="0"/>
        <w:jc w:val="left"/>
        <w:textAlignment w:val="auto"/>
        <w:outlineLvl w:val="9"/>
        <w:rPr>
          <w:rFonts w:ascii="宋体" w:hAnsi="宋体" w:cs="宋体"/>
          <w:b/>
          <w:bCs/>
          <w:color w:val="auto"/>
          <w:sz w:val="24"/>
          <w:szCs w:val="24"/>
          <w:highlight w:val="none"/>
          <w:lang w:val="zh-CN" w:bidi="zh-CN"/>
        </w:rPr>
      </w:pPr>
    </w:p>
    <w:p w14:paraId="70468AF0">
      <w:pPr>
        <w:keepNext w:val="0"/>
        <w:keepLines w:val="0"/>
        <w:pageBreakBefore w:val="0"/>
        <w:widowControl w:val="0"/>
        <w:tabs>
          <w:tab w:val="left" w:pos="2992"/>
        </w:tabs>
        <w:kinsoku/>
        <w:wordWrap/>
        <w:overflowPunct/>
        <w:topLinePunct w:val="0"/>
        <w:autoSpaceDE w:val="0"/>
        <w:autoSpaceDN w:val="0"/>
        <w:bidi w:val="0"/>
        <w:adjustRightInd/>
        <w:snapToGrid/>
        <w:spacing w:line="360" w:lineRule="auto"/>
        <w:ind w:left="0" w:right="0"/>
        <w:jc w:val="left"/>
        <w:textAlignment w:val="auto"/>
        <w:outlineLvl w:val="9"/>
        <w:rPr>
          <w:rFonts w:hint="default" w:ascii="宋体" w:hAnsi="宋体" w:cs="宋体"/>
          <w:b/>
          <w:bCs/>
          <w:color w:val="auto"/>
          <w:sz w:val="24"/>
          <w:szCs w:val="24"/>
          <w:highlight w:val="none"/>
          <w:u w:val="single"/>
          <w:lang w:val="en-US" w:bidi="zh-CN"/>
        </w:rPr>
      </w:pPr>
      <w:r>
        <w:rPr>
          <w:rFonts w:ascii="宋体" w:hAnsi="宋体" w:cs="宋体"/>
          <w:b/>
          <w:bCs/>
          <w:color w:val="auto"/>
          <w:sz w:val="24"/>
          <w:szCs w:val="24"/>
          <w:highlight w:val="none"/>
          <w:lang w:val="zh-CN" w:bidi="zh-CN"/>
        </w:rPr>
        <w:t>项目名称：</w:t>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p>
    <w:p w14:paraId="64EB8FBE">
      <w:pPr>
        <w:keepNext w:val="0"/>
        <w:keepLines w:val="0"/>
        <w:pageBreakBefore w:val="0"/>
        <w:widowControl w:val="0"/>
        <w:tabs>
          <w:tab w:val="left" w:pos="2992"/>
        </w:tabs>
        <w:kinsoku/>
        <w:wordWrap/>
        <w:overflowPunct/>
        <w:topLinePunct w:val="0"/>
        <w:autoSpaceDE w:val="0"/>
        <w:autoSpaceDN w:val="0"/>
        <w:bidi w:val="0"/>
        <w:adjustRightInd/>
        <w:snapToGrid/>
        <w:spacing w:line="360" w:lineRule="auto"/>
        <w:ind w:left="0" w:right="0"/>
        <w:jc w:val="left"/>
        <w:textAlignment w:val="auto"/>
        <w:outlineLvl w:val="9"/>
        <w:rPr>
          <w:rFonts w:hint="default" w:ascii="宋体" w:hAnsi="宋体" w:cs="宋体"/>
          <w:b/>
          <w:bCs/>
          <w:color w:val="auto"/>
          <w:sz w:val="24"/>
          <w:szCs w:val="24"/>
          <w:highlight w:val="none"/>
          <w:lang w:val="en-US" w:bidi="zh-CN"/>
        </w:rPr>
      </w:pPr>
      <w:r>
        <w:rPr>
          <w:rFonts w:ascii="宋体" w:hAnsi="宋体" w:cs="宋体"/>
          <w:b/>
          <w:bCs/>
          <w:color w:val="auto"/>
          <w:sz w:val="24"/>
          <w:szCs w:val="24"/>
          <w:highlight w:val="none"/>
          <w:lang w:val="zh-CN" w:bidi="zh-CN"/>
        </w:rPr>
        <w:t>项目编号：</w:t>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r>
        <w:rPr>
          <w:rFonts w:hint="eastAsia" w:ascii="宋体" w:hAnsi="宋体" w:cs="宋体"/>
          <w:b/>
          <w:bCs/>
          <w:color w:val="auto"/>
          <w:spacing w:val="119"/>
          <w:sz w:val="24"/>
          <w:szCs w:val="24"/>
          <w:highlight w:val="none"/>
          <w:u w:val="single"/>
          <w:lang w:val="en-US" w:bidi="zh-CN"/>
        </w:rPr>
        <w:tab/>
      </w:r>
    </w:p>
    <w:p w14:paraId="1485D89A">
      <w:pPr>
        <w:pStyle w:val="36"/>
        <w:rPr>
          <w:color w:val="auto"/>
          <w:highlight w:val="none"/>
          <w:lang w:val="zh-CN"/>
        </w:rPr>
      </w:pPr>
    </w:p>
    <w:tbl>
      <w:tblPr>
        <w:tblStyle w:val="38"/>
        <w:tblW w:w="91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709"/>
      </w:tblGrid>
      <w:tr w14:paraId="53F9C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jc w:val="center"/>
        </w:trPr>
        <w:tc>
          <w:tcPr>
            <w:tcW w:w="2461" w:type="dxa"/>
            <w:noWrap w:val="0"/>
            <w:vAlign w:val="center"/>
          </w:tcPr>
          <w:p w14:paraId="3083F5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bCs/>
                <w:i w:val="0"/>
                <w:iCs w:val="0"/>
                <w:color w:val="auto"/>
                <w:kern w:val="0"/>
                <w:sz w:val="24"/>
                <w:szCs w:val="24"/>
                <w:highlight w:val="none"/>
                <w:u w:val="none"/>
                <w:lang w:val="zh-CN" w:eastAsia="zh-CN" w:bidi="ar"/>
              </w:rPr>
            </w:pPr>
            <w:r>
              <w:rPr>
                <w:rFonts w:hint="eastAsia" w:ascii="宋体" w:hAnsi="宋体" w:cs="宋体"/>
                <w:b/>
                <w:bCs/>
                <w:i w:val="0"/>
                <w:iCs w:val="0"/>
                <w:color w:val="auto"/>
                <w:kern w:val="0"/>
                <w:sz w:val="24"/>
                <w:szCs w:val="24"/>
                <w:highlight w:val="none"/>
                <w:u w:val="none"/>
                <w:lang w:val="zh-CN" w:eastAsia="zh-CN" w:bidi="ar"/>
              </w:rPr>
              <w:t>供应商名称</w:t>
            </w:r>
          </w:p>
        </w:tc>
        <w:tc>
          <w:tcPr>
            <w:tcW w:w="6709" w:type="dxa"/>
            <w:noWrap w:val="0"/>
            <w:vAlign w:val="center"/>
          </w:tcPr>
          <w:p w14:paraId="25E0ED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auto"/>
                <w:kern w:val="0"/>
                <w:sz w:val="24"/>
                <w:szCs w:val="24"/>
                <w:highlight w:val="none"/>
                <w:u w:val="none"/>
                <w:lang w:val="zh-CN" w:eastAsia="zh-CN" w:bidi="ar"/>
              </w:rPr>
            </w:pPr>
          </w:p>
        </w:tc>
      </w:tr>
      <w:tr w14:paraId="6F013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jc w:val="center"/>
        </w:trPr>
        <w:tc>
          <w:tcPr>
            <w:tcW w:w="2461" w:type="dxa"/>
            <w:noWrap w:val="0"/>
            <w:vAlign w:val="center"/>
          </w:tcPr>
          <w:p w14:paraId="34555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bCs/>
                <w:i w:val="0"/>
                <w:iCs w:val="0"/>
                <w:color w:val="auto"/>
                <w:kern w:val="0"/>
                <w:sz w:val="24"/>
                <w:szCs w:val="24"/>
                <w:highlight w:val="none"/>
                <w:u w:val="none"/>
                <w:lang w:val="zh-CN" w:eastAsia="zh-CN" w:bidi="ar"/>
              </w:rPr>
            </w:pPr>
            <w:r>
              <w:rPr>
                <w:rFonts w:hint="eastAsia" w:ascii="宋体" w:hAnsi="宋体" w:cs="宋体"/>
                <w:b/>
                <w:bCs/>
                <w:i w:val="0"/>
                <w:iCs w:val="0"/>
                <w:color w:val="auto"/>
                <w:kern w:val="0"/>
                <w:sz w:val="24"/>
                <w:szCs w:val="24"/>
                <w:highlight w:val="none"/>
                <w:u w:val="none"/>
                <w:lang w:val="en-US" w:eastAsia="zh-CN" w:bidi="ar"/>
              </w:rPr>
              <w:t>谈判</w:t>
            </w:r>
            <w:r>
              <w:rPr>
                <w:rFonts w:hint="eastAsia" w:ascii="宋体" w:hAnsi="宋体" w:cs="宋体"/>
                <w:b/>
                <w:bCs/>
                <w:i w:val="0"/>
                <w:iCs w:val="0"/>
                <w:color w:val="auto"/>
                <w:kern w:val="0"/>
                <w:sz w:val="24"/>
                <w:szCs w:val="24"/>
                <w:highlight w:val="none"/>
                <w:u w:val="none"/>
                <w:lang w:val="zh-CN" w:eastAsia="zh-CN" w:bidi="ar"/>
              </w:rPr>
              <w:t>范围</w:t>
            </w:r>
          </w:p>
        </w:tc>
        <w:tc>
          <w:tcPr>
            <w:tcW w:w="6709" w:type="dxa"/>
            <w:noWrap w:val="0"/>
            <w:vAlign w:val="center"/>
          </w:tcPr>
          <w:p w14:paraId="390E0B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auto"/>
                <w:kern w:val="0"/>
                <w:sz w:val="24"/>
                <w:szCs w:val="24"/>
                <w:highlight w:val="none"/>
                <w:u w:val="none"/>
                <w:lang w:val="zh-CN" w:eastAsia="zh-CN" w:bidi="ar"/>
              </w:rPr>
            </w:pPr>
            <w:r>
              <w:rPr>
                <w:rFonts w:hint="eastAsia" w:ascii="宋体" w:hAnsi="宋体" w:cs="宋体"/>
                <w:b/>
                <w:bCs/>
                <w:i w:val="0"/>
                <w:iCs w:val="0"/>
                <w:color w:val="auto"/>
                <w:kern w:val="0"/>
                <w:sz w:val="24"/>
                <w:szCs w:val="24"/>
                <w:highlight w:val="none"/>
                <w:u w:val="none"/>
                <w:lang w:val="zh-CN" w:eastAsia="zh-CN" w:bidi="ar"/>
              </w:rPr>
              <w:t>全部</w:t>
            </w:r>
          </w:p>
        </w:tc>
      </w:tr>
      <w:tr w14:paraId="501FE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jc w:val="center"/>
        </w:trPr>
        <w:tc>
          <w:tcPr>
            <w:tcW w:w="2461" w:type="dxa"/>
            <w:noWrap w:val="0"/>
            <w:vAlign w:val="center"/>
          </w:tcPr>
          <w:p w14:paraId="7EB472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bCs/>
                <w:i w:val="0"/>
                <w:iCs w:val="0"/>
                <w:color w:val="auto"/>
                <w:kern w:val="0"/>
                <w:sz w:val="24"/>
                <w:szCs w:val="24"/>
                <w:highlight w:val="none"/>
                <w:u w:val="none"/>
                <w:lang w:val="zh-CN" w:eastAsia="zh-CN" w:bidi="ar"/>
              </w:rPr>
            </w:pPr>
            <w:r>
              <w:rPr>
                <w:rFonts w:hint="eastAsia" w:ascii="宋体" w:hAnsi="宋体" w:cs="宋体"/>
                <w:b/>
                <w:bCs/>
                <w:i w:val="0"/>
                <w:iCs w:val="0"/>
                <w:color w:val="auto"/>
                <w:kern w:val="0"/>
                <w:sz w:val="24"/>
                <w:szCs w:val="24"/>
                <w:highlight w:val="none"/>
                <w:u w:val="none"/>
                <w:lang w:val="en-US" w:eastAsia="zh-CN" w:bidi="ar"/>
              </w:rPr>
              <w:t>投标报价</w:t>
            </w:r>
          </w:p>
        </w:tc>
        <w:tc>
          <w:tcPr>
            <w:tcW w:w="6709" w:type="dxa"/>
            <w:noWrap w:val="0"/>
            <w:vAlign w:val="center"/>
          </w:tcPr>
          <w:p w14:paraId="71C2EBA3">
            <w:pPr>
              <w:spacing w:line="560" w:lineRule="exact"/>
              <w:rPr>
                <w:rFonts w:hint="eastAsia" w:ascii="宋体" w:hAnsi="宋体" w:cs="宋体"/>
                <w:bCs/>
                <w:color w:val="auto"/>
                <w:sz w:val="24"/>
                <w:highlight w:val="none"/>
                <w:u w:val="single"/>
                <w:lang w:val="en-US" w:eastAsia="zh-CN"/>
              </w:rPr>
            </w:pPr>
            <w:r>
              <w:rPr>
                <w:rFonts w:hint="eastAsia" w:ascii="宋体" w:hAnsi="宋体" w:cs="宋体"/>
                <w:bCs/>
                <w:color w:val="auto"/>
                <w:sz w:val="24"/>
                <w:highlight w:val="none"/>
                <w:u w:val="none"/>
                <w:lang w:val="en-US" w:eastAsia="zh-CN"/>
              </w:rPr>
              <w:t>小写：</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元</w:t>
            </w:r>
          </w:p>
          <w:p w14:paraId="634F749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i w:val="0"/>
                <w:iCs w:val="0"/>
                <w:color w:val="auto"/>
                <w:kern w:val="0"/>
                <w:sz w:val="24"/>
                <w:szCs w:val="24"/>
                <w:highlight w:val="none"/>
                <w:u w:val="none"/>
                <w:lang w:val="zh-CN" w:eastAsia="zh-CN" w:bidi="ar"/>
              </w:rPr>
            </w:pPr>
            <w:r>
              <w:rPr>
                <w:rFonts w:hint="eastAsia" w:ascii="宋体" w:hAnsi="宋体" w:cs="宋体"/>
                <w:bCs/>
                <w:color w:val="auto"/>
                <w:sz w:val="24"/>
                <w:highlight w:val="none"/>
                <w:u w:val="none"/>
                <w:lang w:val="en-US" w:eastAsia="zh-CN"/>
              </w:rPr>
              <w:t>大写：</w:t>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r>
              <w:rPr>
                <w:rFonts w:hint="eastAsia" w:ascii="宋体" w:hAnsi="宋体" w:cs="宋体"/>
                <w:color w:val="auto"/>
                <w:sz w:val="21"/>
                <w:szCs w:val="21"/>
                <w:highlight w:val="none"/>
                <w:u w:val="single"/>
                <w:lang w:val="en-US" w:eastAsia="zh-CN"/>
              </w:rPr>
              <w:tab/>
            </w:r>
          </w:p>
        </w:tc>
      </w:tr>
      <w:tr w14:paraId="15317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atLeast"/>
          <w:jc w:val="center"/>
        </w:trPr>
        <w:tc>
          <w:tcPr>
            <w:tcW w:w="2461" w:type="dxa"/>
            <w:noWrap w:val="0"/>
            <w:vAlign w:val="center"/>
          </w:tcPr>
          <w:p w14:paraId="08F701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bCs/>
                <w:i w:val="0"/>
                <w:iCs w:val="0"/>
                <w:color w:val="auto"/>
                <w:kern w:val="0"/>
                <w:sz w:val="24"/>
                <w:szCs w:val="24"/>
                <w:highlight w:val="none"/>
                <w:u w:val="none"/>
                <w:lang w:val="zh-CN" w:eastAsia="zh-CN" w:bidi="ar"/>
              </w:rPr>
            </w:pPr>
            <w:r>
              <w:rPr>
                <w:rFonts w:hint="eastAsia" w:ascii="宋体" w:hAnsi="宋体" w:cs="宋体"/>
                <w:b/>
                <w:bCs/>
                <w:i w:val="0"/>
                <w:iCs w:val="0"/>
                <w:color w:val="auto"/>
                <w:kern w:val="0"/>
                <w:sz w:val="24"/>
                <w:szCs w:val="24"/>
                <w:highlight w:val="none"/>
                <w:u w:val="none"/>
                <w:lang w:val="zh-CN" w:eastAsia="zh-CN" w:bidi="ar"/>
              </w:rPr>
              <w:t>备注说明</w:t>
            </w:r>
          </w:p>
        </w:tc>
        <w:tc>
          <w:tcPr>
            <w:tcW w:w="6709" w:type="dxa"/>
            <w:noWrap w:val="0"/>
            <w:vAlign w:val="center"/>
          </w:tcPr>
          <w:p w14:paraId="10EECA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auto"/>
                <w:kern w:val="0"/>
                <w:sz w:val="24"/>
                <w:szCs w:val="24"/>
                <w:highlight w:val="none"/>
                <w:u w:val="none"/>
                <w:lang w:val="zh-CN" w:eastAsia="zh-CN" w:bidi="ar"/>
              </w:rPr>
            </w:pPr>
          </w:p>
        </w:tc>
      </w:tr>
    </w:tbl>
    <w:p w14:paraId="2290420C">
      <w:pPr>
        <w:autoSpaceDE w:val="0"/>
        <w:autoSpaceDN w:val="0"/>
        <w:spacing w:before="9"/>
        <w:jc w:val="left"/>
        <w:rPr>
          <w:rFonts w:ascii="宋体" w:hAnsi="宋体" w:cs="宋体"/>
          <w:b/>
          <w:color w:val="auto"/>
          <w:sz w:val="12"/>
          <w:szCs w:val="24"/>
          <w:highlight w:val="none"/>
          <w:lang w:val="zh-CN" w:bidi="zh-CN"/>
        </w:rPr>
      </w:pPr>
    </w:p>
    <w:p w14:paraId="64006244">
      <w:pPr>
        <w:autoSpaceDE w:val="0"/>
        <w:autoSpaceDN w:val="0"/>
        <w:spacing w:before="79"/>
        <w:ind w:left="4421"/>
        <w:jc w:val="left"/>
        <w:rPr>
          <w:rFonts w:ascii="宋体" w:hAnsi="宋体" w:cs="宋体"/>
          <w:color w:val="auto"/>
          <w:sz w:val="24"/>
          <w:szCs w:val="24"/>
          <w:highlight w:val="none"/>
          <w:lang w:val="zh-CN" w:bidi="zh-CN"/>
        </w:rPr>
      </w:pPr>
    </w:p>
    <w:p w14:paraId="74204FBB">
      <w:pPr>
        <w:autoSpaceDE w:val="0"/>
        <w:autoSpaceDN w:val="0"/>
        <w:spacing w:before="79"/>
        <w:ind w:left="4421"/>
        <w:jc w:val="left"/>
        <w:rPr>
          <w:rFonts w:ascii="宋体" w:hAnsi="宋体" w:cs="宋体"/>
          <w:color w:val="auto"/>
          <w:sz w:val="24"/>
          <w:szCs w:val="24"/>
          <w:highlight w:val="none"/>
          <w:lang w:val="zh-CN" w:bidi="zh-CN"/>
        </w:rPr>
      </w:pPr>
      <w:r>
        <w:rPr>
          <w:rFonts w:ascii="宋体" w:hAnsi="宋体" w:cs="宋体"/>
          <w:color w:val="auto"/>
          <w:sz w:val="24"/>
          <w:szCs w:val="24"/>
          <w:highlight w:val="none"/>
          <w:lang w:val="zh-CN" w:bidi="zh-CN"/>
        </w:rPr>
        <w:t>供应商公章或授权代表签字：</w:t>
      </w:r>
    </w:p>
    <w:p w14:paraId="12FF67F5">
      <w:pPr>
        <w:tabs>
          <w:tab w:val="left" w:pos="5861"/>
          <w:tab w:val="left" w:pos="8556"/>
        </w:tabs>
        <w:autoSpaceDE w:val="0"/>
        <w:autoSpaceDN w:val="0"/>
        <w:spacing w:before="160"/>
        <w:ind w:left="4421"/>
        <w:jc w:val="left"/>
        <w:rPr>
          <w:rFonts w:hAnsi="宋体" w:cs="宋体"/>
          <w:color w:val="auto"/>
          <w:sz w:val="29"/>
          <w:szCs w:val="24"/>
          <w:highlight w:val="none"/>
          <w:lang w:val="zh-CN" w:bidi="zh-CN"/>
        </w:rPr>
      </w:pPr>
      <w:r>
        <w:rPr>
          <w:rFonts w:ascii="宋体" w:hAnsi="宋体" w:cs="宋体"/>
          <w:color w:val="auto"/>
          <w:sz w:val="24"/>
          <w:szCs w:val="24"/>
          <w:highlight w:val="none"/>
          <w:lang w:val="zh-CN" w:bidi="zh-CN"/>
        </w:rPr>
        <w:t>日</w:t>
      </w:r>
      <w:r>
        <w:rPr>
          <w:rFonts w:ascii="宋体" w:hAnsi="宋体" w:cs="宋体"/>
          <w:color w:val="auto"/>
          <w:sz w:val="24"/>
          <w:szCs w:val="24"/>
          <w:highlight w:val="none"/>
          <w:lang w:val="zh-CN" w:bidi="zh-CN"/>
        </w:rPr>
        <w:tab/>
      </w:r>
      <w:r>
        <w:rPr>
          <w:rFonts w:ascii="宋体" w:hAnsi="宋体" w:cs="宋体"/>
          <w:color w:val="auto"/>
          <w:sz w:val="24"/>
          <w:szCs w:val="24"/>
          <w:highlight w:val="none"/>
          <w:lang w:val="zh-CN" w:bidi="zh-CN"/>
        </w:rPr>
        <w:t>期：</w:t>
      </w:r>
      <w:r>
        <w:rPr>
          <w:rFonts w:hAnsi="宋体" w:eastAsia="Times New Roman" w:cs="宋体"/>
          <w:color w:val="auto"/>
          <w:sz w:val="24"/>
          <w:szCs w:val="24"/>
          <w:highlight w:val="none"/>
          <w:u w:val="single"/>
          <w:lang w:val="zh-CN" w:bidi="zh-CN"/>
        </w:rPr>
        <w:t xml:space="preserve"> </w:t>
      </w:r>
      <w:r>
        <w:rPr>
          <w:rFonts w:hAnsi="宋体" w:eastAsia="Times New Roman" w:cs="宋体"/>
          <w:color w:val="auto"/>
          <w:sz w:val="24"/>
          <w:szCs w:val="24"/>
          <w:highlight w:val="none"/>
          <w:u w:val="single"/>
          <w:lang w:val="zh-CN" w:bidi="zh-CN"/>
        </w:rPr>
        <w:tab/>
      </w:r>
    </w:p>
    <w:p w14:paraId="209EE879">
      <w:pPr>
        <w:autoSpaceDE w:val="0"/>
        <w:autoSpaceDN w:val="0"/>
        <w:spacing w:before="66" w:line="364" w:lineRule="auto"/>
        <w:ind w:right="353"/>
        <w:rPr>
          <w:rFonts w:ascii="宋体" w:hAnsi="宋体" w:cs="宋体"/>
          <w:b/>
          <w:color w:val="auto"/>
          <w:spacing w:val="-9"/>
          <w:sz w:val="24"/>
          <w:szCs w:val="24"/>
          <w:highlight w:val="none"/>
          <w:lang w:val="zh-CN" w:bidi="zh-CN"/>
        </w:rPr>
      </w:pPr>
    </w:p>
    <w:p w14:paraId="03F4C6C7">
      <w:pPr>
        <w:pStyle w:val="36"/>
        <w:ind w:left="0" w:leftChars="0" w:firstLine="0" w:firstLineChars="0"/>
        <w:rPr>
          <w:rFonts w:hint="eastAsia"/>
          <w:color w:val="auto"/>
          <w:highlight w:val="none"/>
          <w:lang w:val="zh-CN"/>
        </w:rPr>
      </w:pPr>
    </w:p>
    <w:p w14:paraId="59B4FBC5">
      <w:pPr>
        <w:autoSpaceDE w:val="0"/>
        <w:autoSpaceDN w:val="0"/>
        <w:spacing w:before="66" w:line="364" w:lineRule="auto"/>
        <w:ind w:right="353"/>
        <w:rPr>
          <w:color w:val="auto"/>
          <w:highlight w:val="none"/>
        </w:rPr>
      </w:pPr>
      <w:r>
        <w:rPr>
          <w:rFonts w:ascii="宋体" w:hAnsi="宋体" w:cs="宋体"/>
          <w:b/>
          <w:color w:val="auto"/>
          <w:spacing w:val="-9"/>
          <w:sz w:val="24"/>
          <w:szCs w:val="24"/>
          <w:highlight w:val="none"/>
          <w:lang w:val="zh-CN" w:bidi="zh-CN"/>
        </w:rPr>
        <w:t>注：</w:t>
      </w:r>
      <w:r>
        <w:rPr>
          <w:rFonts w:ascii="宋体" w:hAnsi="宋体" w:eastAsia="宋体" w:cs="宋体"/>
          <w:b/>
          <w:bCs/>
          <w:color w:val="auto"/>
          <w:spacing w:val="-5"/>
          <w:sz w:val="24"/>
          <w:szCs w:val="24"/>
          <w:highlight w:val="none"/>
          <w:lang w:val="zh-CN" w:bidi="zh-CN"/>
        </w:rPr>
        <w:t>本页《</w:t>
      </w:r>
      <w:r>
        <w:rPr>
          <w:rFonts w:hint="eastAsia" w:ascii="宋体" w:hAnsi="宋体" w:eastAsia="宋体" w:cs="宋体"/>
          <w:b/>
          <w:bCs/>
          <w:color w:val="auto"/>
          <w:spacing w:val="-5"/>
          <w:sz w:val="24"/>
          <w:szCs w:val="24"/>
          <w:highlight w:val="none"/>
          <w:lang w:val="en-US" w:bidi="zh-CN"/>
        </w:rPr>
        <w:t>最终承诺</w:t>
      </w:r>
      <w:r>
        <w:rPr>
          <w:rFonts w:ascii="宋体" w:hAnsi="宋体" w:eastAsia="宋体" w:cs="宋体"/>
          <w:b/>
          <w:bCs/>
          <w:color w:val="auto"/>
          <w:spacing w:val="-5"/>
          <w:sz w:val="24"/>
          <w:szCs w:val="24"/>
          <w:highlight w:val="none"/>
          <w:lang w:val="zh-CN" w:bidi="zh-CN"/>
        </w:rPr>
        <w:t>报价表》由供应商在现场依</w:t>
      </w:r>
      <w:r>
        <w:rPr>
          <w:rFonts w:hint="eastAsia" w:ascii="宋体" w:hAnsi="宋体" w:eastAsia="宋体" w:cs="宋体"/>
          <w:b/>
          <w:bCs/>
          <w:color w:val="auto"/>
          <w:spacing w:val="-5"/>
          <w:sz w:val="24"/>
          <w:szCs w:val="24"/>
          <w:highlight w:val="none"/>
          <w:lang w:val="zh-CN" w:bidi="zh-CN"/>
        </w:rPr>
        <w:t>谈判</w:t>
      </w:r>
      <w:r>
        <w:rPr>
          <w:rFonts w:ascii="宋体" w:hAnsi="宋体" w:eastAsia="宋体" w:cs="宋体"/>
          <w:b/>
          <w:bCs/>
          <w:color w:val="auto"/>
          <w:spacing w:val="-5"/>
          <w:sz w:val="24"/>
          <w:szCs w:val="24"/>
          <w:highlight w:val="none"/>
          <w:lang w:val="zh-CN" w:bidi="zh-CN"/>
        </w:rPr>
        <w:t>情况填写</w:t>
      </w:r>
      <w:r>
        <w:rPr>
          <w:rFonts w:ascii="宋体" w:hAnsi="宋体" w:cs="宋体"/>
          <w:b/>
          <w:bCs/>
          <w:color w:val="auto"/>
          <w:sz w:val="24"/>
          <w:szCs w:val="24"/>
          <w:highlight w:val="none"/>
          <w:lang w:val="zh-CN" w:bidi="zh-CN"/>
        </w:rPr>
        <w:t>。</w:t>
      </w:r>
    </w:p>
    <w:p w14:paraId="09563C13">
      <w:pPr>
        <w:pStyle w:val="36"/>
        <w:ind w:left="0" w:leftChars="0" w:firstLine="0" w:firstLineChars="0"/>
        <w:rPr>
          <w:rFonts w:hint="eastAsia"/>
          <w:color w:val="auto"/>
          <w:highlight w:val="none"/>
          <w:lang w:val="zh-CN"/>
        </w:rPr>
      </w:pPr>
    </w:p>
    <w:sectPr>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EDAF80-84D4-4951-931F-7D4154CB97A9}"/>
  </w:font>
  <w:font w:name="黑体">
    <w:panose1 w:val="02010609060101010101"/>
    <w:charset w:val="86"/>
    <w:family w:val="auto"/>
    <w:pitch w:val="default"/>
    <w:sig w:usb0="800002BF" w:usb1="38CF7CFA" w:usb2="00000016" w:usb3="00000000" w:csb0="00040001" w:csb1="00000000"/>
    <w:embedRegular r:id="rId2" w:fontKey="{2703F755-CCE3-4681-8A4C-002FA9DD1A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78D83AB9-FAEE-4CE2-ABFE-C471EB5A8B3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Courier New"/>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embedRegular r:id="rId4" w:fontKey="{0574626F-C8EF-406C-8178-3CF2099EC423}"/>
  </w:font>
  <w:font w:name="微软雅黑">
    <w:panose1 w:val="020B0503020204020204"/>
    <w:charset w:val="86"/>
    <w:family w:val="swiss"/>
    <w:pitch w:val="default"/>
    <w:sig w:usb0="80000287" w:usb1="2ACF3C50" w:usb2="00000016" w:usb3="00000000" w:csb0="0004001F" w:csb1="00000000"/>
    <w:embedRegular r:id="rId5" w:fontKey="{087FE2F6-BDA8-4AFA-AE67-D0D52364C96E}"/>
  </w:font>
  <w:font w:name="华文中宋">
    <w:panose1 w:val="02010600040101010101"/>
    <w:charset w:val="86"/>
    <w:family w:val="auto"/>
    <w:pitch w:val="default"/>
    <w:sig w:usb0="00000287" w:usb1="080F0000" w:usb2="00000000" w:usb3="00000000" w:csb0="0004009F" w:csb1="DFD70000"/>
    <w:embedRegular r:id="rId6" w:fontKey="{5F6C4836-E6BE-4873-8DDE-C96F7DDFB7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04F8">
    <w:pPr>
      <w:pStyle w:val="2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B87FC1">
                          <w:pPr>
                            <w:pStyle w:val="23"/>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4B87FC1">
                    <w:pPr>
                      <w:pStyle w:val="2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578E7">
    <w:pPr>
      <w:pStyle w:val="2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2CCA6">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712CCA6">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BD0D1">
    <w:pPr>
      <w:pStyle w:val="23"/>
      <w:framePr w:wrap="around" w:vAnchor="text" w:hAnchor="margin" w:xAlign="center" w:y="1"/>
      <w:rPr>
        <w:rStyle w:val="42"/>
      </w:rPr>
    </w:pPr>
    <w:r>
      <w:rPr>
        <w:rStyle w:val="42"/>
      </w:rPr>
      <w:fldChar w:fldCharType="begin"/>
    </w:r>
    <w:r>
      <w:rPr>
        <w:rStyle w:val="42"/>
      </w:rPr>
      <w:instrText xml:space="preserve">PAGE  </w:instrText>
    </w:r>
    <w:r>
      <w:rPr>
        <w:rStyle w:val="42"/>
      </w:rPr>
      <w:fldChar w:fldCharType="end"/>
    </w:r>
  </w:p>
  <w:p w14:paraId="614AE1A8">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16C9B">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C9B4C">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A99C">
    <w:pPr>
      <w:pStyle w:val="24"/>
      <w:framePr w:wrap="around" w:vAnchor="text" w:hAnchor="margin" w:xAlign="right" w:y="1"/>
      <w:rPr>
        <w:rStyle w:val="42"/>
      </w:rPr>
    </w:pPr>
    <w:r>
      <w:rPr>
        <w:rStyle w:val="42"/>
      </w:rPr>
      <w:fldChar w:fldCharType="begin"/>
    </w:r>
    <w:r>
      <w:rPr>
        <w:rStyle w:val="42"/>
      </w:rPr>
      <w:instrText xml:space="preserve">PAGE  </w:instrText>
    </w:r>
    <w:r>
      <w:rPr>
        <w:rStyle w:val="42"/>
      </w:rPr>
      <w:fldChar w:fldCharType="end"/>
    </w:r>
  </w:p>
  <w:p w14:paraId="43871D88">
    <w:pPr>
      <w:pStyle w:val="2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7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iYmRmNDdhZjY0ZjMyZjEyODNmNDgzNjAxNjAyYzYifQ=="/>
    <w:docVar w:name="KSO_WPS_MARK_KEY" w:val="6d5b85fa-2104-46a8-95ff-8be6d43741d3"/>
  </w:docVars>
  <w:rsids>
    <w:rsidRoot w:val="002D677B"/>
    <w:rsid w:val="0000457F"/>
    <w:rsid w:val="00004DDF"/>
    <w:rsid w:val="000145D1"/>
    <w:rsid w:val="00015C71"/>
    <w:rsid w:val="00017CF2"/>
    <w:rsid w:val="00020147"/>
    <w:rsid w:val="000353D2"/>
    <w:rsid w:val="00036C36"/>
    <w:rsid w:val="00042454"/>
    <w:rsid w:val="0004247B"/>
    <w:rsid w:val="00054BA6"/>
    <w:rsid w:val="00057B34"/>
    <w:rsid w:val="00066473"/>
    <w:rsid w:val="00066BCF"/>
    <w:rsid w:val="00071873"/>
    <w:rsid w:val="000813B9"/>
    <w:rsid w:val="00083A3D"/>
    <w:rsid w:val="00085013"/>
    <w:rsid w:val="0008734A"/>
    <w:rsid w:val="00090C43"/>
    <w:rsid w:val="00091912"/>
    <w:rsid w:val="00092365"/>
    <w:rsid w:val="00095459"/>
    <w:rsid w:val="000A3D75"/>
    <w:rsid w:val="000B0A7F"/>
    <w:rsid w:val="000B1F7E"/>
    <w:rsid w:val="000C2A18"/>
    <w:rsid w:val="000D2325"/>
    <w:rsid w:val="000D40DA"/>
    <w:rsid w:val="000E6F6E"/>
    <w:rsid w:val="0010048A"/>
    <w:rsid w:val="001055FC"/>
    <w:rsid w:val="0011125F"/>
    <w:rsid w:val="0011590D"/>
    <w:rsid w:val="001252D5"/>
    <w:rsid w:val="00125BEB"/>
    <w:rsid w:val="001260B2"/>
    <w:rsid w:val="00133776"/>
    <w:rsid w:val="00135355"/>
    <w:rsid w:val="00146758"/>
    <w:rsid w:val="00146D70"/>
    <w:rsid w:val="00156254"/>
    <w:rsid w:val="00163D99"/>
    <w:rsid w:val="001723C8"/>
    <w:rsid w:val="00184FCE"/>
    <w:rsid w:val="00185BC3"/>
    <w:rsid w:val="00194F7B"/>
    <w:rsid w:val="001A0CA9"/>
    <w:rsid w:val="001A3254"/>
    <w:rsid w:val="001A60C9"/>
    <w:rsid w:val="001B57E1"/>
    <w:rsid w:val="001C662F"/>
    <w:rsid w:val="001F0545"/>
    <w:rsid w:val="001F7548"/>
    <w:rsid w:val="00201BAF"/>
    <w:rsid w:val="00204BEE"/>
    <w:rsid w:val="00204ED9"/>
    <w:rsid w:val="0021447E"/>
    <w:rsid w:val="002175D2"/>
    <w:rsid w:val="00222133"/>
    <w:rsid w:val="00230806"/>
    <w:rsid w:val="00232B23"/>
    <w:rsid w:val="002656AE"/>
    <w:rsid w:val="00295D2C"/>
    <w:rsid w:val="002A5B98"/>
    <w:rsid w:val="002B39EE"/>
    <w:rsid w:val="002B475D"/>
    <w:rsid w:val="002B7BFC"/>
    <w:rsid w:val="002C3E11"/>
    <w:rsid w:val="002D4E2E"/>
    <w:rsid w:val="002D508E"/>
    <w:rsid w:val="002D677B"/>
    <w:rsid w:val="002E1A23"/>
    <w:rsid w:val="002F32E7"/>
    <w:rsid w:val="002F3B9A"/>
    <w:rsid w:val="002F5374"/>
    <w:rsid w:val="002F5CAB"/>
    <w:rsid w:val="003124C3"/>
    <w:rsid w:val="003342EF"/>
    <w:rsid w:val="00341CB0"/>
    <w:rsid w:val="003452C5"/>
    <w:rsid w:val="00356109"/>
    <w:rsid w:val="00360D12"/>
    <w:rsid w:val="00364313"/>
    <w:rsid w:val="00372C51"/>
    <w:rsid w:val="003808D6"/>
    <w:rsid w:val="00384281"/>
    <w:rsid w:val="00387848"/>
    <w:rsid w:val="003A03AB"/>
    <w:rsid w:val="003B3183"/>
    <w:rsid w:val="003D04C4"/>
    <w:rsid w:val="003D7A8F"/>
    <w:rsid w:val="003E0B3C"/>
    <w:rsid w:val="003E7C3B"/>
    <w:rsid w:val="003F6E20"/>
    <w:rsid w:val="00424DA5"/>
    <w:rsid w:val="004413B4"/>
    <w:rsid w:val="00443BAF"/>
    <w:rsid w:val="00453F7D"/>
    <w:rsid w:val="00456571"/>
    <w:rsid w:val="004577CD"/>
    <w:rsid w:val="00466DAC"/>
    <w:rsid w:val="00470ABC"/>
    <w:rsid w:val="004835F8"/>
    <w:rsid w:val="004A0CE4"/>
    <w:rsid w:val="004C30F6"/>
    <w:rsid w:val="004C38E2"/>
    <w:rsid w:val="004C64FF"/>
    <w:rsid w:val="004D17B6"/>
    <w:rsid w:val="004D5F5D"/>
    <w:rsid w:val="004F5334"/>
    <w:rsid w:val="004F56C3"/>
    <w:rsid w:val="0050494E"/>
    <w:rsid w:val="0050639B"/>
    <w:rsid w:val="005075CD"/>
    <w:rsid w:val="00524605"/>
    <w:rsid w:val="00524A87"/>
    <w:rsid w:val="00533AAE"/>
    <w:rsid w:val="00554CE3"/>
    <w:rsid w:val="005654C3"/>
    <w:rsid w:val="005C2271"/>
    <w:rsid w:val="005D39D1"/>
    <w:rsid w:val="005E56CC"/>
    <w:rsid w:val="00600219"/>
    <w:rsid w:val="00603819"/>
    <w:rsid w:val="006128B9"/>
    <w:rsid w:val="00614518"/>
    <w:rsid w:val="00645DFC"/>
    <w:rsid w:val="00647F76"/>
    <w:rsid w:val="00654D2C"/>
    <w:rsid w:val="00661562"/>
    <w:rsid w:val="00671B50"/>
    <w:rsid w:val="00673CC0"/>
    <w:rsid w:val="006A2E5F"/>
    <w:rsid w:val="006B21E7"/>
    <w:rsid w:val="006D098B"/>
    <w:rsid w:val="006D3DB9"/>
    <w:rsid w:val="006F01D1"/>
    <w:rsid w:val="006F3D3E"/>
    <w:rsid w:val="00700B84"/>
    <w:rsid w:val="00703A7D"/>
    <w:rsid w:val="00732744"/>
    <w:rsid w:val="00736DF2"/>
    <w:rsid w:val="007400D8"/>
    <w:rsid w:val="007407E7"/>
    <w:rsid w:val="007462B9"/>
    <w:rsid w:val="00766A44"/>
    <w:rsid w:val="00767BB2"/>
    <w:rsid w:val="00777913"/>
    <w:rsid w:val="0079235B"/>
    <w:rsid w:val="00795808"/>
    <w:rsid w:val="007B00FB"/>
    <w:rsid w:val="007C7173"/>
    <w:rsid w:val="007D19ED"/>
    <w:rsid w:val="007E5141"/>
    <w:rsid w:val="007F2582"/>
    <w:rsid w:val="007F651E"/>
    <w:rsid w:val="00810784"/>
    <w:rsid w:val="00812112"/>
    <w:rsid w:val="008207A6"/>
    <w:rsid w:val="00821EE8"/>
    <w:rsid w:val="00833ADC"/>
    <w:rsid w:val="00846353"/>
    <w:rsid w:val="008538EB"/>
    <w:rsid w:val="0086536B"/>
    <w:rsid w:val="008A6D3D"/>
    <w:rsid w:val="008B0E3B"/>
    <w:rsid w:val="008C0ED2"/>
    <w:rsid w:val="008D216E"/>
    <w:rsid w:val="008D61A5"/>
    <w:rsid w:val="008D7F56"/>
    <w:rsid w:val="008E7E3B"/>
    <w:rsid w:val="00922A63"/>
    <w:rsid w:val="00925990"/>
    <w:rsid w:val="00927B9E"/>
    <w:rsid w:val="00934FDF"/>
    <w:rsid w:val="00940C0D"/>
    <w:rsid w:val="0094320A"/>
    <w:rsid w:val="00950DC5"/>
    <w:rsid w:val="00954BF2"/>
    <w:rsid w:val="00966C14"/>
    <w:rsid w:val="0097577C"/>
    <w:rsid w:val="00980525"/>
    <w:rsid w:val="009A43DC"/>
    <w:rsid w:val="009B32A9"/>
    <w:rsid w:val="009B5EF1"/>
    <w:rsid w:val="009C7264"/>
    <w:rsid w:val="00A17EB8"/>
    <w:rsid w:val="00A2462A"/>
    <w:rsid w:val="00A30C14"/>
    <w:rsid w:val="00A42929"/>
    <w:rsid w:val="00A5114C"/>
    <w:rsid w:val="00A52EA8"/>
    <w:rsid w:val="00A612D2"/>
    <w:rsid w:val="00A70D7B"/>
    <w:rsid w:val="00A74097"/>
    <w:rsid w:val="00A83F1C"/>
    <w:rsid w:val="00A85BA0"/>
    <w:rsid w:val="00A95755"/>
    <w:rsid w:val="00A957C6"/>
    <w:rsid w:val="00A961C3"/>
    <w:rsid w:val="00AB51D7"/>
    <w:rsid w:val="00AC4741"/>
    <w:rsid w:val="00AD19A2"/>
    <w:rsid w:val="00AD7B9F"/>
    <w:rsid w:val="00B27CFD"/>
    <w:rsid w:val="00B3083C"/>
    <w:rsid w:val="00B57818"/>
    <w:rsid w:val="00B6310C"/>
    <w:rsid w:val="00B80346"/>
    <w:rsid w:val="00BA10A8"/>
    <w:rsid w:val="00BA136D"/>
    <w:rsid w:val="00BA2F6F"/>
    <w:rsid w:val="00BA3764"/>
    <w:rsid w:val="00BA45BA"/>
    <w:rsid w:val="00BB7605"/>
    <w:rsid w:val="00BC5BFF"/>
    <w:rsid w:val="00C05EA8"/>
    <w:rsid w:val="00C23791"/>
    <w:rsid w:val="00C267D3"/>
    <w:rsid w:val="00C35B5F"/>
    <w:rsid w:val="00C500A9"/>
    <w:rsid w:val="00C5087F"/>
    <w:rsid w:val="00C734AB"/>
    <w:rsid w:val="00C73F2D"/>
    <w:rsid w:val="00C84AAC"/>
    <w:rsid w:val="00C9417F"/>
    <w:rsid w:val="00C97CD9"/>
    <w:rsid w:val="00CA3281"/>
    <w:rsid w:val="00CA32AE"/>
    <w:rsid w:val="00CA56DC"/>
    <w:rsid w:val="00CA60CE"/>
    <w:rsid w:val="00CA6A84"/>
    <w:rsid w:val="00CC1FE3"/>
    <w:rsid w:val="00CC5D49"/>
    <w:rsid w:val="00CC7E33"/>
    <w:rsid w:val="00CE0AAD"/>
    <w:rsid w:val="00CE1386"/>
    <w:rsid w:val="00CE28E9"/>
    <w:rsid w:val="00CE3588"/>
    <w:rsid w:val="00CE64A3"/>
    <w:rsid w:val="00CF10C1"/>
    <w:rsid w:val="00CF3743"/>
    <w:rsid w:val="00D027C9"/>
    <w:rsid w:val="00D0689A"/>
    <w:rsid w:val="00D11B5E"/>
    <w:rsid w:val="00D13AEE"/>
    <w:rsid w:val="00D16453"/>
    <w:rsid w:val="00D175FB"/>
    <w:rsid w:val="00D2682E"/>
    <w:rsid w:val="00D3100A"/>
    <w:rsid w:val="00D33ECF"/>
    <w:rsid w:val="00D51A54"/>
    <w:rsid w:val="00D542F1"/>
    <w:rsid w:val="00D6083A"/>
    <w:rsid w:val="00D614F5"/>
    <w:rsid w:val="00D877FD"/>
    <w:rsid w:val="00DA2209"/>
    <w:rsid w:val="00DA2977"/>
    <w:rsid w:val="00DB4369"/>
    <w:rsid w:val="00DD1C54"/>
    <w:rsid w:val="00DD2C6C"/>
    <w:rsid w:val="00DE18CD"/>
    <w:rsid w:val="00E016F6"/>
    <w:rsid w:val="00E20914"/>
    <w:rsid w:val="00E650AD"/>
    <w:rsid w:val="00E70F0C"/>
    <w:rsid w:val="00E7612C"/>
    <w:rsid w:val="00E912B4"/>
    <w:rsid w:val="00E912EA"/>
    <w:rsid w:val="00E94A0B"/>
    <w:rsid w:val="00EA19D4"/>
    <w:rsid w:val="00EB3AB2"/>
    <w:rsid w:val="00EC5C35"/>
    <w:rsid w:val="00EC5C8C"/>
    <w:rsid w:val="00EC71D2"/>
    <w:rsid w:val="00EE4358"/>
    <w:rsid w:val="00EE5630"/>
    <w:rsid w:val="00EF2195"/>
    <w:rsid w:val="00EF3C5F"/>
    <w:rsid w:val="00EF550D"/>
    <w:rsid w:val="00F01414"/>
    <w:rsid w:val="00F0597A"/>
    <w:rsid w:val="00F101C2"/>
    <w:rsid w:val="00F21948"/>
    <w:rsid w:val="00F22829"/>
    <w:rsid w:val="00F40445"/>
    <w:rsid w:val="00F44DDB"/>
    <w:rsid w:val="00F464A7"/>
    <w:rsid w:val="00F564DA"/>
    <w:rsid w:val="00F64830"/>
    <w:rsid w:val="00F679F6"/>
    <w:rsid w:val="00F74BC0"/>
    <w:rsid w:val="00F91C4B"/>
    <w:rsid w:val="00F927AF"/>
    <w:rsid w:val="00F961ED"/>
    <w:rsid w:val="00FA1EEE"/>
    <w:rsid w:val="00FA1F71"/>
    <w:rsid w:val="00FA35DA"/>
    <w:rsid w:val="00FC1D08"/>
    <w:rsid w:val="00FE7060"/>
    <w:rsid w:val="00FF1797"/>
    <w:rsid w:val="00FF1C7C"/>
    <w:rsid w:val="00FF23EE"/>
    <w:rsid w:val="01320FBC"/>
    <w:rsid w:val="014944FD"/>
    <w:rsid w:val="017E1B19"/>
    <w:rsid w:val="01C506B1"/>
    <w:rsid w:val="01DD0E32"/>
    <w:rsid w:val="01ED3B47"/>
    <w:rsid w:val="026B700F"/>
    <w:rsid w:val="02734D70"/>
    <w:rsid w:val="02E81F7A"/>
    <w:rsid w:val="03052939"/>
    <w:rsid w:val="03062E20"/>
    <w:rsid w:val="0311396F"/>
    <w:rsid w:val="039C3B2E"/>
    <w:rsid w:val="03B22505"/>
    <w:rsid w:val="03D23972"/>
    <w:rsid w:val="03E602D7"/>
    <w:rsid w:val="03FE01E1"/>
    <w:rsid w:val="04067181"/>
    <w:rsid w:val="04350127"/>
    <w:rsid w:val="046E3E44"/>
    <w:rsid w:val="047F6792"/>
    <w:rsid w:val="04AB1DE0"/>
    <w:rsid w:val="04D344B6"/>
    <w:rsid w:val="04EE7346"/>
    <w:rsid w:val="05045387"/>
    <w:rsid w:val="05104E6D"/>
    <w:rsid w:val="053346E9"/>
    <w:rsid w:val="0573286F"/>
    <w:rsid w:val="05764F65"/>
    <w:rsid w:val="05CD4D4D"/>
    <w:rsid w:val="05ED76CD"/>
    <w:rsid w:val="06047263"/>
    <w:rsid w:val="06262FF6"/>
    <w:rsid w:val="062766E1"/>
    <w:rsid w:val="065F13E0"/>
    <w:rsid w:val="068A111A"/>
    <w:rsid w:val="06B306D8"/>
    <w:rsid w:val="071329B1"/>
    <w:rsid w:val="07267565"/>
    <w:rsid w:val="074A602C"/>
    <w:rsid w:val="075F2ABA"/>
    <w:rsid w:val="07893F2F"/>
    <w:rsid w:val="078C18B4"/>
    <w:rsid w:val="07A060FF"/>
    <w:rsid w:val="07A20F5E"/>
    <w:rsid w:val="07B3302C"/>
    <w:rsid w:val="07B56B19"/>
    <w:rsid w:val="08316AA1"/>
    <w:rsid w:val="0834567D"/>
    <w:rsid w:val="08427C75"/>
    <w:rsid w:val="085E5B1B"/>
    <w:rsid w:val="08B903E4"/>
    <w:rsid w:val="08B975E0"/>
    <w:rsid w:val="08D76796"/>
    <w:rsid w:val="094A1A48"/>
    <w:rsid w:val="094F0FF2"/>
    <w:rsid w:val="095F7F4C"/>
    <w:rsid w:val="09A60123"/>
    <w:rsid w:val="09AE75F4"/>
    <w:rsid w:val="09B95F2A"/>
    <w:rsid w:val="0A051F93"/>
    <w:rsid w:val="0A0C7574"/>
    <w:rsid w:val="0A424E4D"/>
    <w:rsid w:val="0AB47D8E"/>
    <w:rsid w:val="0AC00A68"/>
    <w:rsid w:val="0AF82AC1"/>
    <w:rsid w:val="0B297F03"/>
    <w:rsid w:val="0B66533A"/>
    <w:rsid w:val="0B84414D"/>
    <w:rsid w:val="0BD46BAD"/>
    <w:rsid w:val="0BE120B2"/>
    <w:rsid w:val="0BE80418"/>
    <w:rsid w:val="0CAA47CE"/>
    <w:rsid w:val="0CEC43CA"/>
    <w:rsid w:val="0D0B67CA"/>
    <w:rsid w:val="0D50431A"/>
    <w:rsid w:val="0D5878A3"/>
    <w:rsid w:val="0D6921B0"/>
    <w:rsid w:val="0DA77430"/>
    <w:rsid w:val="0DD74F5A"/>
    <w:rsid w:val="0DEB2D61"/>
    <w:rsid w:val="0DF624E0"/>
    <w:rsid w:val="0E050A19"/>
    <w:rsid w:val="0E21417E"/>
    <w:rsid w:val="0E346850"/>
    <w:rsid w:val="0E404088"/>
    <w:rsid w:val="0EA113FA"/>
    <w:rsid w:val="0ECA11CC"/>
    <w:rsid w:val="0EE028AD"/>
    <w:rsid w:val="0EE7610B"/>
    <w:rsid w:val="0F0019B5"/>
    <w:rsid w:val="0F390E8E"/>
    <w:rsid w:val="0F574044"/>
    <w:rsid w:val="0F8F57EF"/>
    <w:rsid w:val="0FF97625"/>
    <w:rsid w:val="0FFA6300"/>
    <w:rsid w:val="10044E18"/>
    <w:rsid w:val="1018304A"/>
    <w:rsid w:val="10527F30"/>
    <w:rsid w:val="10722611"/>
    <w:rsid w:val="10765998"/>
    <w:rsid w:val="10A85300"/>
    <w:rsid w:val="10C761F4"/>
    <w:rsid w:val="110475FD"/>
    <w:rsid w:val="11200448"/>
    <w:rsid w:val="112E0021"/>
    <w:rsid w:val="1169216B"/>
    <w:rsid w:val="11845080"/>
    <w:rsid w:val="119066D9"/>
    <w:rsid w:val="11A335B5"/>
    <w:rsid w:val="11AE35E8"/>
    <w:rsid w:val="11DD1222"/>
    <w:rsid w:val="11FC4CE3"/>
    <w:rsid w:val="1219428E"/>
    <w:rsid w:val="129C720C"/>
    <w:rsid w:val="12C42FA9"/>
    <w:rsid w:val="1303465D"/>
    <w:rsid w:val="13267A75"/>
    <w:rsid w:val="13490C7D"/>
    <w:rsid w:val="135C3D02"/>
    <w:rsid w:val="137115CA"/>
    <w:rsid w:val="13C5790E"/>
    <w:rsid w:val="13F35552"/>
    <w:rsid w:val="147E599E"/>
    <w:rsid w:val="14CF422A"/>
    <w:rsid w:val="14D507B4"/>
    <w:rsid w:val="14E27C21"/>
    <w:rsid w:val="14FE3340"/>
    <w:rsid w:val="151770AE"/>
    <w:rsid w:val="153136E9"/>
    <w:rsid w:val="153B2049"/>
    <w:rsid w:val="15602773"/>
    <w:rsid w:val="15614DA8"/>
    <w:rsid w:val="159F5E97"/>
    <w:rsid w:val="15AD79BC"/>
    <w:rsid w:val="15B565F2"/>
    <w:rsid w:val="16066864"/>
    <w:rsid w:val="163D0A87"/>
    <w:rsid w:val="16907088"/>
    <w:rsid w:val="16991EF7"/>
    <w:rsid w:val="16AD096A"/>
    <w:rsid w:val="16E766AD"/>
    <w:rsid w:val="170F0CFF"/>
    <w:rsid w:val="173850A7"/>
    <w:rsid w:val="173B6FF4"/>
    <w:rsid w:val="174C0AC9"/>
    <w:rsid w:val="175D6D93"/>
    <w:rsid w:val="177B4CDC"/>
    <w:rsid w:val="17BA7FA6"/>
    <w:rsid w:val="184A679B"/>
    <w:rsid w:val="18B1448A"/>
    <w:rsid w:val="18C878F2"/>
    <w:rsid w:val="18CE5F64"/>
    <w:rsid w:val="18D31697"/>
    <w:rsid w:val="18FB18A3"/>
    <w:rsid w:val="19102702"/>
    <w:rsid w:val="192B2CC7"/>
    <w:rsid w:val="1945415A"/>
    <w:rsid w:val="197509D7"/>
    <w:rsid w:val="197D3E49"/>
    <w:rsid w:val="198B1495"/>
    <w:rsid w:val="1A0725B2"/>
    <w:rsid w:val="1A630ED2"/>
    <w:rsid w:val="1A6C248D"/>
    <w:rsid w:val="1AD23FC4"/>
    <w:rsid w:val="1AE747FC"/>
    <w:rsid w:val="1AEF51E0"/>
    <w:rsid w:val="1AF45622"/>
    <w:rsid w:val="1B001A74"/>
    <w:rsid w:val="1B087292"/>
    <w:rsid w:val="1B23671D"/>
    <w:rsid w:val="1B5A7D5C"/>
    <w:rsid w:val="1B7B26E1"/>
    <w:rsid w:val="1B8A33D7"/>
    <w:rsid w:val="1BBE2ACB"/>
    <w:rsid w:val="1C1A0C17"/>
    <w:rsid w:val="1C32741A"/>
    <w:rsid w:val="1C405AE5"/>
    <w:rsid w:val="1C577EAD"/>
    <w:rsid w:val="1CBE60B1"/>
    <w:rsid w:val="1CF87A2F"/>
    <w:rsid w:val="1D0C75F3"/>
    <w:rsid w:val="1D413C00"/>
    <w:rsid w:val="1D960483"/>
    <w:rsid w:val="1DB65026"/>
    <w:rsid w:val="1DC13400"/>
    <w:rsid w:val="1DC817B3"/>
    <w:rsid w:val="1DE5157B"/>
    <w:rsid w:val="1DF15284"/>
    <w:rsid w:val="1E071163"/>
    <w:rsid w:val="1E0A2DCB"/>
    <w:rsid w:val="1E0E3958"/>
    <w:rsid w:val="1E5F77E6"/>
    <w:rsid w:val="1E6746D1"/>
    <w:rsid w:val="1E8B72FC"/>
    <w:rsid w:val="1EB83F2D"/>
    <w:rsid w:val="1ED653AA"/>
    <w:rsid w:val="1F0C54A8"/>
    <w:rsid w:val="1F171CFB"/>
    <w:rsid w:val="1F3C13B6"/>
    <w:rsid w:val="1F463063"/>
    <w:rsid w:val="1F4B49D6"/>
    <w:rsid w:val="1F831049"/>
    <w:rsid w:val="1FBE5091"/>
    <w:rsid w:val="1FCB070D"/>
    <w:rsid w:val="1FD06805"/>
    <w:rsid w:val="1FF85069"/>
    <w:rsid w:val="200E7FC4"/>
    <w:rsid w:val="20123E9E"/>
    <w:rsid w:val="20D81D57"/>
    <w:rsid w:val="20E916A5"/>
    <w:rsid w:val="20F41885"/>
    <w:rsid w:val="214F03C1"/>
    <w:rsid w:val="2163607F"/>
    <w:rsid w:val="21993B18"/>
    <w:rsid w:val="21BB68C2"/>
    <w:rsid w:val="21F7620D"/>
    <w:rsid w:val="22230DB0"/>
    <w:rsid w:val="22464B8D"/>
    <w:rsid w:val="22477A9E"/>
    <w:rsid w:val="22760E1C"/>
    <w:rsid w:val="229A201B"/>
    <w:rsid w:val="22AF6AE8"/>
    <w:rsid w:val="22B26978"/>
    <w:rsid w:val="22B67E76"/>
    <w:rsid w:val="231625F1"/>
    <w:rsid w:val="233A2855"/>
    <w:rsid w:val="23771CF3"/>
    <w:rsid w:val="239974D6"/>
    <w:rsid w:val="23E266D0"/>
    <w:rsid w:val="23E4618A"/>
    <w:rsid w:val="23F2091A"/>
    <w:rsid w:val="244E3D8C"/>
    <w:rsid w:val="24880227"/>
    <w:rsid w:val="249B20D5"/>
    <w:rsid w:val="24B335CE"/>
    <w:rsid w:val="24F009A8"/>
    <w:rsid w:val="2542194B"/>
    <w:rsid w:val="25642815"/>
    <w:rsid w:val="25965543"/>
    <w:rsid w:val="259E42F0"/>
    <w:rsid w:val="25EF0E4B"/>
    <w:rsid w:val="26326C48"/>
    <w:rsid w:val="26675422"/>
    <w:rsid w:val="26690388"/>
    <w:rsid w:val="26784054"/>
    <w:rsid w:val="269C26E3"/>
    <w:rsid w:val="26E065DB"/>
    <w:rsid w:val="26E70ADE"/>
    <w:rsid w:val="26F97002"/>
    <w:rsid w:val="270D6E87"/>
    <w:rsid w:val="272E2D63"/>
    <w:rsid w:val="27410CB9"/>
    <w:rsid w:val="276D441A"/>
    <w:rsid w:val="27704503"/>
    <w:rsid w:val="27D63CEB"/>
    <w:rsid w:val="27DA63B5"/>
    <w:rsid w:val="27DC212D"/>
    <w:rsid w:val="281F2D40"/>
    <w:rsid w:val="284E2B9A"/>
    <w:rsid w:val="2861396F"/>
    <w:rsid w:val="28AF6A0B"/>
    <w:rsid w:val="28B44010"/>
    <w:rsid w:val="28DE1233"/>
    <w:rsid w:val="29044E0B"/>
    <w:rsid w:val="29384EA8"/>
    <w:rsid w:val="295039A3"/>
    <w:rsid w:val="296F3EFA"/>
    <w:rsid w:val="298A5BB9"/>
    <w:rsid w:val="29917294"/>
    <w:rsid w:val="29CE019B"/>
    <w:rsid w:val="29E26463"/>
    <w:rsid w:val="29F00BBE"/>
    <w:rsid w:val="2A07065D"/>
    <w:rsid w:val="2A0A08C3"/>
    <w:rsid w:val="2A534564"/>
    <w:rsid w:val="2A573A70"/>
    <w:rsid w:val="2B404B09"/>
    <w:rsid w:val="2B487A3E"/>
    <w:rsid w:val="2B6C37C8"/>
    <w:rsid w:val="2B930796"/>
    <w:rsid w:val="2BFA65A3"/>
    <w:rsid w:val="2C101F53"/>
    <w:rsid w:val="2C2D2785"/>
    <w:rsid w:val="2C8F0922"/>
    <w:rsid w:val="2CBD48CE"/>
    <w:rsid w:val="2CC6399E"/>
    <w:rsid w:val="2CE211B2"/>
    <w:rsid w:val="2CF46C54"/>
    <w:rsid w:val="2D1E497A"/>
    <w:rsid w:val="2D345082"/>
    <w:rsid w:val="2D4227EC"/>
    <w:rsid w:val="2D657944"/>
    <w:rsid w:val="2D855015"/>
    <w:rsid w:val="2DB21269"/>
    <w:rsid w:val="2DCE3DB2"/>
    <w:rsid w:val="2DEB0970"/>
    <w:rsid w:val="2E006793"/>
    <w:rsid w:val="2E015B36"/>
    <w:rsid w:val="2E275F81"/>
    <w:rsid w:val="2E28730F"/>
    <w:rsid w:val="2E2F7FD3"/>
    <w:rsid w:val="2E4E51C2"/>
    <w:rsid w:val="2E520EAC"/>
    <w:rsid w:val="2E77681E"/>
    <w:rsid w:val="2F2F1519"/>
    <w:rsid w:val="2F4B2B19"/>
    <w:rsid w:val="2F603644"/>
    <w:rsid w:val="2F6246CC"/>
    <w:rsid w:val="2F912348"/>
    <w:rsid w:val="2F9F5447"/>
    <w:rsid w:val="2FBB6ACC"/>
    <w:rsid w:val="2FC53683"/>
    <w:rsid w:val="2FD00460"/>
    <w:rsid w:val="2FD8767E"/>
    <w:rsid w:val="2FDE0D60"/>
    <w:rsid w:val="2FE97A5F"/>
    <w:rsid w:val="2FFE4B1D"/>
    <w:rsid w:val="300B44EE"/>
    <w:rsid w:val="304E6BFA"/>
    <w:rsid w:val="305A47DE"/>
    <w:rsid w:val="30626A70"/>
    <w:rsid w:val="30671D75"/>
    <w:rsid w:val="30734F38"/>
    <w:rsid w:val="309E348C"/>
    <w:rsid w:val="30B8643A"/>
    <w:rsid w:val="30CB35CF"/>
    <w:rsid w:val="30E31097"/>
    <w:rsid w:val="30EB7C3C"/>
    <w:rsid w:val="31394322"/>
    <w:rsid w:val="3184082E"/>
    <w:rsid w:val="31992E3D"/>
    <w:rsid w:val="31A92FFC"/>
    <w:rsid w:val="31D2634F"/>
    <w:rsid w:val="31FF4854"/>
    <w:rsid w:val="32214672"/>
    <w:rsid w:val="32583B43"/>
    <w:rsid w:val="32617B06"/>
    <w:rsid w:val="32643E8E"/>
    <w:rsid w:val="328304A8"/>
    <w:rsid w:val="32B44920"/>
    <w:rsid w:val="32BC5F4D"/>
    <w:rsid w:val="32BD0DBE"/>
    <w:rsid w:val="32DE3B6E"/>
    <w:rsid w:val="330A3963"/>
    <w:rsid w:val="33154A22"/>
    <w:rsid w:val="337A4526"/>
    <w:rsid w:val="33FE364D"/>
    <w:rsid w:val="3420079D"/>
    <w:rsid w:val="3429115A"/>
    <w:rsid w:val="34F2580B"/>
    <w:rsid w:val="353059E1"/>
    <w:rsid w:val="35346A34"/>
    <w:rsid w:val="354A5F40"/>
    <w:rsid w:val="357B0EFD"/>
    <w:rsid w:val="35803C3D"/>
    <w:rsid w:val="35C92D11"/>
    <w:rsid w:val="35F42A51"/>
    <w:rsid w:val="35FFEC5E"/>
    <w:rsid w:val="36024564"/>
    <w:rsid w:val="3619232D"/>
    <w:rsid w:val="361F260A"/>
    <w:rsid w:val="36276335"/>
    <w:rsid w:val="36981B5D"/>
    <w:rsid w:val="36A73428"/>
    <w:rsid w:val="36A9634B"/>
    <w:rsid w:val="36D079C8"/>
    <w:rsid w:val="36EB7CE0"/>
    <w:rsid w:val="36FD3E6E"/>
    <w:rsid w:val="37354DE5"/>
    <w:rsid w:val="377D1279"/>
    <w:rsid w:val="37D716E7"/>
    <w:rsid w:val="38631B53"/>
    <w:rsid w:val="386D5472"/>
    <w:rsid w:val="38C904AC"/>
    <w:rsid w:val="390327BB"/>
    <w:rsid w:val="394E33E8"/>
    <w:rsid w:val="396C6CF4"/>
    <w:rsid w:val="398E6F62"/>
    <w:rsid w:val="39B36A66"/>
    <w:rsid w:val="3A290002"/>
    <w:rsid w:val="3A2E128F"/>
    <w:rsid w:val="3A5A6801"/>
    <w:rsid w:val="3A5B63A2"/>
    <w:rsid w:val="3A667F7C"/>
    <w:rsid w:val="3A880372"/>
    <w:rsid w:val="3A8F3EBA"/>
    <w:rsid w:val="3A972C22"/>
    <w:rsid w:val="3AB10259"/>
    <w:rsid w:val="3ABA6222"/>
    <w:rsid w:val="3AD674BD"/>
    <w:rsid w:val="3B1B510F"/>
    <w:rsid w:val="3B241CDC"/>
    <w:rsid w:val="3B301F44"/>
    <w:rsid w:val="3B3716DA"/>
    <w:rsid w:val="3B9373E6"/>
    <w:rsid w:val="3BAE4829"/>
    <w:rsid w:val="3BDF73C5"/>
    <w:rsid w:val="3BFA6208"/>
    <w:rsid w:val="3C001A0F"/>
    <w:rsid w:val="3C05453A"/>
    <w:rsid w:val="3C34130B"/>
    <w:rsid w:val="3C4A6F5A"/>
    <w:rsid w:val="3C4C39CC"/>
    <w:rsid w:val="3C8856A4"/>
    <w:rsid w:val="3C9B215F"/>
    <w:rsid w:val="3CE75062"/>
    <w:rsid w:val="3D2748D8"/>
    <w:rsid w:val="3D743CDB"/>
    <w:rsid w:val="3D766728"/>
    <w:rsid w:val="3D902D22"/>
    <w:rsid w:val="3DD405AF"/>
    <w:rsid w:val="3DF4021A"/>
    <w:rsid w:val="3E047963"/>
    <w:rsid w:val="3E6429E8"/>
    <w:rsid w:val="3E7132AB"/>
    <w:rsid w:val="3E8E5BBA"/>
    <w:rsid w:val="3E9E25CB"/>
    <w:rsid w:val="3EDC10FF"/>
    <w:rsid w:val="3EF01892"/>
    <w:rsid w:val="3EFA42ED"/>
    <w:rsid w:val="3F0A5E23"/>
    <w:rsid w:val="3F3F2FD1"/>
    <w:rsid w:val="3F520FBF"/>
    <w:rsid w:val="3F9803DD"/>
    <w:rsid w:val="3FE57CA4"/>
    <w:rsid w:val="402E1B38"/>
    <w:rsid w:val="40384169"/>
    <w:rsid w:val="405A4873"/>
    <w:rsid w:val="406022E2"/>
    <w:rsid w:val="40730975"/>
    <w:rsid w:val="407B3EBF"/>
    <w:rsid w:val="40905D53"/>
    <w:rsid w:val="40C6655A"/>
    <w:rsid w:val="40D64F73"/>
    <w:rsid w:val="40DF693D"/>
    <w:rsid w:val="40F16A8E"/>
    <w:rsid w:val="41055B30"/>
    <w:rsid w:val="411C5418"/>
    <w:rsid w:val="412545BE"/>
    <w:rsid w:val="4184340D"/>
    <w:rsid w:val="41C77552"/>
    <w:rsid w:val="41DD75D9"/>
    <w:rsid w:val="41E21275"/>
    <w:rsid w:val="41EC3DB8"/>
    <w:rsid w:val="42B85782"/>
    <w:rsid w:val="42F6152E"/>
    <w:rsid w:val="42FF6CFF"/>
    <w:rsid w:val="43075E6E"/>
    <w:rsid w:val="436B1A1A"/>
    <w:rsid w:val="43771108"/>
    <w:rsid w:val="438C4E1A"/>
    <w:rsid w:val="44174028"/>
    <w:rsid w:val="441746B8"/>
    <w:rsid w:val="446523D2"/>
    <w:rsid w:val="44765180"/>
    <w:rsid w:val="447A7A51"/>
    <w:rsid w:val="44BB500C"/>
    <w:rsid w:val="44DA0696"/>
    <w:rsid w:val="44E45943"/>
    <w:rsid w:val="453C4349"/>
    <w:rsid w:val="454E7037"/>
    <w:rsid w:val="4583380E"/>
    <w:rsid w:val="45993146"/>
    <w:rsid w:val="459E79F0"/>
    <w:rsid w:val="45AF27D7"/>
    <w:rsid w:val="45EB3538"/>
    <w:rsid w:val="463E0DC4"/>
    <w:rsid w:val="46440499"/>
    <w:rsid w:val="466F03AF"/>
    <w:rsid w:val="46771AC0"/>
    <w:rsid w:val="47347438"/>
    <w:rsid w:val="47867C8A"/>
    <w:rsid w:val="479B001B"/>
    <w:rsid w:val="47A55E85"/>
    <w:rsid w:val="47AC531D"/>
    <w:rsid w:val="47B36253"/>
    <w:rsid w:val="47D21CE6"/>
    <w:rsid w:val="47F70466"/>
    <w:rsid w:val="4820145E"/>
    <w:rsid w:val="48313978"/>
    <w:rsid w:val="486274F2"/>
    <w:rsid w:val="48876507"/>
    <w:rsid w:val="48A14890"/>
    <w:rsid w:val="48BD0CBA"/>
    <w:rsid w:val="48C37CC6"/>
    <w:rsid w:val="492F6EEB"/>
    <w:rsid w:val="4A4C0CEF"/>
    <w:rsid w:val="4A67403B"/>
    <w:rsid w:val="4A734E79"/>
    <w:rsid w:val="4A8F4985"/>
    <w:rsid w:val="4A9C275A"/>
    <w:rsid w:val="4AB85DCA"/>
    <w:rsid w:val="4AD27698"/>
    <w:rsid w:val="4AF07B1A"/>
    <w:rsid w:val="4AF45F45"/>
    <w:rsid w:val="4B0A12D5"/>
    <w:rsid w:val="4B1B114F"/>
    <w:rsid w:val="4B250368"/>
    <w:rsid w:val="4B4022CA"/>
    <w:rsid w:val="4B7F6C9B"/>
    <w:rsid w:val="4B857DCA"/>
    <w:rsid w:val="4BB01238"/>
    <w:rsid w:val="4BCF404D"/>
    <w:rsid w:val="4BEC2AE1"/>
    <w:rsid w:val="4C2F1AF1"/>
    <w:rsid w:val="4C3F1A69"/>
    <w:rsid w:val="4C4C7D4D"/>
    <w:rsid w:val="4C503838"/>
    <w:rsid w:val="4C692E82"/>
    <w:rsid w:val="4C8E6053"/>
    <w:rsid w:val="4C9B795E"/>
    <w:rsid w:val="4CA216B0"/>
    <w:rsid w:val="4CA7336B"/>
    <w:rsid w:val="4CEF5BAF"/>
    <w:rsid w:val="4D001539"/>
    <w:rsid w:val="4D060FF1"/>
    <w:rsid w:val="4D714797"/>
    <w:rsid w:val="4D9F0EEA"/>
    <w:rsid w:val="4DA60964"/>
    <w:rsid w:val="4E07637B"/>
    <w:rsid w:val="4E1A59EE"/>
    <w:rsid w:val="4E3A46A9"/>
    <w:rsid w:val="4E3C703C"/>
    <w:rsid w:val="4E92026E"/>
    <w:rsid w:val="4EB726FD"/>
    <w:rsid w:val="4EDA0894"/>
    <w:rsid w:val="4F095D32"/>
    <w:rsid w:val="4F1A4882"/>
    <w:rsid w:val="4F2B3557"/>
    <w:rsid w:val="4F2F71CE"/>
    <w:rsid w:val="4F3B1580"/>
    <w:rsid w:val="4F3C4DEC"/>
    <w:rsid w:val="4F585C8E"/>
    <w:rsid w:val="4F7C5051"/>
    <w:rsid w:val="4FDB2778"/>
    <w:rsid w:val="504900D3"/>
    <w:rsid w:val="50653B4A"/>
    <w:rsid w:val="50A3118B"/>
    <w:rsid w:val="50AA1BE6"/>
    <w:rsid w:val="50D77373"/>
    <w:rsid w:val="50EA2B95"/>
    <w:rsid w:val="50EA66B3"/>
    <w:rsid w:val="510F4A72"/>
    <w:rsid w:val="516620A8"/>
    <w:rsid w:val="516C10E4"/>
    <w:rsid w:val="5175589A"/>
    <w:rsid w:val="51BA74ED"/>
    <w:rsid w:val="51C04350"/>
    <w:rsid w:val="51D952A2"/>
    <w:rsid w:val="51E919B2"/>
    <w:rsid w:val="51EB103B"/>
    <w:rsid w:val="52331CAF"/>
    <w:rsid w:val="52892F5B"/>
    <w:rsid w:val="52F61709"/>
    <w:rsid w:val="54073585"/>
    <w:rsid w:val="543453A5"/>
    <w:rsid w:val="54540D8A"/>
    <w:rsid w:val="54843BCA"/>
    <w:rsid w:val="54D275F5"/>
    <w:rsid w:val="54DB7C79"/>
    <w:rsid w:val="54E74E26"/>
    <w:rsid w:val="54F93A6F"/>
    <w:rsid w:val="55580A4D"/>
    <w:rsid w:val="55627866"/>
    <w:rsid w:val="556F1F83"/>
    <w:rsid w:val="558B7070"/>
    <w:rsid w:val="55B45B96"/>
    <w:rsid w:val="55CC1AA1"/>
    <w:rsid w:val="55DA38A0"/>
    <w:rsid w:val="55DC1770"/>
    <w:rsid w:val="55EB22AC"/>
    <w:rsid w:val="561133F2"/>
    <w:rsid w:val="561F5757"/>
    <w:rsid w:val="56401CD5"/>
    <w:rsid w:val="56454BF1"/>
    <w:rsid w:val="56571FFA"/>
    <w:rsid w:val="56660C90"/>
    <w:rsid w:val="56A92CC7"/>
    <w:rsid w:val="56D204E6"/>
    <w:rsid w:val="571E77BD"/>
    <w:rsid w:val="57441969"/>
    <w:rsid w:val="57476652"/>
    <w:rsid w:val="5772766D"/>
    <w:rsid w:val="579F5F84"/>
    <w:rsid w:val="57C70491"/>
    <w:rsid w:val="57E010B8"/>
    <w:rsid w:val="57EB50BF"/>
    <w:rsid w:val="580405EF"/>
    <w:rsid w:val="581D5AED"/>
    <w:rsid w:val="586D09FC"/>
    <w:rsid w:val="58BD10F2"/>
    <w:rsid w:val="58CB127E"/>
    <w:rsid w:val="58CD33C2"/>
    <w:rsid w:val="592A2449"/>
    <w:rsid w:val="594A0687"/>
    <w:rsid w:val="595A3D47"/>
    <w:rsid w:val="596469D4"/>
    <w:rsid w:val="59BD375F"/>
    <w:rsid w:val="59E85E60"/>
    <w:rsid w:val="59ED3476"/>
    <w:rsid w:val="5A435D8A"/>
    <w:rsid w:val="5A51252E"/>
    <w:rsid w:val="5A5F13E7"/>
    <w:rsid w:val="5AA173D8"/>
    <w:rsid w:val="5AAF4888"/>
    <w:rsid w:val="5B7F45A2"/>
    <w:rsid w:val="5BB71F8E"/>
    <w:rsid w:val="5BBC1D09"/>
    <w:rsid w:val="5BDB3215"/>
    <w:rsid w:val="5C34380B"/>
    <w:rsid w:val="5C441E45"/>
    <w:rsid w:val="5C6C09AA"/>
    <w:rsid w:val="5CBA4C19"/>
    <w:rsid w:val="5D194289"/>
    <w:rsid w:val="5D55190E"/>
    <w:rsid w:val="5D852344"/>
    <w:rsid w:val="5D8C2B4C"/>
    <w:rsid w:val="5DC32E71"/>
    <w:rsid w:val="5DDB4E6C"/>
    <w:rsid w:val="5DE448ED"/>
    <w:rsid w:val="5DF70E54"/>
    <w:rsid w:val="5E402B64"/>
    <w:rsid w:val="5E94654C"/>
    <w:rsid w:val="5EA16ED0"/>
    <w:rsid w:val="5EB01642"/>
    <w:rsid w:val="5F001951"/>
    <w:rsid w:val="5F006759"/>
    <w:rsid w:val="5F061262"/>
    <w:rsid w:val="5F207449"/>
    <w:rsid w:val="5F225A0F"/>
    <w:rsid w:val="5F4C3A7F"/>
    <w:rsid w:val="5F64242D"/>
    <w:rsid w:val="5F7417D6"/>
    <w:rsid w:val="5F912AC4"/>
    <w:rsid w:val="5FA35FE5"/>
    <w:rsid w:val="5FCE4F4E"/>
    <w:rsid w:val="5FD14724"/>
    <w:rsid w:val="600C4824"/>
    <w:rsid w:val="600D0710"/>
    <w:rsid w:val="60153D3C"/>
    <w:rsid w:val="602F50D5"/>
    <w:rsid w:val="60700F30"/>
    <w:rsid w:val="607B7DDA"/>
    <w:rsid w:val="60B62E5B"/>
    <w:rsid w:val="60E87B88"/>
    <w:rsid w:val="60F36AC5"/>
    <w:rsid w:val="613A3445"/>
    <w:rsid w:val="61A76748"/>
    <w:rsid w:val="61D91A2E"/>
    <w:rsid w:val="627209F2"/>
    <w:rsid w:val="62900431"/>
    <w:rsid w:val="62B731FE"/>
    <w:rsid w:val="62C52E85"/>
    <w:rsid w:val="62CB22F4"/>
    <w:rsid w:val="62DC368C"/>
    <w:rsid w:val="62E8177E"/>
    <w:rsid w:val="62F87114"/>
    <w:rsid w:val="63023C80"/>
    <w:rsid w:val="630C0161"/>
    <w:rsid w:val="63685D38"/>
    <w:rsid w:val="636D3AA1"/>
    <w:rsid w:val="63A31776"/>
    <w:rsid w:val="640A6AA4"/>
    <w:rsid w:val="642A1415"/>
    <w:rsid w:val="649B203D"/>
    <w:rsid w:val="64D851A1"/>
    <w:rsid w:val="64F22548"/>
    <w:rsid w:val="65033676"/>
    <w:rsid w:val="65442BCD"/>
    <w:rsid w:val="655C29BA"/>
    <w:rsid w:val="65610558"/>
    <w:rsid w:val="65804820"/>
    <w:rsid w:val="659106E2"/>
    <w:rsid w:val="65A2780B"/>
    <w:rsid w:val="65AB236D"/>
    <w:rsid w:val="65B8080F"/>
    <w:rsid w:val="65D03BC6"/>
    <w:rsid w:val="65E46075"/>
    <w:rsid w:val="66032238"/>
    <w:rsid w:val="662276B1"/>
    <w:rsid w:val="66483EC5"/>
    <w:rsid w:val="66700206"/>
    <w:rsid w:val="66704DB4"/>
    <w:rsid w:val="66A04F95"/>
    <w:rsid w:val="66B26720"/>
    <w:rsid w:val="67102453"/>
    <w:rsid w:val="67120A9E"/>
    <w:rsid w:val="6734799D"/>
    <w:rsid w:val="673E4038"/>
    <w:rsid w:val="67500178"/>
    <w:rsid w:val="679F3CC8"/>
    <w:rsid w:val="67D201EB"/>
    <w:rsid w:val="67E01163"/>
    <w:rsid w:val="680622D3"/>
    <w:rsid w:val="681168A6"/>
    <w:rsid w:val="681E28FF"/>
    <w:rsid w:val="68222C9E"/>
    <w:rsid w:val="686C2F70"/>
    <w:rsid w:val="688573AD"/>
    <w:rsid w:val="688651C2"/>
    <w:rsid w:val="68A67F29"/>
    <w:rsid w:val="68C15CCA"/>
    <w:rsid w:val="68D118F1"/>
    <w:rsid w:val="68DC7567"/>
    <w:rsid w:val="68EC6B14"/>
    <w:rsid w:val="68F62689"/>
    <w:rsid w:val="69001944"/>
    <w:rsid w:val="69350DCE"/>
    <w:rsid w:val="697D619C"/>
    <w:rsid w:val="697E5CFD"/>
    <w:rsid w:val="69EE3D79"/>
    <w:rsid w:val="69F96694"/>
    <w:rsid w:val="6A0E091D"/>
    <w:rsid w:val="6A260A0B"/>
    <w:rsid w:val="6A807108"/>
    <w:rsid w:val="6A901E6F"/>
    <w:rsid w:val="6ABA50AD"/>
    <w:rsid w:val="6ABC175A"/>
    <w:rsid w:val="6AC33DB7"/>
    <w:rsid w:val="6B006918"/>
    <w:rsid w:val="6B58725B"/>
    <w:rsid w:val="6BA94127"/>
    <w:rsid w:val="6BE57EBD"/>
    <w:rsid w:val="6BFE46EA"/>
    <w:rsid w:val="6C407AB9"/>
    <w:rsid w:val="6C7F53F2"/>
    <w:rsid w:val="6C8B20CC"/>
    <w:rsid w:val="6D1927C4"/>
    <w:rsid w:val="6D616AB2"/>
    <w:rsid w:val="6D6D0FF6"/>
    <w:rsid w:val="6DD54955"/>
    <w:rsid w:val="6DE4548A"/>
    <w:rsid w:val="6E2958EC"/>
    <w:rsid w:val="6E2D5373"/>
    <w:rsid w:val="6E3E2D5D"/>
    <w:rsid w:val="6E8F400F"/>
    <w:rsid w:val="6EB71B5D"/>
    <w:rsid w:val="6F447A17"/>
    <w:rsid w:val="6F773253"/>
    <w:rsid w:val="703B4AE4"/>
    <w:rsid w:val="704217E5"/>
    <w:rsid w:val="7076354C"/>
    <w:rsid w:val="707E56F3"/>
    <w:rsid w:val="7084648B"/>
    <w:rsid w:val="70F6444B"/>
    <w:rsid w:val="71152000"/>
    <w:rsid w:val="7121017E"/>
    <w:rsid w:val="71951D13"/>
    <w:rsid w:val="719A3A8C"/>
    <w:rsid w:val="71CD3A0B"/>
    <w:rsid w:val="71DD22F7"/>
    <w:rsid w:val="721376E2"/>
    <w:rsid w:val="721756F7"/>
    <w:rsid w:val="721A607D"/>
    <w:rsid w:val="72224ADC"/>
    <w:rsid w:val="7231680E"/>
    <w:rsid w:val="726C7C5A"/>
    <w:rsid w:val="72731B2F"/>
    <w:rsid w:val="727B38BE"/>
    <w:rsid w:val="727E77FD"/>
    <w:rsid w:val="72924529"/>
    <w:rsid w:val="72BD5AD1"/>
    <w:rsid w:val="72C87BB3"/>
    <w:rsid w:val="735465E8"/>
    <w:rsid w:val="735F6117"/>
    <w:rsid w:val="73897E02"/>
    <w:rsid w:val="73A40AD9"/>
    <w:rsid w:val="73BC3875"/>
    <w:rsid w:val="73FC40C7"/>
    <w:rsid w:val="745D4D21"/>
    <w:rsid w:val="7466563C"/>
    <w:rsid w:val="74C01B01"/>
    <w:rsid w:val="74DB6895"/>
    <w:rsid w:val="752F342A"/>
    <w:rsid w:val="753C3BCC"/>
    <w:rsid w:val="75843304"/>
    <w:rsid w:val="759E66FC"/>
    <w:rsid w:val="75C509F0"/>
    <w:rsid w:val="760C31AA"/>
    <w:rsid w:val="7632763C"/>
    <w:rsid w:val="766034F6"/>
    <w:rsid w:val="76C41357"/>
    <w:rsid w:val="76CB6D18"/>
    <w:rsid w:val="76E41A31"/>
    <w:rsid w:val="76ED37EF"/>
    <w:rsid w:val="770F21D1"/>
    <w:rsid w:val="77833970"/>
    <w:rsid w:val="77BF7315"/>
    <w:rsid w:val="77DD3234"/>
    <w:rsid w:val="782E1286"/>
    <w:rsid w:val="782E3442"/>
    <w:rsid w:val="78532959"/>
    <w:rsid w:val="786C5C4B"/>
    <w:rsid w:val="78871402"/>
    <w:rsid w:val="78A7019A"/>
    <w:rsid w:val="78CA1834"/>
    <w:rsid w:val="78D56A00"/>
    <w:rsid w:val="78DF6F7C"/>
    <w:rsid w:val="790A6E9A"/>
    <w:rsid w:val="791870B6"/>
    <w:rsid w:val="791F4899"/>
    <w:rsid w:val="796D5B63"/>
    <w:rsid w:val="798D055E"/>
    <w:rsid w:val="79B2097F"/>
    <w:rsid w:val="79BA3B0E"/>
    <w:rsid w:val="7A287679"/>
    <w:rsid w:val="7A390B78"/>
    <w:rsid w:val="7ABB6962"/>
    <w:rsid w:val="7AC940EF"/>
    <w:rsid w:val="7AF4539C"/>
    <w:rsid w:val="7B2867E1"/>
    <w:rsid w:val="7B4F7695"/>
    <w:rsid w:val="7B9C6D7F"/>
    <w:rsid w:val="7BBFE36C"/>
    <w:rsid w:val="7BFE17E7"/>
    <w:rsid w:val="7C013D85"/>
    <w:rsid w:val="7C182650"/>
    <w:rsid w:val="7C426179"/>
    <w:rsid w:val="7C662C4B"/>
    <w:rsid w:val="7CB32C8C"/>
    <w:rsid w:val="7D1B3671"/>
    <w:rsid w:val="7D241628"/>
    <w:rsid w:val="7D5C3335"/>
    <w:rsid w:val="7D733ECF"/>
    <w:rsid w:val="7DB40A20"/>
    <w:rsid w:val="7DC2451F"/>
    <w:rsid w:val="7DCA13D1"/>
    <w:rsid w:val="7DE7143A"/>
    <w:rsid w:val="7E136A50"/>
    <w:rsid w:val="7E49765A"/>
    <w:rsid w:val="7E4C0FEB"/>
    <w:rsid w:val="7E7654DB"/>
    <w:rsid w:val="7EA857C5"/>
    <w:rsid w:val="7EBE0C5A"/>
    <w:rsid w:val="7EFB3C47"/>
    <w:rsid w:val="7F5876EB"/>
    <w:rsid w:val="7F6271D2"/>
    <w:rsid w:val="7F850ECB"/>
    <w:rsid w:val="7F9E2999"/>
    <w:rsid w:val="7FAA2F0C"/>
    <w:rsid w:val="7FFD1637"/>
    <w:rsid w:val="A7CFE651"/>
    <w:rsid w:val="BEDBD596"/>
    <w:rsid w:val="CEB62A15"/>
    <w:rsid w:val="DCFD2C93"/>
    <w:rsid w:val="DDFF371E"/>
    <w:rsid w:val="DF77DDF5"/>
    <w:rsid w:val="DF7FC15B"/>
    <w:rsid w:val="E3FDFAD4"/>
    <w:rsid w:val="F6EFA82F"/>
    <w:rsid w:val="FB33D45F"/>
    <w:rsid w:val="FFE560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1"/>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2"/>
    <w:autoRedefine/>
    <w:qFormat/>
    <w:uiPriority w:val="0"/>
    <w:pPr>
      <w:keepNext/>
      <w:outlineLvl w:val="0"/>
    </w:pPr>
    <w:rPr>
      <w:sz w:val="28"/>
      <w:szCs w:val="24"/>
    </w:rPr>
  </w:style>
  <w:style w:type="paragraph" w:styleId="3">
    <w:name w:val="heading 2"/>
    <w:basedOn w:val="1"/>
    <w:next w:val="1"/>
    <w:link w:val="118"/>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4"/>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5"/>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40">
    <w:name w:val="Default Paragraph Font"/>
    <w:autoRedefine/>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9"/>
    <w:autoRedefine/>
    <w:qFormat/>
    <w:uiPriority w:val="0"/>
    <w:pPr>
      <w:shd w:val="clear" w:color="auto" w:fill="000080"/>
    </w:pPr>
  </w:style>
  <w:style w:type="paragraph" w:styleId="8">
    <w:name w:val="annotation text"/>
    <w:basedOn w:val="1"/>
    <w:link w:val="83"/>
    <w:autoRedefine/>
    <w:semiHidden/>
    <w:qFormat/>
    <w:uiPriority w:val="99"/>
    <w:pPr>
      <w:jc w:val="left"/>
    </w:pPr>
  </w:style>
  <w:style w:type="paragraph" w:styleId="9">
    <w:name w:val="Body Text 3"/>
    <w:basedOn w:val="1"/>
    <w:link w:val="103"/>
    <w:autoRedefine/>
    <w:unhideWhenUsed/>
    <w:qFormat/>
    <w:uiPriority w:val="99"/>
    <w:pPr>
      <w:spacing w:after="120"/>
    </w:pPr>
    <w:rPr>
      <w:rFonts w:ascii="Calibri" w:hAnsi="Calibri"/>
      <w:sz w:val="16"/>
      <w:szCs w:val="16"/>
      <w:lang w:val="zh-CN"/>
    </w:rPr>
  </w:style>
  <w:style w:type="paragraph" w:styleId="10">
    <w:name w:val="Body Text"/>
    <w:basedOn w:val="1"/>
    <w:next w:val="11"/>
    <w:link w:val="78"/>
    <w:autoRedefine/>
    <w:qFormat/>
    <w:uiPriority w:val="0"/>
    <w:pPr>
      <w:spacing w:after="120"/>
    </w:pPr>
    <w:rPr>
      <w:szCs w:val="24"/>
    </w:rPr>
  </w:style>
  <w:style w:type="paragraph" w:customStyle="1" w:styleId="11">
    <w:name w:val="Default"/>
    <w:next w:val="12"/>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12">
    <w:name w:val="表格文字"/>
    <w:basedOn w:val="1"/>
    <w:autoRedefine/>
    <w:qFormat/>
    <w:uiPriority w:val="0"/>
    <w:pPr>
      <w:spacing w:line="360" w:lineRule="exact"/>
      <w:jc w:val="center"/>
    </w:pPr>
    <w:rPr>
      <w:szCs w:val="20"/>
    </w:rPr>
  </w:style>
  <w:style w:type="paragraph" w:styleId="13">
    <w:name w:val="Body Text Indent"/>
    <w:basedOn w:val="1"/>
    <w:next w:val="14"/>
    <w:link w:val="67"/>
    <w:autoRedefine/>
    <w:qFormat/>
    <w:uiPriority w:val="0"/>
    <w:pPr>
      <w:ind w:firstLine="540"/>
    </w:pPr>
    <w:rPr>
      <w:rFonts w:eastAsia="仿宋_GB2312"/>
      <w:sz w:val="28"/>
    </w:rPr>
  </w:style>
  <w:style w:type="paragraph" w:styleId="14">
    <w:name w:val="envelope return"/>
    <w:basedOn w:val="1"/>
    <w:autoRedefine/>
    <w:unhideWhenUsed/>
    <w:qFormat/>
    <w:uiPriority w:val="99"/>
    <w:pPr>
      <w:snapToGrid w:val="0"/>
      <w:spacing w:line="360" w:lineRule="auto"/>
    </w:pPr>
    <w:rPr>
      <w:rFonts w:ascii="Arial" w:hAnsi="Arial" w:cs="Arial"/>
    </w:rPr>
  </w:style>
  <w:style w:type="paragraph" w:styleId="15">
    <w:name w:val="List 2"/>
    <w:basedOn w:val="1"/>
    <w:unhideWhenUsed/>
    <w:qFormat/>
    <w:uiPriority w:val="99"/>
    <w:pPr>
      <w:ind w:left="100" w:leftChars="200" w:hanging="200" w:hangingChars="200"/>
      <w:contextualSpacing/>
    </w:pPr>
  </w:style>
  <w:style w:type="paragraph" w:styleId="16">
    <w:name w:val="toc 5"/>
    <w:basedOn w:val="1"/>
    <w:next w:val="1"/>
    <w:autoRedefine/>
    <w:qFormat/>
    <w:uiPriority w:val="0"/>
    <w:pPr>
      <w:ind w:left="1680" w:leftChars="800"/>
    </w:pPr>
  </w:style>
  <w:style w:type="paragraph" w:styleId="17">
    <w:name w:val="toc 3"/>
    <w:basedOn w:val="1"/>
    <w:next w:val="1"/>
    <w:autoRedefine/>
    <w:qFormat/>
    <w:uiPriority w:val="39"/>
    <w:pPr>
      <w:ind w:left="840" w:leftChars="400"/>
    </w:pPr>
  </w:style>
  <w:style w:type="paragraph" w:styleId="18">
    <w:name w:val="Plain Text"/>
    <w:basedOn w:val="1"/>
    <w:link w:val="86"/>
    <w:autoRedefine/>
    <w:qFormat/>
    <w:uiPriority w:val="0"/>
    <w:rPr>
      <w:rFonts w:ascii="宋体" w:hAnsi="Courier New" w:cstheme="minorBidi"/>
      <w:szCs w:val="22"/>
    </w:rPr>
  </w:style>
  <w:style w:type="paragraph" w:styleId="19">
    <w:name w:val="toc 8"/>
    <w:basedOn w:val="1"/>
    <w:next w:val="1"/>
    <w:autoRedefine/>
    <w:qFormat/>
    <w:uiPriority w:val="0"/>
    <w:pPr>
      <w:ind w:left="2940" w:leftChars="1400"/>
    </w:pPr>
  </w:style>
  <w:style w:type="paragraph" w:styleId="20">
    <w:name w:val="Date"/>
    <w:basedOn w:val="1"/>
    <w:next w:val="1"/>
    <w:link w:val="66"/>
    <w:autoRedefine/>
    <w:qFormat/>
    <w:uiPriority w:val="0"/>
    <w:rPr>
      <w:rFonts w:ascii="Arial" w:hAnsi="Arial" w:eastAsia="楷体_GB2312"/>
      <w:sz w:val="28"/>
    </w:rPr>
  </w:style>
  <w:style w:type="paragraph" w:styleId="21">
    <w:name w:val="Body Text Indent 2"/>
    <w:basedOn w:val="1"/>
    <w:link w:val="69"/>
    <w:autoRedefine/>
    <w:qFormat/>
    <w:uiPriority w:val="0"/>
    <w:pPr>
      <w:tabs>
        <w:tab w:val="left" w:pos="720"/>
      </w:tabs>
      <w:ind w:right="-506" w:rightChars="-241" w:firstLine="538" w:firstLineChars="192"/>
    </w:pPr>
    <w:rPr>
      <w:rFonts w:eastAsia="仿宋_GB2312"/>
      <w:sz w:val="28"/>
    </w:rPr>
  </w:style>
  <w:style w:type="paragraph" w:styleId="22">
    <w:name w:val="Balloon Text"/>
    <w:basedOn w:val="1"/>
    <w:link w:val="80"/>
    <w:autoRedefine/>
    <w:qFormat/>
    <w:uiPriority w:val="0"/>
    <w:rPr>
      <w:sz w:val="18"/>
      <w:szCs w:val="18"/>
    </w:rPr>
  </w:style>
  <w:style w:type="paragraph" w:styleId="23">
    <w:name w:val="footer"/>
    <w:basedOn w:val="1"/>
    <w:link w:val="61"/>
    <w:autoRedefine/>
    <w:unhideWhenUsed/>
    <w:qFormat/>
    <w:uiPriority w:val="99"/>
    <w:pPr>
      <w:tabs>
        <w:tab w:val="center" w:pos="4153"/>
        <w:tab w:val="right" w:pos="8306"/>
      </w:tabs>
      <w:snapToGrid w:val="0"/>
      <w:jc w:val="left"/>
    </w:pPr>
    <w:rPr>
      <w:sz w:val="18"/>
      <w:szCs w:val="18"/>
    </w:rPr>
  </w:style>
  <w:style w:type="paragraph" w:styleId="24">
    <w:name w:val="header"/>
    <w:basedOn w:val="1"/>
    <w:link w:val="6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0"/>
  </w:style>
  <w:style w:type="paragraph" w:styleId="26">
    <w:name w:val="toc 4"/>
    <w:basedOn w:val="1"/>
    <w:next w:val="1"/>
    <w:autoRedefine/>
    <w:qFormat/>
    <w:uiPriority w:val="0"/>
    <w:pPr>
      <w:ind w:left="1260" w:leftChars="600"/>
    </w:pPr>
  </w:style>
  <w:style w:type="paragraph" w:styleId="27">
    <w:name w:val="toc 6"/>
    <w:basedOn w:val="1"/>
    <w:next w:val="1"/>
    <w:autoRedefine/>
    <w:qFormat/>
    <w:uiPriority w:val="0"/>
    <w:pPr>
      <w:ind w:left="2100" w:leftChars="1000"/>
    </w:pPr>
  </w:style>
  <w:style w:type="paragraph" w:styleId="28">
    <w:name w:val="Body Text Indent 3"/>
    <w:basedOn w:val="1"/>
    <w:link w:val="75"/>
    <w:autoRedefine/>
    <w:qFormat/>
    <w:uiPriority w:val="0"/>
    <w:pPr>
      <w:ind w:left="178" w:leftChars="85" w:firstLine="560" w:firstLineChars="200"/>
    </w:pPr>
    <w:rPr>
      <w:rFonts w:ascii="仿宋_GB2312" w:hAnsi="Arial" w:eastAsia="仿宋_GB2312"/>
      <w:sz w:val="28"/>
      <w:szCs w:val="24"/>
    </w:rPr>
  </w:style>
  <w:style w:type="paragraph" w:styleId="29">
    <w:name w:val="toc 2"/>
    <w:basedOn w:val="1"/>
    <w:next w:val="1"/>
    <w:autoRedefine/>
    <w:qFormat/>
    <w:uiPriority w:val="39"/>
    <w:pPr>
      <w:ind w:left="420" w:leftChars="200"/>
    </w:pPr>
  </w:style>
  <w:style w:type="paragraph" w:styleId="30">
    <w:name w:val="toc 9"/>
    <w:basedOn w:val="1"/>
    <w:next w:val="1"/>
    <w:autoRedefine/>
    <w:qFormat/>
    <w:uiPriority w:val="0"/>
    <w:pPr>
      <w:ind w:left="3360" w:leftChars="1600"/>
    </w:pPr>
  </w:style>
  <w:style w:type="paragraph" w:styleId="31">
    <w:name w:val="Body Text 2"/>
    <w:basedOn w:val="1"/>
    <w:autoRedefine/>
    <w:qFormat/>
    <w:uiPriority w:val="0"/>
    <w:pPr>
      <w:spacing w:after="120" w:line="480" w:lineRule="auto"/>
    </w:pPr>
  </w:style>
  <w:style w:type="paragraph" w:styleId="32">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3">
    <w:name w:val="Normal (Web)"/>
    <w:basedOn w:val="1"/>
    <w:autoRedefine/>
    <w:unhideWhenUsed/>
    <w:qFormat/>
    <w:uiPriority w:val="99"/>
    <w:pPr>
      <w:jc w:val="left"/>
    </w:pPr>
    <w:rPr>
      <w:kern w:val="0"/>
      <w:sz w:val="24"/>
    </w:rPr>
  </w:style>
  <w:style w:type="paragraph" w:styleId="34">
    <w:name w:val="index 1"/>
    <w:basedOn w:val="1"/>
    <w:next w:val="1"/>
    <w:autoRedefine/>
    <w:semiHidden/>
    <w:qFormat/>
    <w:uiPriority w:val="0"/>
    <w:pPr>
      <w:jc w:val="center"/>
    </w:pPr>
    <w:rPr>
      <w:rFonts w:ascii="仿宋_GB2312" w:eastAsia="仿宋_GB2312"/>
      <w:b/>
      <w:bCs/>
      <w:sz w:val="28"/>
    </w:rPr>
  </w:style>
  <w:style w:type="paragraph" w:styleId="35">
    <w:name w:val="annotation subject"/>
    <w:basedOn w:val="8"/>
    <w:next w:val="8"/>
    <w:link w:val="84"/>
    <w:autoRedefine/>
    <w:semiHidden/>
    <w:qFormat/>
    <w:uiPriority w:val="99"/>
    <w:rPr>
      <w:b/>
      <w:bCs/>
    </w:rPr>
  </w:style>
  <w:style w:type="paragraph" w:styleId="36">
    <w:name w:val="Body Text First Indent"/>
    <w:basedOn w:val="10"/>
    <w:next w:val="27"/>
    <w:autoRedefine/>
    <w:unhideWhenUsed/>
    <w:qFormat/>
    <w:uiPriority w:val="99"/>
    <w:pPr>
      <w:spacing w:line="400" w:lineRule="atLeast"/>
      <w:ind w:firstLine="426"/>
    </w:pPr>
    <w:rPr>
      <w:sz w:val="24"/>
      <w:szCs w:val="20"/>
    </w:rPr>
  </w:style>
  <w:style w:type="paragraph" w:styleId="37">
    <w:name w:val="Body Text First Indent 2"/>
    <w:basedOn w:val="13"/>
    <w:autoRedefine/>
    <w:qFormat/>
    <w:uiPriority w:val="0"/>
    <w:pPr>
      <w:spacing w:line="360" w:lineRule="auto"/>
      <w:jc w:val="left"/>
    </w:pPr>
    <w:rPr>
      <w:rFonts w:cs="宋体"/>
      <w:sz w:val="28"/>
      <w:szCs w:val="28"/>
    </w:rPr>
  </w:style>
  <w:style w:type="table" w:styleId="39">
    <w:name w:val="Table Grid"/>
    <w:basedOn w:val="3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autoRedefine/>
    <w:qFormat/>
    <w:uiPriority w:val="0"/>
    <w:rPr>
      <w:b/>
      <w:bCs/>
    </w:rPr>
  </w:style>
  <w:style w:type="character" w:styleId="42">
    <w:name w:val="page number"/>
    <w:basedOn w:val="40"/>
    <w:autoRedefine/>
    <w:qFormat/>
    <w:uiPriority w:val="0"/>
  </w:style>
  <w:style w:type="character" w:styleId="43">
    <w:name w:val="FollowedHyperlink"/>
    <w:basedOn w:val="40"/>
    <w:autoRedefine/>
    <w:unhideWhenUsed/>
    <w:qFormat/>
    <w:uiPriority w:val="99"/>
    <w:rPr>
      <w:color w:val="954F72" w:themeColor="followedHyperlink"/>
      <w:u w:val="single"/>
      <w14:textFill>
        <w14:solidFill>
          <w14:schemeClr w14:val="folHlink"/>
        </w14:solidFill>
      </w14:textFill>
    </w:rPr>
  </w:style>
  <w:style w:type="character" w:styleId="44">
    <w:name w:val="Emphasis"/>
    <w:basedOn w:val="40"/>
    <w:autoRedefine/>
    <w:qFormat/>
    <w:uiPriority w:val="20"/>
    <w:rPr>
      <w:b/>
      <w:bCs/>
    </w:rPr>
  </w:style>
  <w:style w:type="character" w:styleId="45">
    <w:name w:val="HTML Definition"/>
    <w:basedOn w:val="40"/>
    <w:autoRedefine/>
    <w:semiHidden/>
    <w:unhideWhenUsed/>
    <w:qFormat/>
    <w:uiPriority w:val="99"/>
  </w:style>
  <w:style w:type="character" w:styleId="46">
    <w:name w:val="HTML Typewriter"/>
    <w:basedOn w:val="40"/>
    <w:autoRedefine/>
    <w:semiHidden/>
    <w:unhideWhenUsed/>
    <w:qFormat/>
    <w:uiPriority w:val="99"/>
    <w:rPr>
      <w:rFonts w:hint="default" w:ascii="monospace" w:hAnsi="monospace" w:eastAsia="monospace" w:cs="monospace"/>
      <w:sz w:val="20"/>
    </w:rPr>
  </w:style>
  <w:style w:type="character" w:styleId="47">
    <w:name w:val="HTML Acronym"/>
    <w:basedOn w:val="40"/>
    <w:autoRedefine/>
    <w:semiHidden/>
    <w:unhideWhenUsed/>
    <w:qFormat/>
    <w:uiPriority w:val="99"/>
  </w:style>
  <w:style w:type="character" w:styleId="48">
    <w:name w:val="HTML Variable"/>
    <w:basedOn w:val="40"/>
    <w:autoRedefine/>
    <w:semiHidden/>
    <w:unhideWhenUsed/>
    <w:qFormat/>
    <w:uiPriority w:val="99"/>
  </w:style>
  <w:style w:type="character" w:styleId="49">
    <w:name w:val="Hyperlink"/>
    <w:basedOn w:val="40"/>
    <w:autoRedefine/>
    <w:qFormat/>
    <w:uiPriority w:val="99"/>
    <w:rPr>
      <w:color w:val="333333"/>
      <w:u w:val="none"/>
    </w:rPr>
  </w:style>
  <w:style w:type="character" w:styleId="50">
    <w:name w:val="HTML Code"/>
    <w:basedOn w:val="40"/>
    <w:autoRedefine/>
    <w:semiHidden/>
    <w:unhideWhenUsed/>
    <w:qFormat/>
    <w:uiPriority w:val="99"/>
    <w:rPr>
      <w:rFonts w:hint="default" w:ascii="monospace" w:hAnsi="monospace" w:eastAsia="monospace" w:cs="monospace"/>
      <w:sz w:val="20"/>
    </w:rPr>
  </w:style>
  <w:style w:type="character" w:styleId="51">
    <w:name w:val="annotation reference"/>
    <w:autoRedefine/>
    <w:semiHidden/>
    <w:qFormat/>
    <w:uiPriority w:val="99"/>
    <w:rPr>
      <w:sz w:val="21"/>
      <w:szCs w:val="21"/>
    </w:rPr>
  </w:style>
  <w:style w:type="character" w:styleId="52">
    <w:name w:val="HTML Cite"/>
    <w:basedOn w:val="40"/>
    <w:autoRedefine/>
    <w:semiHidden/>
    <w:unhideWhenUsed/>
    <w:qFormat/>
    <w:uiPriority w:val="99"/>
  </w:style>
  <w:style w:type="character" w:styleId="53">
    <w:name w:val="HTML Keyboard"/>
    <w:basedOn w:val="40"/>
    <w:autoRedefine/>
    <w:semiHidden/>
    <w:unhideWhenUsed/>
    <w:qFormat/>
    <w:uiPriority w:val="99"/>
    <w:rPr>
      <w:rFonts w:ascii="monospace" w:hAnsi="monospace" w:eastAsia="monospace" w:cs="monospace"/>
      <w:sz w:val="20"/>
    </w:rPr>
  </w:style>
  <w:style w:type="character" w:styleId="54">
    <w:name w:val="HTML Sample"/>
    <w:basedOn w:val="40"/>
    <w:autoRedefine/>
    <w:semiHidden/>
    <w:unhideWhenUsed/>
    <w:qFormat/>
    <w:uiPriority w:val="99"/>
    <w:rPr>
      <w:rFonts w:hint="default" w:ascii="monospace" w:hAnsi="monospace" w:eastAsia="monospace" w:cs="monospace"/>
    </w:rPr>
  </w:style>
  <w:style w:type="paragraph" w:customStyle="1" w:styleId="55">
    <w:name w:val="_Style 2"/>
    <w:basedOn w:val="1"/>
    <w:next w:val="1"/>
    <w:autoRedefine/>
    <w:qFormat/>
    <w:uiPriority w:val="0"/>
    <w:pPr>
      <w:ind w:firstLine="420" w:firstLineChars="200"/>
    </w:pPr>
    <w:rPr>
      <w:rFonts w:ascii="Times New Roman" w:hAnsi="Times New Roman" w:eastAsia="宋体" w:cs="Times New Roman"/>
      <w:szCs w:val="24"/>
    </w:rPr>
  </w:style>
  <w:style w:type="paragraph" w:customStyle="1" w:styleId="56">
    <w:name w:val="style4"/>
    <w:basedOn w:val="1"/>
    <w:next w:val="57"/>
    <w:autoRedefine/>
    <w:qFormat/>
    <w:uiPriority w:val="0"/>
    <w:pPr>
      <w:widowControl/>
      <w:spacing w:before="280" w:after="280"/>
    </w:pPr>
    <w:rPr>
      <w:rFonts w:ascii="宋体"/>
      <w:sz w:val="18"/>
    </w:rPr>
  </w:style>
  <w:style w:type="paragraph" w:customStyle="1" w:styleId="57">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8">
    <w:name w:val="列出段落1"/>
    <w:basedOn w:val="1"/>
    <w:autoRedefine/>
    <w:qFormat/>
    <w:uiPriority w:val="0"/>
    <w:pPr>
      <w:ind w:firstLine="420" w:firstLineChars="200"/>
    </w:pPr>
    <w:rPr>
      <w:rFonts w:ascii="Calibri" w:hAnsi="Calibri"/>
      <w:szCs w:val="22"/>
    </w:rPr>
  </w:style>
  <w:style w:type="paragraph" w:customStyle="1" w:styleId="59">
    <w:name w:val="目录 71"/>
    <w:basedOn w:val="1"/>
    <w:next w:val="1"/>
    <w:autoRedefine/>
    <w:qFormat/>
    <w:uiPriority w:val="0"/>
    <w:pPr>
      <w:ind w:left="2520"/>
    </w:pPr>
    <w:rPr>
      <w:rFonts w:ascii="Calibri"/>
    </w:rPr>
  </w:style>
  <w:style w:type="character" w:customStyle="1" w:styleId="60">
    <w:name w:val="页眉 字符"/>
    <w:basedOn w:val="40"/>
    <w:link w:val="24"/>
    <w:autoRedefine/>
    <w:qFormat/>
    <w:uiPriority w:val="0"/>
    <w:rPr>
      <w:sz w:val="18"/>
      <w:szCs w:val="18"/>
    </w:rPr>
  </w:style>
  <w:style w:type="character" w:customStyle="1" w:styleId="61">
    <w:name w:val="页脚 字符"/>
    <w:basedOn w:val="40"/>
    <w:link w:val="23"/>
    <w:autoRedefine/>
    <w:qFormat/>
    <w:uiPriority w:val="0"/>
    <w:rPr>
      <w:sz w:val="18"/>
      <w:szCs w:val="18"/>
    </w:rPr>
  </w:style>
  <w:style w:type="character" w:customStyle="1" w:styleId="62">
    <w:name w:val="标题 1 字符"/>
    <w:basedOn w:val="40"/>
    <w:link w:val="2"/>
    <w:autoRedefine/>
    <w:qFormat/>
    <w:uiPriority w:val="0"/>
    <w:rPr>
      <w:rFonts w:ascii="Times New Roman" w:hAnsi="Times New Roman" w:eastAsia="宋体" w:cs="Times New Roman"/>
      <w:sz w:val="28"/>
      <w:szCs w:val="24"/>
    </w:rPr>
  </w:style>
  <w:style w:type="character" w:customStyle="1" w:styleId="63">
    <w:name w:val="标题 2 Char"/>
    <w:basedOn w:val="40"/>
    <w:link w:val="3"/>
    <w:autoRedefine/>
    <w:qFormat/>
    <w:uiPriority w:val="0"/>
    <w:rPr>
      <w:rFonts w:ascii="Arial" w:hAnsi="Arial" w:eastAsia="黑体" w:cs="Times New Roman"/>
      <w:b/>
      <w:kern w:val="0"/>
      <w:sz w:val="32"/>
      <w:szCs w:val="20"/>
    </w:rPr>
  </w:style>
  <w:style w:type="character" w:customStyle="1" w:styleId="64">
    <w:name w:val="标题 3 字符"/>
    <w:basedOn w:val="40"/>
    <w:link w:val="4"/>
    <w:autoRedefine/>
    <w:qFormat/>
    <w:uiPriority w:val="0"/>
    <w:rPr>
      <w:rFonts w:ascii="Times New Roman" w:hAnsi="Times New Roman" w:eastAsia="宋体" w:cs="Times New Roman"/>
      <w:b/>
      <w:bCs/>
      <w:sz w:val="32"/>
      <w:szCs w:val="32"/>
      <w:lang w:val="zh-CN" w:eastAsia="zh-CN"/>
    </w:rPr>
  </w:style>
  <w:style w:type="character" w:customStyle="1" w:styleId="65">
    <w:name w:val="标题 4 字符"/>
    <w:basedOn w:val="40"/>
    <w:link w:val="5"/>
    <w:autoRedefine/>
    <w:qFormat/>
    <w:uiPriority w:val="0"/>
    <w:rPr>
      <w:rFonts w:ascii="Arial" w:hAnsi="Arial" w:eastAsia="黑体" w:cs="Times New Roman"/>
      <w:b/>
      <w:kern w:val="0"/>
      <w:sz w:val="28"/>
      <w:szCs w:val="20"/>
    </w:rPr>
  </w:style>
  <w:style w:type="character" w:customStyle="1" w:styleId="66">
    <w:name w:val="日期 字符"/>
    <w:basedOn w:val="40"/>
    <w:link w:val="20"/>
    <w:autoRedefine/>
    <w:qFormat/>
    <w:uiPriority w:val="0"/>
    <w:rPr>
      <w:rFonts w:ascii="Arial" w:hAnsi="Arial" w:eastAsia="楷体_GB2312" w:cs="Times New Roman"/>
      <w:sz w:val="28"/>
      <w:szCs w:val="20"/>
    </w:rPr>
  </w:style>
  <w:style w:type="character" w:customStyle="1" w:styleId="67">
    <w:name w:val="正文文本缩进 字符"/>
    <w:basedOn w:val="40"/>
    <w:link w:val="13"/>
    <w:autoRedefine/>
    <w:qFormat/>
    <w:uiPriority w:val="0"/>
    <w:rPr>
      <w:rFonts w:ascii="Times New Roman" w:hAnsi="Times New Roman" w:eastAsia="仿宋_GB2312" w:cs="Times New Roman"/>
      <w:sz w:val="28"/>
      <w:szCs w:val="20"/>
    </w:rPr>
  </w:style>
  <w:style w:type="paragraph" w:customStyle="1" w:styleId="68">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2 字符"/>
    <w:basedOn w:val="40"/>
    <w:link w:val="21"/>
    <w:autoRedefine/>
    <w:qFormat/>
    <w:uiPriority w:val="0"/>
    <w:rPr>
      <w:rFonts w:ascii="Times New Roman" w:hAnsi="Times New Roman" w:eastAsia="仿宋_GB2312" w:cs="Times New Roman"/>
      <w:sz w:val="28"/>
      <w:szCs w:val="20"/>
    </w:rPr>
  </w:style>
  <w:style w:type="paragraph" w:customStyle="1" w:styleId="70">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71">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72">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73">
    <w:name w:val="Char Char Char Char Char"/>
    <w:basedOn w:val="1"/>
    <w:autoRedefine/>
    <w:qFormat/>
    <w:uiPriority w:val="0"/>
    <w:rPr>
      <w:rFonts w:ascii="Tahoma" w:hAnsi="Tahoma"/>
      <w:sz w:val="24"/>
    </w:rPr>
  </w:style>
  <w:style w:type="paragraph" w:customStyle="1" w:styleId="74">
    <w:name w:val="Char"/>
    <w:basedOn w:val="1"/>
    <w:autoRedefine/>
    <w:qFormat/>
    <w:uiPriority w:val="0"/>
    <w:rPr>
      <w:rFonts w:ascii="Tahoma" w:hAnsi="Tahoma"/>
      <w:sz w:val="24"/>
    </w:rPr>
  </w:style>
  <w:style w:type="character" w:customStyle="1" w:styleId="75">
    <w:name w:val="正文文本缩进 3 字符"/>
    <w:basedOn w:val="40"/>
    <w:link w:val="28"/>
    <w:autoRedefine/>
    <w:qFormat/>
    <w:uiPriority w:val="0"/>
    <w:rPr>
      <w:rFonts w:ascii="仿宋_GB2312" w:hAnsi="Arial" w:eastAsia="仿宋_GB2312" w:cs="Times New Roman"/>
      <w:sz w:val="28"/>
      <w:szCs w:val="24"/>
    </w:rPr>
  </w:style>
  <w:style w:type="paragraph" w:customStyle="1" w:styleId="76">
    <w:name w:val="Char1"/>
    <w:basedOn w:val="1"/>
    <w:autoRedefine/>
    <w:qFormat/>
    <w:uiPriority w:val="0"/>
    <w:rPr>
      <w:rFonts w:ascii="Tahoma" w:hAnsi="Tahoma" w:eastAsia="仿宋_GB2312"/>
      <w:sz w:val="24"/>
    </w:rPr>
  </w:style>
  <w:style w:type="paragraph" w:customStyle="1" w:styleId="77">
    <w:name w:val="Char Char Char Char Char Char Char1 Char"/>
    <w:basedOn w:val="1"/>
    <w:autoRedefine/>
    <w:qFormat/>
    <w:uiPriority w:val="0"/>
    <w:rPr>
      <w:rFonts w:ascii="Tahoma" w:hAnsi="Tahoma"/>
      <w:sz w:val="24"/>
    </w:rPr>
  </w:style>
  <w:style w:type="character" w:customStyle="1" w:styleId="78">
    <w:name w:val="正文文本 字符"/>
    <w:basedOn w:val="40"/>
    <w:link w:val="10"/>
    <w:autoRedefine/>
    <w:qFormat/>
    <w:uiPriority w:val="0"/>
    <w:rPr>
      <w:rFonts w:ascii="Times New Roman" w:hAnsi="Times New Roman" w:eastAsia="宋体" w:cs="Times New Roman"/>
      <w:szCs w:val="24"/>
    </w:rPr>
  </w:style>
  <w:style w:type="paragraph" w:customStyle="1" w:styleId="79">
    <w:name w:val="Char Char Char Char"/>
    <w:basedOn w:val="1"/>
    <w:next w:val="1"/>
    <w:autoRedefine/>
    <w:qFormat/>
    <w:uiPriority w:val="0"/>
    <w:pPr>
      <w:widowControl/>
      <w:spacing w:line="360" w:lineRule="auto"/>
      <w:jc w:val="left"/>
    </w:pPr>
  </w:style>
  <w:style w:type="character" w:customStyle="1" w:styleId="80">
    <w:name w:val="批注框文本 字符"/>
    <w:basedOn w:val="40"/>
    <w:link w:val="22"/>
    <w:autoRedefine/>
    <w:qFormat/>
    <w:uiPriority w:val="0"/>
    <w:rPr>
      <w:rFonts w:ascii="Times New Roman" w:hAnsi="Times New Roman" w:eastAsia="宋体" w:cs="Times New Roman"/>
      <w:sz w:val="18"/>
      <w:szCs w:val="18"/>
    </w:rPr>
  </w:style>
  <w:style w:type="paragraph" w:customStyle="1" w:styleId="81">
    <w:name w:val="Char Char Char"/>
    <w:basedOn w:val="1"/>
    <w:autoRedefine/>
    <w:qFormat/>
    <w:uiPriority w:val="0"/>
    <w:rPr>
      <w:rFonts w:ascii="Tahoma" w:hAnsi="Tahoma"/>
      <w:sz w:val="24"/>
    </w:rPr>
  </w:style>
  <w:style w:type="paragraph" w:customStyle="1" w:styleId="82">
    <w:name w:val="Char Char Char Char Char Char Char Char Char Char"/>
    <w:basedOn w:val="1"/>
    <w:autoRedefine/>
    <w:qFormat/>
    <w:uiPriority w:val="0"/>
    <w:rPr>
      <w:rFonts w:ascii="Tahoma" w:hAnsi="Tahoma" w:cs="仿宋_GB2312"/>
      <w:sz w:val="24"/>
    </w:rPr>
  </w:style>
  <w:style w:type="character" w:customStyle="1" w:styleId="83">
    <w:name w:val="批注文字 字符"/>
    <w:basedOn w:val="40"/>
    <w:link w:val="8"/>
    <w:autoRedefine/>
    <w:semiHidden/>
    <w:qFormat/>
    <w:uiPriority w:val="99"/>
    <w:rPr>
      <w:rFonts w:ascii="Times New Roman" w:hAnsi="Times New Roman" w:eastAsia="宋体" w:cs="Times New Roman"/>
      <w:szCs w:val="20"/>
    </w:rPr>
  </w:style>
  <w:style w:type="character" w:customStyle="1" w:styleId="84">
    <w:name w:val="批注主题 字符"/>
    <w:basedOn w:val="83"/>
    <w:link w:val="35"/>
    <w:autoRedefine/>
    <w:semiHidden/>
    <w:qFormat/>
    <w:uiPriority w:val="99"/>
    <w:rPr>
      <w:rFonts w:ascii="Times New Roman" w:hAnsi="Times New Roman" w:eastAsia="宋体" w:cs="Times New Roman"/>
      <w:b/>
      <w:bCs/>
      <w:szCs w:val="20"/>
    </w:rPr>
  </w:style>
  <w:style w:type="paragraph" w:customStyle="1" w:styleId="85">
    <w:name w:val="Char Char Char Char Char Char"/>
    <w:basedOn w:val="1"/>
    <w:autoRedefine/>
    <w:qFormat/>
    <w:uiPriority w:val="0"/>
  </w:style>
  <w:style w:type="character" w:customStyle="1" w:styleId="86">
    <w:name w:val="纯文本 字符"/>
    <w:link w:val="18"/>
    <w:autoRedefine/>
    <w:qFormat/>
    <w:uiPriority w:val="0"/>
    <w:rPr>
      <w:rFonts w:ascii="宋体" w:hAnsi="Courier New" w:eastAsia="宋体"/>
    </w:rPr>
  </w:style>
  <w:style w:type="character" w:customStyle="1" w:styleId="87">
    <w:name w:val="纯文本 Char1"/>
    <w:basedOn w:val="40"/>
    <w:autoRedefine/>
    <w:semiHidden/>
    <w:qFormat/>
    <w:uiPriority w:val="99"/>
    <w:rPr>
      <w:rFonts w:ascii="宋体" w:hAnsi="Courier New" w:eastAsia="宋体" w:cs="Courier New"/>
      <w:szCs w:val="21"/>
    </w:rPr>
  </w:style>
  <w:style w:type="paragraph" w:customStyle="1" w:styleId="88">
    <w:name w:val="Char12 Char Char Char"/>
    <w:basedOn w:val="1"/>
    <w:autoRedefine/>
    <w:qFormat/>
    <w:uiPriority w:val="0"/>
  </w:style>
  <w:style w:type="character" w:customStyle="1" w:styleId="89">
    <w:name w:val="文档结构图 字符"/>
    <w:basedOn w:val="40"/>
    <w:link w:val="7"/>
    <w:autoRedefine/>
    <w:qFormat/>
    <w:uiPriority w:val="0"/>
    <w:rPr>
      <w:rFonts w:ascii="Times New Roman" w:hAnsi="Times New Roman" w:eastAsia="宋体" w:cs="Times New Roman"/>
      <w:szCs w:val="20"/>
      <w:shd w:val="clear" w:color="auto" w:fill="000080"/>
    </w:rPr>
  </w:style>
  <w:style w:type="character" w:customStyle="1" w:styleId="90">
    <w:name w:val="style29"/>
    <w:autoRedefine/>
    <w:qFormat/>
    <w:uiPriority w:val="0"/>
  </w:style>
  <w:style w:type="character" w:customStyle="1" w:styleId="91">
    <w:name w:val="正文1"/>
    <w:autoRedefine/>
    <w:qFormat/>
    <w:uiPriority w:val="0"/>
  </w:style>
  <w:style w:type="character" w:customStyle="1" w:styleId="92">
    <w:name w:val="font11"/>
    <w:autoRedefine/>
    <w:qFormat/>
    <w:uiPriority w:val="0"/>
    <w:rPr>
      <w:rFonts w:hint="default" w:ascii="Times New Roman" w:hAnsi="Times New Roman" w:cs="Times New Roman"/>
      <w:color w:val="3366FF"/>
      <w:sz w:val="24"/>
      <w:szCs w:val="24"/>
      <w:u w:val="none"/>
    </w:rPr>
  </w:style>
  <w:style w:type="character" w:customStyle="1" w:styleId="93">
    <w:name w:val="font21"/>
    <w:autoRedefine/>
    <w:qFormat/>
    <w:uiPriority w:val="0"/>
    <w:rPr>
      <w:rFonts w:hint="eastAsia" w:ascii="宋体" w:hAnsi="宋体" w:eastAsia="宋体"/>
      <w:color w:val="3366FF"/>
      <w:sz w:val="24"/>
      <w:szCs w:val="24"/>
      <w:u w:val="none"/>
    </w:rPr>
  </w:style>
  <w:style w:type="paragraph" w:customStyle="1" w:styleId="94">
    <w:name w:val="Char Char15"/>
    <w:basedOn w:val="1"/>
    <w:autoRedefine/>
    <w:qFormat/>
    <w:uiPriority w:val="0"/>
    <w:rPr>
      <w:rFonts w:ascii="Tahoma" w:hAnsi="Tahoma" w:eastAsia="仿宋_GB2312"/>
      <w:sz w:val="24"/>
    </w:rPr>
  </w:style>
  <w:style w:type="paragraph" w:customStyle="1" w:styleId="95">
    <w:name w:val="Char2"/>
    <w:basedOn w:val="1"/>
    <w:autoRedefine/>
    <w:qFormat/>
    <w:uiPriority w:val="0"/>
    <w:pPr>
      <w:tabs>
        <w:tab w:val="left" w:pos="360"/>
      </w:tabs>
    </w:pPr>
    <w:rPr>
      <w:sz w:val="24"/>
      <w:szCs w:val="24"/>
    </w:rPr>
  </w:style>
  <w:style w:type="paragraph" w:customStyle="1" w:styleId="96">
    <w:name w:val="Char16"/>
    <w:basedOn w:val="1"/>
    <w:autoRedefine/>
    <w:qFormat/>
    <w:uiPriority w:val="0"/>
    <w:rPr>
      <w:rFonts w:ascii="Tahoma" w:hAnsi="Tahoma" w:eastAsia="仿宋_GB2312"/>
      <w:sz w:val="24"/>
    </w:rPr>
  </w:style>
  <w:style w:type="paragraph" w:customStyle="1" w:styleId="97">
    <w:name w:val="Char Char1"/>
    <w:basedOn w:val="1"/>
    <w:autoRedefine/>
    <w:qFormat/>
    <w:uiPriority w:val="0"/>
    <w:rPr>
      <w:rFonts w:ascii="Tahoma" w:hAnsi="Tahoma"/>
      <w:sz w:val="24"/>
    </w:rPr>
  </w:style>
  <w:style w:type="paragraph" w:customStyle="1" w:styleId="98">
    <w:name w:val="Char Char Char Char Char Char Char"/>
    <w:basedOn w:val="1"/>
    <w:autoRedefine/>
    <w:qFormat/>
    <w:uiPriority w:val="0"/>
    <w:rPr>
      <w:szCs w:val="24"/>
    </w:rPr>
  </w:style>
  <w:style w:type="paragraph" w:customStyle="1" w:styleId="99">
    <w:name w:val="Char Char"/>
    <w:basedOn w:val="1"/>
    <w:autoRedefine/>
    <w:qFormat/>
    <w:uiPriority w:val="0"/>
    <w:rPr>
      <w:rFonts w:ascii="Tahoma" w:hAnsi="Tahoma" w:cs="仿宋_GB2312"/>
      <w:sz w:val="24"/>
    </w:rPr>
  </w:style>
  <w:style w:type="paragraph" w:customStyle="1" w:styleId="100">
    <w:name w:val="Char Char2"/>
    <w:basedOn w:val="1"/>
    <w:autoRedefine/>
    <w:qFormat/>
    <w:uiPriority w:val="0"/>
    <w:rPr>
      <w:rFonts w:ascii="Tahoma" w:hAnsi="Tahoma" w:cs="仿宋_GB2312"/>
      <w:sz w:val="24"/>
    </w:rPr>
  </w:style>
  <w:style w:type="paragraph" w:customStyle="1" w:styleId="101">
    <w:name w:val="Char Char Char1"/>
    <w:basedOn w:val="1"/>
    <w:autoRedefine/>
    <w:qFormat/>
    <w:uiPriority w:val="0"/>
    <w:rPr>
      <w:rFonts w:ascii="Tahoma" w:hAnsi="Tahoma"/>
      <w:sz w:val="24"/>
    </w:rPr>
  </w:style>
  <w:style w:type="paragraph" w:customStyle="1" w:styleId="102">
    <w:name w:val="D&amp;L"/>
    <w:basedOn w:val="24"/>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103">
    <w:name w:val="正文文本 3 字符"/>
    <w:basedOn w:val="40"/>
    <w:link w:val="9"/>
    <w:autoRedefine/>
    <w:qFormat/>
    <w:uiPriority w:val="99"/>
    <w:rPr>
      <w:rFonts w:ascii="Calibri" w:hAnsi="Calibri" w:eastAsia="宋体" w:cs="Times New Roman"/>
      <w:sz w:val="16"/>
      <w:szCs w:val="16"/>
      <w:lang w:val="zh-CN" w:eastAsia="zh-CN"/>
    </w:rPr>
  </w:style>
  <w:style w:type="paragraph" w:customStyle="1" w:styleId="104">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105">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6">
    <w:name w:val="style23"/>
    <w:autoRedefine/>
    <w:qFormat/>
    <w:uiPriority w:val="0"/>
    <w:rPr>
      <w:rFonts w:ascii="Times New Roman" w:hAnsi="Times New Roman" w:eastAsia="宋体"/>
    </w:rPr>
  </w:style>
  <w:style w:type="paragraph" w:customStyle="1" w:styleId="107">
    <w:name w:val="p0"/>
    <w:basedOn w:val="1"/>
    <w:autoRedefine/>
    <w:qFormat/>
    <w:uiPriority w:val="0"/>
    <w:pPr>
      <w:widowControl/>
      <w:jc w:val="left"/>
    </w:pPr>
    <w:rPr>
      <w:rFonts w:ascii="等线" w:hAnsi="等线" w:eastAsia="等线" w:cs="等线"/>
      <w:kern w:val="0"/>
      <w:sz w:val="20"/>
      <w:szCs w:val="22"/>
    </w:rPr>
  </w:style>
  <w:style w:type="paragraph" w:customStyle="1" w:styleId="108">
    <w:name w:val="列表段落1"/>
    <w:basedOn w:val="1"/>
    <w:autoRedefine/>
    <w:qFormat/>
    <w:uiPriority w:val="34"/>
    <w:pPr>
      <w:ind w:firstLine="420" w:firstLineChars="200"/>
    </w:pPr>
    <w:rPr>
      <w:szCs w:val="24"/>
    </w:rPr>
  </w:style>
  <w:style w:type="paragraph" w:customStyle="1" w:styleId="109">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10">
    <w:name w:val="List Paragraph"/>
    <w:basedOn w:val="1"/>
    <w:autoRedefine/>
    <w:qFormat/>
    <w:uiPriority w:val="99"/>
    <w:pPr>
      <w:ind w:firstLine="420" w:firstLineChars="200"/>
    </w:pPr>
  </w:style>
  <w:style w:type="table" w:customStyle="1" w:styleId="111">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character" w:customStyle="1" w:styleId="112">
    <w:name w:val="first-child3"/>
    <w:basedOn w:val="40"/>
    <w:autoRedefine/>
    <w:qFormat/>
    <w:uiPriority w:val="0"/>
  </w:style>
  <w:style w:type="character" w:customStyle="1" w:styleId="113">
    <w:name w:val="layui-this"/>
    <w:basedOn w:val="40"/>
    <w:autoRedefine/>
    <w:qFormat/>
    <w:uiPriority w:val="0"/>
    <w:rPr>
      <w:bdr w:val="single" w:color="EEEEEE" w:sz="4" w:space="0"/>
      <w:shd w:val="clear" w:color="auto" w:fill="FFFFFF"/>
    </w:rPr>
  </w:style>
  <w:style w:type="character" w:customStyle="1" w:styleId="114">
    <w:name w:val="first-child2"/>
    <w:basedOn w:val="40"/>
    <w:autoRedefine/>
    <w:qFormat/>
    <w:uiPriority w:val="0"/>
  </w:style>
  <w:style w:type="character" w:customStyle="1" w:styleId="115">
    <w:name w:val="first-child"/>
    <w:basedOn w:val="40"/>
    <w:autoRedefine/>
    <w:qFormat/>
    <w:uiPriority w:val="0"/>
  </w:style>
  <w:style w:type="character" w:customStyle="1" w:styleId="116">
    <w:name w:val="first-child1"/>
    <w:basedOn w:val="40"/>
    <w:autoRedefine/>
    <w:qFormat/>
    <w:uiPriority w:val="0"/>
  </w:style>
  <w:style w:type="paragraph" w:customStyle="1" w:styleId="117">
    <w:name w:val="Table Paragraph"/>
    <w:basedOn w:val="1"/>
    <w:autoRedefine/>
    <w:qFormat/>
    <w:uiPriority w:val="99"/>
    <w:pPr>
      <w:jc w:val="left"/>
    </w:pPr>
    <w:rPr>
      <w:rFonts w:ascii="宋体" w:hAnsi="宋体" w:cs="宋体"/>
      <w:kern w:val="0"/>
      <w:sz w:val="22"/>
      <w:szCs w:val="22"/>
      <w:lang w:eastAsia="en-US"/>
    </w:rPr>
  </w:style>
  <w:style w:type="character" w:customStyle="1" w:styleId="118">
    <w:name w:val="标题 2 字符"/>
    <w:link w:val="3"/>
    <w:autoRedefine/>
    <w:qFormat/>
    <w:uiPriority w:val="0"/>
    <w:rPr>
      <w:rFonts w:ascii="Arial" w:hAnsi="Arial" w:eastAsia="黑体"/>
      <w:b/>
      <w:bCs/>
      <w:sz w:val="32"/>
      <w:szCs w:val="32"/>
    </w:rPr>
  </w:style>
  <w:style w:type="character" w:customStyle="1" w:styleId="119">
    <w:name w:val="place"/>
    <w:basedOn w:val="40"/>
    <w:autoRedefine/>
    <w:qFormat/>
    <w:uiPriority w:val="0"/>
  </w:style>
  <w:style w:type="character" w:customStyle="1" w:styleId="120">
    <w:name w:val="place1"/>
    <w:basedOn w:val="40"/>
    <w:autoRedefine/>
    <w:qFormat/>
    <w:uiPriority w:val="0"/>
  </w:style>
  <w:style w:type="character" w:customStyle="1" w:styleId="121">
    <w:name w:val="place2"/>
    <w:basedOn w:val="40"/>
    <w:autoRedefine/>
    <w:qFormat/>
    <w:uiPriority w:val="0"/>
    <w:rPr>
      <w:rFonts w:ascii="微软雅黑" w:hAnsi="微软雅黑" w:eastAsia="微软雅黑" w:cs="微软雅黑"/>
      <w:color w:val="888888"/>
      <w:sz w:val="20"/>
      <w:szCs w:val="20"/>
    </w:rPr>
  </w:style>
  <w:style w:type="character" w:customStyle="1" w:styleId="122">
    <w:name w:val="place3"/>
    <w:basedOn w:val="40"/>
    <w:autoRedefine/>
    <w:qFormat/>
    <w:uiPriority w:val="0"/>
  </w:style>
  <w:style w:type="character" w:customStyle="1" w:styleId="123">
    <w:name w:val="font"/>
    <w:basedOn w:val="40"/>
    <w:autoRedefine/>
    <w:qFormat/>
    <w:uiPriority w:val="0"/>
  </w:style>
  <w:style w:type="character" w:customStyle="1" w:styleId="124">
    <w:name w:val="font1"/>
    <w:basedOn w:val="40"/>
    <w:autoRedefine/>
    <w:qFormat/>
    <w:uiPriority w:val="0"/>
  </w:style>
  <w:style w:type="character" w:customStyle="1" w:styleId="125">
    <w:name w:val="gwds_nopic"/>
    <w:basedOn w:val="40"/>
    <w:autoRedefine/>
    <w:qFormat/>
    <w:uiPriority w:val="0"/>
  </w:style>
  <w:style w:type="character" w:customStyle="1" w:styleId="126">
    <w:name w:val="gwds_nopic1"/>
    <w:basedOn w:val="40"/>
    <w:autoRedefine/>
    <w:qFormat/>
    <w:uiPriority w:val="0"/>
  </w:style>
  <w:style w:type="character" w:customStyle="1" w:styleId="127">
    <w:name w:val="gwds_nopic2"/>
    <w:basedOn w:val="40"/>
    <w:autoRedefine/>
    <w:qFormat/>
    <w:uiPriority w:val="0"/>
  </w:style>
  <w:style w:type="character" w:customStyle="1" w:styleId="128">
    <w:name w:val="noline"/>
    <w:basedOn w:val="40"/>
    <w:autoRedefine/>
    <w:qFormat/>
    <w:uiPriority w:val="0"/>
  </w:style>
  <w:style w:type="character" w:customStyle="1" w:styleId="129">
    <w:name w:val="hover17"/>
    <w:basedOn w:val="40"/>
    <w:autoRedefine/>
    <w:qFormat/>
    <w:uiPriority w:val="0"/>
    <w:rPr>
      <w:color w:val="025291"/>
    </w:rPr>
  </w:style>
  <w:style w:type="character" w:customStyle="1" w:styleId="130">
    <w:name w:val="Unresolved Mention"/>
    <w:basedOn w:val="40"/>
    <w:autoRedefine/>
    <w:semiHidden/>
    <w:unhideWhenUsed/>
    <w:qFormat/>
    <w:uiPriority w:val="99"/>
    <w:rPr>
      <w:color w:val="605E5C"/>
      <w:shd w:val="clear" w:color="auto" w:fill="E1DFDD"/>
    </w:rPr>
  </w:style>
  <w:style w:type="character" w:customStyle="1" w:styleId="131">
    <w:name w:val="NormalCharacter"/>
    <w:link w:val="1"/>
    <w:autoRedefine/>
    <w:qFormat/>
    <w:uiPriority w:val="0"/>
    <w:rPr>
      <w:rFonts w:ascii="Times New Roman" w:hAnsi="Times New Roman" w:eastAsia="宋体" w:cs="Times New Roman"/>
      <w:kern w:val="2"/>
      <w:sz w:val="21"/>
      <w:lang w:val="en-US" w:eastAsia="zh-CN" w:bidi="ar-SA"/>
    </w:rPr>
  </w:style>
  <w:style w:type="character" w:customStyle="1" w:styleId="132">
    <w:name w:val="hover1"/>
    <w:basedOn w:val="40"/>
    <w:autoRedefine/>
    <w:qFormat/>
    <w:uiPriority w:val="0"/>
    <w:rPr>
      <w:color w:val="2590EB"/>
      <w:shd w:val="clear" w:fill="E9F4FD"/>
    </w:rPr>
  </w:style>
  <w:style w:type="character" w:customStyle="1" w:styleId="133">
    <w:name w:val="hover2"/>
    <w:basedOn w:val="40"/>
    <w:autoRedefine/>
    <w:qFormat/>
    <w:uiPriority w:val="0"/>
    <w:rPr>
      <w:color w:val="2590EB"/>
    </w:rPr>
  </w:style>
  <w:style w:type="character" w:customStyle="1" w:styleId="134">
    <w:name w:val="hover3"/>
    <w:basedOn w:val="40"/>
    <w:autoRedefine/>
    <w:qFormat/>
    <w:uiPriority w:val="0"/>
    <w:rPr>
      <w:color w:val="2590EB"/>
    </w:rPr>
  </w:style>
  <w:style w:type="character" w:customStyle="1" w:styleId="135">
    <w:name w:val="hover4"/>
    <w:basedOn w:val="40"/>
    <w:autoRedefine/>
    <w:qFormat/>
    <w:uiPriority w:val="0"/>
  </w:style>
  <w:style w:type="character" w:customStyle="1" w:styleId="136">
    <w:name w:val="hover"/>
    <w:basedOn w:val="40"/>
    <w:autoRedefine/>
    <w:qFormat/>
    <w:uiPriority w:val="0"/>
  </w:style>
  <w:style w:type="paragraph" w:customStyle="1" w:styleId="137">
    <w:name w:val="WPSOffice手动目录 1"/>
    <w:autoRedefine/>
    <w:qFormat/>
    <w:uiPriority w:val="0"/>
    <w:pPr>
      <w:ind w:leftChars="0"/>
    </w:pPr>
    <w:rPr>
      <w:rFonts w:ascii="Times New Roman" w:hAnsi="Times New Roman" w:eastAsia="宋体" w:cs="Times New Roman"/>
      <w:sz w:val="20"/>
      <w:szCs w:val="20"/>
    </w:rPr>
  </w:style>
  <w:style w:type="paragraph" w:customStyle="1" w:styleId="138">
    <w:name w:val="TOC1"/>
    <w:basedOn w:val="1"/>
    <w:next w:val="1"/>
    <w:autoRedefine/>
    <w:qFormat/>
    <w:uiPriority w:val="0"/>
    <w:pPr>
      <w:spacing w:before="120" w:after="120" w:line="360" w:lineRule="auto"/>
      <w:ind w:left="200" w:hanging="200" w:hangingChars="200"/>
      <w:jc w:val="left"/>
      <w:textAlignment w:val="baseline"/>
    </w:pPr>
    <w:rPr>
      <w:rFonts w:ascii="宋体" w:hAnsi="宋体" w:eastAsia="宋体" w:cs="宋体"/>
      <w:bCs/>
      <w:caps/>
      <w:sz w:val="20"/>
      <w:lang w:val="en-US" w:eastAsia="zh-CN" w:bidi="ar-SA"/>
    </w:rPr>
  </w:style>
  <w:style w:type="paragraph" w:customStyle="1" w:styleId="139">
    <w:name w:val="BodyText2"/>
    <w:basedOn w:val="1"/>
    <w:autoRedefine/>
    <w:qFormat/>
    <w:uiPriority w:val="0"/>
    <w:pPr>
      <w:jc w:val="both"/>
      <w:textAlignment w:val="baseline"/>
    </w:pPr>
    <w:rPr>
      <w:rFonts w:ascii="仿宋_GB2312" w:hAnsi="Times New Roman" w:eastAsia="仿宋_GB2312"/>
      <w:b/>
      <w:kern w:val="2"/>
      <w:sz w:val="24"/>
      <w:szCs w:val="20"/>
      <w:lang w:val="en-US" w:eastAsia="zh-CN" w:bidi="ar-SA"/>
    </w:rPr>
  </w:style>
  <w:style w:type="paragraph" w:customStyle="1" w:styleId="140">
    <w:name w:val="首行缩进"/>
    <w:autoRedefine/>
    <w:qFormat/>
    <w:uiPriority w:val="0"/>
    <w:pPr>
      <w:widowControl w:val="0"/>
      <w:ind w:firstLine="480" w:firstLineChars="200"/>
      <w:jc w:val="both"/>
    </w:pPr>
    <w:rPr>
      <w:rFonts w:ascii="宋体" w:hAnsi="宋体" w:eastAsia="宋体" w:cs="Times New Roman"/>
      <w:kern w:val="2"/>
      <w:sz w:val="21"/>
      <w:szCs w:val="22"/>
      <w:lang w:val="zh-CN" w:eastAsia="zh-CN" w:bidi="ar-SA"/>
    </w:rPr>
  </w:style>
  <w:style w:type="paragraph" w:customStyle="1" w:styleId="141">
    <w:name w:val="模板普通正文"/>
    <w:basedOn w:val="13"/>
    <w:qFormat/>
    <w:uiPriority w:val="0"/>
    <w:pPr>
      <w:spacing w:beforeLines="50" w:after="10"/>
      <w:ind w:left="0" w:leftChars="0" w:firstLine="490" w:firstLineChars="175"/>
      <w:jc w:val="left"/>
    </w:pPr>
    <w:rPr>
      <w:sz w:val="20"/>
    </w:rPr>
  </w:style>
  <w:style w:type="paragraph" w:customStyle="1" w:styleId="142">
    <w:name w:val="Table Text"/>
    <w:basedOn w:val="1"/>
    <w:semiHidden/>
    <w:qFormat/>
    <w:uiPriority w:val="0"/>
    <w:rPr>
      <w:rFonts w:ascii="宋体" w:hAnsi="宋体" w:eastAsia="宋体" w:cs="宋体"/>
      <w:sz w:val="21"/>
      <w:szCs w:val="21"/>
      <w:lang w:val="en-US" w:eastAsia="en-US" w:bidi="ar-SA"/>
    </w:rPr>
  </w:style>
  <w:style w:type="character" w:customStyle="1" w:styleId="143">
    <w:name w:val="font31"/>
    <w:basedOn w:val="40"/>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7CDF53-A877-4735-BCB4-3C56E2EDB8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13836</Words>
  <Characters>14458</Characters>
  <Lines>294</Lines>
  <Paragraphs>82</Paragraphs>
  <TotalTime>62</TotalTime>
  <ScaleCrop>false</ScaleCrop>
  <LinksUpToDate>false</LinksUpToDate>
  <CharactersWithSpaces>14805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2022-10-27T12:50:00Z</dcterms:created>
  <dc:creator>朱少尉</dc:creator>
  <cp:lastModifiedBy>徐雷</cp:lastModifiedBy>
  <cp:lastPrinted>2026-09-02T08:11:41Z</cp:lastPrinted>
  <dcterms:modified xsi:type="dcterms:W3CDTF">2026-09-02T09:01:10Z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4655831093C54F95B8E9E3A52A177C4F_13</vt:lpwstr>
  </property>
  <property fmtid="{D5CDD505-2E9C-101B-9397-08002B2CF9AE}" pid="4" name="KSOTemplateDocerSaveRecord">
    <vt:lpwstr>eyJoZGlkIjoiMDY3ZWYyYWYzNjE1ODE5NTgxNWViODAxMDFkNTNkYmIiLCJ1c2VySWQiOiIxNjczNTA4MTc2In0=</vt:lpwstr>
  </property>
</Properties>
</file>