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BFB702">
      <w:pPr>
        <w:spacing w:line="360" w:lineRule="auto"/>
        <w:jc w:val="center"/>
        <w:rPr>
          <w:rFonts w:hint="eastAsia" w:ascii="宋体" w:hAnsi="宋体"/>
          <w:b/>
          <w:sz w:val="40"/>
          <w:szCs w:val="40"/>
          <w:highlight w:val="none"/>
          <w:lang w:eastAsia="zh-CN"/>
        </w:rPr>
      </w:pPr>
    </w:p>
    <w:p w14:paraId="284FFEA1">
      <w:pPr>
        <w:adjustRightInd w:val="0"/>
        <w:snapToGrid w:val="0"/>
        <w:spacing w:line="800" w:lineRule="exact"/>
        <w:jc w:val="center"/>
        <w:outlineLvl w:val="9"/>
        <w:rPr>
          <w:rFonts w:hint="eastAsia" w:ascii="宋体" w:hAnsi="宋体" w:eastAsia="宋体" w:cs="宋体"/>
          <w:b/>
          <w:bCs/>
          <w:color w:val="000000"/>
          <w:sz w:val="48"/>
          <w:szCs w:val="48"/>
          <w:highlight w:val="none"/>
        </w:rPr>
      </w:pPr>
      <w:r>
        <w:rPr>
          <w:rFonts w:hint="eastAsia" w:ascii="宋体" w:hAnsi="宋体" w:eastAsia="宋体" w:cs="宋体"/>
          <w:b/>
          <w:bCs/>
          <w:color w:val="000000"/>
          <w:sz w:val="48"/>
          <w:szCs w:val="48"/>
          <w:highlight w:val="none"/>
          <w:lang w:val="en-US" w:eastAsia="zh-CN"/>
        </w:rPr>
        <w:t>谈判</w:t>
      </w:r>
      <w:r>
        <w:rPr>
          <w:rFonts w:hint="eastAsia" w:ascii="宋体" w:hAnsi="宋体" w:eastAsia="宋体" w:cs="宋体"/>
          <w:b/>
          <w:bCs/>
          <w:color w:val="000000"/>
          <w:sz w:val="48"/>
          <w:szCs w:val="48"/>
          <w:highlight w:val="none"/>
        </w:rPr>
        <w:t>文件</w:t>
      </w:r>
    </w:p>
    <w:p w14:paraId="553D172B">
      <w:pPr>
        <w:pStyle w:val="2"/>
        <w:ind w:left="0" w:leftChars="0" w:firstLine="0" w:firstLineChars="0"/>
        <w:jc w:val="center"/>
        <w:rPr>
          <w:rFonts w:hint="default" w:ascii="宋体" w:hAnsi="宋体" w:eastAsia="宋体" w:cs="宋体"/>
          <w:b/>
          <w:bCs/>
          <w:color w:val="000000"/>
          <w:kern w:val="2"/>
          <w:sz w:val="44"/>
          <w:szCs w:val="44"/>
          <w:highlight w:val="none"/>
          <w:lang w:val="en-US" w:eastAsia="zh-CN" w:bidi="ar-SA"/>
        </w:rPr>
      </w:pPr>
      <w:r>
        <w:rPr>
          <w:rFonts w:hint="eastAsia" w:ascii="宋体" w:hAnsi="宋体" w:eastAsia="宋体" w:cs="宋体"/>
          <w:b/>
          <w:bCs/>
          <w:color w:val="000000"/>
          <w:kern w:val="2"/>
          <w:sz w:val="44"/>
          <w:szCs w:val="44"/>
          <w:highlight w:val="none"/>
          <w:lang w:val="en-US" w:eastAsia="zh-CN" w:bidi="ar-SA"/>
        </w:rPr>
        <w:t>(</w:t>
      </w:r>
      <w:r>
        <w:rPr>
          <w:rFonts w:hint="eastAsia" w:ascii="宋体" w:hAnsi="宋体" w:cs="宋体"/>
          <w:b/>
          <w:bCs/>
          <w:color w:val="000000"/>
          <w:kern w:val="2"/>
          <w:sz w:val="44"/>
          <w:szCs w:val="44"/>
          <w:highlight w:val="none"/>
          <w:lang w:val="en-US" w:eastAsia="zh-CN" w:bidi="ar-SA"/>
        </w:rPr>
        <w:t>服务</w:t>
      </w:r>
      <w:r>
        <w:rPr>
          <w:rFonts w:hint="eastAsia" w:ascii="宋体" w:hAnsi="宋体" w:eastAsia="宋体" w:cs="宋体"/>
          <w:b/>
          <w:bCs/>
          <w:color w:val="000000"/>
          <w:kern w:val="2"/>
          <w:sz w:val="44"/>
          <w:szCs w:val="44"/>
          <w:highlight w:val="none"/>
          <w:lang w:val="en-US" w:eastAsia="zh-CN" w:bidi="ar-SA"/>
        </w:rPr>
        <w:t>类)</w:t>
      </w:r>
    </w:p>
    <w:p w14:paraId="72F26F8D">
      <w:pPr>
        <w:pStyle w:val="3"/>
        <w:rPr>
          <w:rFonts w:hint="eastAsia" w:eastAsia="宋体"/>
          <w:highlight w:val="none"/>
          <w:lang w:eastAsia="zh-CN"/>
        </w:rPr>
      </w:pPr>
    </w:p>
    <w:p w14:paraId="5395B038">
      <w:pPr>
        <w:pStyle w:val="4"/>
        <w:rPr>
          <w:rFonts w:hint="eastAsia"/>
          <w:highlight w:val="none"/>
        </w:rPr>
      </w:pPr>
    </w:p>
    <w:p w14:paraId="47C0A50C">
      <w:pPr>
        <w:pStyle w:val="4"/>
        <w:rPr>
          <w:rFonts w:hint="eastAsia"/>
          <w:highlight w:val="none"/>
        </w:rPr>
      </w:pPr>
    </w:p>
    <w:p w14:paraId="650E258C">
      <w:pPr>
        <w:pStyle w:val="4"/>
        <w:rPr>
          <w:rFonts w:hint="eastAsia"/>
          <w:highlight w:val="none"/>
        </w:rPr>
      </w:pPr>
    </w:p>
    <w:p w14:paraId="18E52B50">
      <w:pPr>
        <w:pStyle w:val="4"/>
        <w:rPr>
          <w:rFonts w:hint="eastAsia"/>
          <w:highlight w:val="none"/>
        </w:rPr>
      </w:pPr>
    </w:p>
    <w:p w14:paraId="7C763F68">
      <w:pPr>
        <w:bidi w:val="0"/>
        <w:jc w:val="center"/>
        <w:rPr>
          <w:rFonts w:hint="eastAsia"/>
          <w:highlight w:val="none"/>
        </w:rPr>
      </w:pPr>
      <w:r>
        <w:rPr>
          <w:rFonts w:hint="eastAsia"/>
          <w:highlight w:val="none"/>
        </w:rPr>
        <w:drawing>
          <wp:inline distT="0" distB="0" distL="114300" distR="114300">
            <wp:extent cx="1961515" cy="1332230"/>
            <wp:effectExtent l="0" t="0" r="635" b="1270"/>
            <wp:docPr id="4" name="图片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logo"/>
                    <pic:cNvPicPr>
                      <a:picLocks noChangeAspect="1"/>
                    </pic:cNvPicPr>
                  </pic:nvPicPr>
                  <pic:blipFill>
                    <a:blip r:embed="rId10"/>
                    <a:stretch>
                      <a:fillRect/>
                    </a:stretch>
                  </pic:blipFill>
                  <pic:spPr>
                    <a:xfrm>
                      <a:off x="0" y="0"/>
                      <a:ext cx="1961515" cy="1332230"/>
                    </a:xfrm>
                    <a:prstGeom prst="rect">
                      <a:avLst/>
                    </a:prstGeom>
                    <a:noFill/>
                    <a:ln>
                      <a:noFill/>
                    </a:ln>
                  </pic:spPr>
                </pic:pic>
              </a:graphicData>
            </a:graphic>
          </wp:inline>
        </w:drawing>
      </w:r>
    </w:p>
    <w:p w14:paraId="730062CB">
      <w:pPr>
        <w:adjustRightInd w:val="0"/>
        <w:snapToGrid w:val="0"/>
        <w:spacing w:line="240" w:lineRule="auto"/>
        <w:jc w:val="center"/>
        <w:outlineLvl w:val="9"/>
        <w:rPr>
          <w:rFonts w:hint="eastAsia" w:ascii="宋体" w:hAnsi="宋体" w:eastAsia="宋体" w:cs="宋体"/>
          <w:b/>
          <w:bCs/>
          <w:color w:val="000000"/>
          <w:sz w:val="48"/>
          <w:szCs w:val="48"/>
          <w:highlight w:val="none"/>
        </w:rPr>
      </w:pPr>
      <w:r>
        <w:rPr>
          <w:rFonts w:hint="eastAsia" w:ascii="宋体" w:hAnsi="等线" w:eastAsia="宋体" w:cs="Times New Roman"/>
          <w:b/>
          <w:bCs/>
          <w:color w:val="auto"/>
          <w:spacing w:val="20"/>
          <w:kern w:val="0"/>
          <w:sz w:val="32"/>
          <w:szCs w:val="32"/>
          <w:highlight w:val="none"/>
        </w:rPr>
        <w:fldChar w:fldCharType="begin"/>
      </w:r>
      <w:r>
        <w:rPr>
          <w:rFonts w:hint="eastAsia" w:ascii="宋体" w:hAnsi="等线" w:eastAsia="宋体" w:cs="Times New Roman"/>
          <w:b/>
          <w:bCs/>
          <w:color w:val="auto"/>
          <w:spacing w:val="20"/>
          <w:kern w:val="0"/>
          <w:sz w:val="32"/>
          <w:szCs w:val="32"/>
          <w:highlight w:val="none"/>
        </w:rPr>
        <w:instrText xml:space="preserve"> HYPERLINK "http://www.ahdmig.cn/?tdsourcetag=s_pcqq_aiomsg" </w:instrText>
      </w:r>
      <w:r>
        <w:rPr>
          <w:rFonts w:hint="eastAsia" w:ascii="宋体" w:hAnsi="等线" w:eastAsia="宋体" w:cs="Times New Roman"/>
          <w:b/>
          <w:bCs/>
          <w:color w:val="auto"/>
          <w:spacing w:val="20"/>
          <w:kern w:val="0"/>
          <w:sz w:val="32"/>
          <w:szCs w:val="32"/>
          <w:highlight w:val="none"/>
        </w:rPr>
        <w:fldChar w:fldCharType="separate"/>
      </w:r>
      <w:r>
        <w:rPr>
          <w:rFonts w:hint="eastAsia" w:ascii="宋体" w:hAnsi="等线" w:eastAsia="宋体" w:cs="Times New Roman"/>
          <w:b/>
          <w:bCs/>
          <w:color w:val="auto"/>
          <w:spacing w:val="20"/>
          <w:kern w:val="0"/>
          <w:sz w:val="32"/>
          <w:szCs w:val="32"/>
          <w:highlight w:val="none"/>
        </w:rPr>
        <w:t>http://www.ahdmig.cn</w:t>
      </w:r>
      <w:r>
        <w:rPr>
          <w:rFonts w:hint="eastAsia" w:ascii="宋体" w:hAnsi="等线" w:eastAsia="宋体" w:cs="Times New Roman"/>
          <w:b/>
          <w:bCs/>
          <w:color w:val="auto"/>
          <w:spacing w:val="20"/>
          <w:kern w:val="0"/>
          <w:sz w:val="32"/>
          <w:szCs w:val="32"/>
          <w:highlight w:val="none"/>
        </w:rPr>
        <w:fldChar w:fldCharType="end"/>
      </w:r>
    </w:p>
    <w:p w14:paraId="633A754F">
      <w:pPr>
        <w:spacing w:line="600" w:lineRule="exact"/>
        <w:jc w:val="both"/>
        <w:rPr>
          <w:rFonts w:hint="eastAsia" w:ascii="宋体" w:hAnsi="宋体" w:eastAsia="宋体" w:cs="宋体"/>
          <w:b/>
          <w:bCs/>
          <w:color w:val="000000"/>
          <w:kern w:val="10"/>
          <w:position w:val="-12"/>
          <w:sz w:val="44"/>
          <w:szCs w:val="44"/>
          <w:highlight w:val="none"/>
        </w:rPr>
      </w:pPr>
    </w:p>
    <w:p w14:paraId="5953F54C">
      <w:pPr>
        <w:rPr>
          <w:rFonts w:hint="eastAsia" w:ascii="宋体" w:hAnsi="宋体" w:eastAsia="宋体" w:cs="宋体"/>
          <w:b/>
          <w:color w:val="000000"/>
          <w:sz w:val="30"/>
          <w:szCs w:val="30"/>
          <w:highlight w:val="none"/>
        </w:rPr>
      </w:pPr>
    </w:p>
    <w:p w14:paraId="5FD64288">
      <w:pPr>
        <w:pStyle w:val="35"/>
        <w:ind w:left="0" w:leftChars="0" w:firstLine="0" w:firstLineChars="0"/>
        <w:rPr>
          <w:rFonts w:hint="eastAsia"/>
          <w:highlight w:val="none"/>
        </w:rPr>
      </w:pPr>
    </w:p>
    <w:p w14:paraId="03EDE4D2">
      <w:pPr>
        <w:pStyle w:val="4"/>
        <w:rPr>
          <w:rFonts w:hint="eastAsia"/>
          <w:highlight w:val="none"/>
        </w:rPr>
      </w:pPr>
    </w:p>
    <w:p w14:paraId="34D1F4F2">
      <w:pPr>
        <w:pStyle w:val="4"/>
        <w:rPr>
          <w:rFonts w:hint="eastAsia"/>
          <w:highlight w:val="none"/>
        </w:rPr>
      </w:pPr>
    </w:p>
    <w:p w14:paraId="133A280A">
      <w:pPr>
        <w:pStyle w:val="4"/>
        <w:rPr>
          <w:rFonts w:hint="eastAsia"/>
          <w:highlight w:val="none"/>
        </w:rPr>
      </w:pPr>
    </w:p>
    <w:p w14:paraId="76C76294">
      <w:pPr>
        <w:pStyle w:val="4"/>
        <w:rPr>
          <w:rFonts w:hint="eastAsia"/>
          <w:highlight w:val="none"/>
        </w:rPr>
      </w:pPr>
    </w:p>
    <w:p w14:paraId="500425F8">
      <w:pPr>
        <w:keepNext w:val="0"/>
        <w:keepLines w:val="0"/>
        <w:pageBreakBefore w:val="0"/>
        <w:widowControl w:val="0"/>
        <w:tabs>
          <w:tab w:val="left" w:pos="2410"/>
        </w:tabs>
        <w:kinsoku/>
        <w:wordWrap/>
        <w:overflowPunct/>
        <w:topLinePunct w:val="0"/>
        <w:autoSpaceDE w:val="0"/>
        <w:autoSpaceDN w:val="0"/>
        <w:bidi w:val="0"/>
        <w:adjustRightInd w:val="0"/>
        <w:snapToGrid w:val="0"/>
        <w:spacing w:line="360" w:lineRule="auto"/>
        <w:ind w:left="2883" w:leftChars="608" w:hanging="1606" w:hangingChars="500"/>
        <w:jc w:val="left"/>
        <w:textAlignment w:val="auto"/>
        <w:outlineLvl w:val="9"/>
        <w:rPr>
          <w:rFonts w:hint="default" w:ascii="宋体" w:hAnsi="宋体" w:eastAsia="宋体" w:cs="宋体"/>
          <w:b/>
          <w:color w:val="000000"/>
          <w:spacing w:val="0"/>
          <w:kern w:val="0"/>
          <w:sz w:val="32"/>
          <w:szCs w:val="32"/>
          <w:highlight w:val="none"/>
          <w:lang w:val="en-US" w:eastAsia="zh-CN"/>
        </w:rPr>
      </w:pPr>
      <w:r>
        <w:rPr>
          <w:rFonts w:hint="eastAsia" w:ascii="宋体" w:hAnsi="宋体" w:eastAsia="宋体" w:cs="宋体"/>
          <w:b/>
          <w:color w:val="000000"/>
          <w:spacing w:val="0"/>
          <w:kern w:val="0"/>
          <w:sz w:val="32"/>
          <w:szCs w:val="32"/>
          <w:highlight w:val="none"/>
        </w:rPr>
        <w:t>项目名称：</w:t>
      </w:r>
      <w:r>
        <w:rPr>
          <w:rFonts w:hint="eastAsia" w:ascii="宋体" w:hAnsi="宋体" w:cs="宋体"/>
          <w:b/>
          <w:color w:val="000000"/>
          <w:spacing w:val="0"/>
          <w:kern w:val="0"/>
          <w:sz w:val="32"/>
          <w:szCs w:val="32"/>
          <w:highlight w:val="none"/>
          <w:lang w:val="en-US" w:eastAsia="zh-CN"/>
        </w:rPr>
        <w:t>安徽霍山国投集团食堂经营管理服务承包项目</w:t>
      </w:r>
    </w:p>
    <w:p w14:paraId="1E5808EF">
      <w:pPr>
        <w:keepNext w:val="0"/>
        <w:keepLines w:val="0"/>
        <w:pageBreakBefore w:val="0"/>
        <w:widowControl w:val="0"/>
        <w:tabs>
          <w:tab w:val="left" w:pos="2410"/>
        </w:tabs>
        <w:kinsoku/>
        <w:wordWrap/>
        <w:overflowPunct/>
        <w:topLinePunct w:val="0"/>
        <w:autoSpaceDE w:val="0"/>
        <w:autoSpaceDN w:val="0"/>
        <w:bidi w:val="0"/>
        <w:adjustRightInd w:val="0"/>
        <w:snapToGrid w:val="0"/>
        <w:spacing w:line="360" w:lineRule="auto"/>
        <w:ind w:firstLine="1285" w:firstLineChars="400"/>
        <w:jc w:val="left"/>
        <w:textAlignment w:val="auto"/>
        <w:rPr>
          <w:rFonts w:hint="default" w:ascii="宋体" w:hAnsi="宋体" w:cs="宋体"/>
          <w:b/>
          <w:bCs/>
          <w:i w:val="0"/>
          <w:caps w:val="0"/>
          <w:color w:val="000000"/>
          <w:spacing w:val="0"/>
          <w:kern w:val="26"/>
          <w:sz w:val="31"/>
          <w:szCs w:val="31"/>
          <w:highlight w:val="none"/>
          <w:lang w:val="en-US" w:eastAsia="zh-CN"/>
        </w:rPr>
      </w:pPr>
      <w:r>
        <w:rPr>
          <w:rFonts w:hint="eastAsia" w:ascii="宋体" w:hAnsi="宋体" w:eastAsia="宋体" w:cs="宋体"/>
          <w:b/>
          <w:color w:val="000000"/>
          <w:spacing w:val="0"/>
          <w:kern w:val="0"/>
          <w:sz w:val="32"/>
          <w:szCs w:val="32"/>
          <w:highlight w:val="none"/>
        </w:rPr>
        <w:t>项目编号：</w:t>
      </w:r>
      <w:r>
        <w:rPr>
          <w:rFonts w:hint="eastAsia" w:ascii="宋体" w:hAnsi="宋体" w:cs="宋体"/>
          <w:b/>
          <w:bCs/>
          <w:i w:val="0"/>
          <w:caps w:val="0"/>
          <w:color w:val="000000"/>
          <w:spacing w:val="0"/>
          <w:kern w:val="26"/>
          <w:sz w:val="31"/>
          <w:szCs w:val="31"/>
          <w:highlight w:val="none"/>
          <w:lang w:eastAsia="zh-CN"/>
        </w:rPr>
        <w:t>DBSCG-2026-098</w:t>
      </w:r>
    </w:p>
    <w:p w14:paraId="47BC9A18">
      <w:pPr>
        <w:keepNext w:val="0"/>
        <w:keepLines w:val="0"/>
        <w:pageBreakBefore w:val="0"/>
        <w:widowControl w:val="0"/>
        <w:tabs>
          <w:tab w:val="left" w:pos="2410"/>
          <w:tab w:val="left" w:pos="8620"/>
        </w:tabs>
        <w:kinsoku/>
        <w:wordWrap/>
        <w:overflowPunct/>
        <w:topLinePunct w:val="0"/>
        <w:autoSpaceDE w:val="0"/>
        <w:autoSpaceDN w:val="0"/>
        <w:bidi w:val="0"/>
        <w:adjustRightInd w:val="0"/>
        <w:snapToGrid w:val="0"/>
        <w:spacing w:line="360" w:lineRule="auto"/>
        <w:ind w:firstLine="1285" w:firstLineChars="400"/>
        <w:jc w:val="left"/>
        <w:textAlignment w:val="auto"/>
        <w:outlineLvl w:val="9"/>
        <w:rPr>
          <w:rFonts w:hint="default" w:ascii="宋体" w:hAnsi="宋体" w:eastAsia="宋体" w:cs="宋体"/>
          <w:b/>
          <w:color w:val="000000"/>
          <w:spacing w:val="0"/>
          <w:kern w:val="0"/>
          <w:sz w:val="32"/>
          <w:szCs w:val="32"/>
          <w:highlight w:val="none"/>
          <w:lang w:val="en-US"/>
        </w:rPr>
      </w:pPr>
      <w:r>
        <w:rPr>
          <w:rFonts w:hint="eastAsia" w:ascii="宋体" w:hAnsi="宋体" w:eastAsia="宋体" w:cs="宋体"/>
          <w:b/>
          <w:color w:val="000000"/>
          <w:spacing w:val="0"/>
          <w:kern w:val="0"/>
          <w:sz w:val="32"/>
          <w:szCs w:val="32"/>
          <w:highlight w:val="none"/>
        </w:rPr>
        <w:t>采</w:t>
      </w:r>
      <w:r>
        <w:rPr>
          <w:rFonts w:hint="eastAsia" w:ascii="宋体" w:hAnsi="宋体" w:eastAsia="宋体" w:cs="宋体"/>
          <w:b/>
          <w:color w:val="000000"/>
          <w:spacing w:val="0"/>
          <w:kern w:val="0"/>
          <w:sz w:val="32"/>
          <w:szCs w:val="32"/>
          <w:highlight w:val="none"/>
          <w:lang w:val="en-US" w:eastAsia="zh-CN"/>
        </w:rPr>
        <w:t xml:space="preserve"> </w:t>
      </w:r>
      <w:r>
        <w:rPr>
          <w:rFonts w:hint="eastAsia" w:ascii="宋体" w:hAnsi="宋体" w:eastAsia="宋体" w:cs="宋体"/>
          <w:b/>
          <w:color w:val="000000"/>
          <w:spacing w:val="0"/>
          <w:kern w:val="0"/>
          <w:sz w:val="32"/>
          <w:szCs w:val="32"/>
          <w:highlight w:val="none"/>
        </w:rPr>
        <w:t>购</w:t>
      </w:r>
      <w:r>
        <w:rPr>
          <w:rFonts w:hint="eastAsia" w:ascii="宋体" w:hAnsi="宋体" w:eastAsia="宋体" w:cs="宋体"/>
          <w:b/>
          <w:color w:val="000000"/>
          <w:spacing w:val="0"/>
          <w:kern w:val="0"/>
          <w:sz w:val="32"/>
          <w:szCs w:val="32"/>
          <w:highlight w:val="none"/>
          <w:lang w:val="en-US" w:eastAsia="zh-CN"/>
        </w:rPr>
        <w:t xml:space="preserve"> </w:t>
      </w:r>
      <w:r>
        <w:rPr>
          <w:rFonts w:hint="eastAsia" w:ascii="宋体" w:hAnsi="宋体" w:eastAsia="宋体" w:cs="宋体"/>
          <w:b/>
          <w:color w:val="000000"/>
          <w:spacing w:val="0"/>
          <w:kern w:val="0"/>
          <w:sz w:val="32"/>
          <w:szCs w:val="32"/>
          <w:highlight w:val="none"/>
        </w:rPr>
        <w:t>人：</w:t>
      </w:r>
      <w:r>
        <w:rPr>
          <w:rFonts w:hint="eastAsia" w:ascii="宋体" w:hAnsi="宋体" w:cs="宋体"/>
          <w:b/>
          <w:color w:val="000000"/>
          <w:spacing w:val="0"/>
          <w:kern w:val="0"/>
          <w:sz w:val="32"/>
          <w:szCs w:val="32"/>
          <w:highlight w:val="none"/>
          <w:u w:val="none"/>
          <w:lang w:val="en-US" w:eastAsia="zh-CN"/>
        </w:rPr>
        <w:t>安徽霍山国有资产投资控股集团有限公司</w:t>
      </w:r>
    </w:p>
    <w:p w14:paraId="7664FD9C">
      <w:pPr>
        <w:keepNext w:val="0"/>
        <w:keepLines w:val="0"/>
        <w:pageBreakBefore w:val="0"/>
        <w:widowControl w:val="0"/>
        <w:tabs>
          <w:tab w:val="left" w:pos="2410"/>
        </w:tabs>
        <w:kinsoku/>
        <w:wordWrap/>
        <w:overflowPunct/>
        <w:topLinePunct w:val="0"/>
        <w:autoSpaceDE w:val="0"/>
        <w:autoSpaceDN w:val="0"/>
        <w:bidi w:val="0"/>
        <w:adjustRightInd w:val="0"/>
        <w:snapToGrid w:val="0"/>
        <w:spacing w:line="360" w:lineRule="auto"/>
        <w:ind w:firstLine="1285" w:firstLineChars="400"/>
        <w:jc w:val="left"/>
        <w:textAlignment w:val="auto"/>
        <w:rPr>
          <w:rFonts w:hint="eastAsia" w:ascii="宋体" w:hAnsi="宋体" w:eastAsia="宋体" w:cs="宋体"/>
          <w:b/>
          <w:color w:val="000000"/>
          <w:spacing w:val="0"/>
          <w:kern w:val="0"/>
          <w:sz w:val="32"/>
          <w:szCs w:val="32"/>
          <w:highlight w:val="none"/>
          <w:lang w:eastAsia="zh-CN"/>
        </w:rPr>
      </w:pPr>
      <w:r>
        <w:rPr>
          <w:rFonts w:hint="eastAsia" w:ascii="宋体" w:hAnsi="宋体" w:eastAsia="宋体" w:cs="宋体"/>
          <w:b/>
          <w:color w:val="000000"/>
          <w:spacing w:val="0"/>
          <w:kern w:val="0"/>
          <w:sz w:val="32"/>
          <w:szCs w:val="32"/>
          <w:highlight w:val="none"/>
          <w:lang w:eastAsia="zh-CN"/>
        </w:rPr>
        <w:t>代理</w:t>
      </w:r>
      <w:r>
        <w:rPr>
          <w:rFonts w:hint="eastAsia" w:ascii="宋体" w:hAnsi="宋体" w:eastAsia="宋体" w:cs="宋体"/>
          <w:b/>
          <w:color w:val="000000"/>
          <w:spacing w:val="0"/>
          <w:kern w:val="0"/>
          <w:sz w:val="32"/>
          <w:szCs w:val="32"/>
          <w:highlight w:val="none"/>
        </w:rPr>
        <w:t>机构：</w:t>
      </w:r>
      <w:r>
        <w:rPr>
          <w:rFonts w:hint="eastAsia" w:ascii="宋体" w:hAnsi="宋体" w:eastAsia="宋体" w:cs="宋体"/>
          <w:b/>
          <w:color w:val="000000"/>
          <w:spacing w:val="0"/>
          <w:kern w:val="0"/>
          <w:sz w:val="32"/>
          <w:szCs w:val="32"/>
          <w:highlight w:val="none"/>
          <w:lang w:eastAsia="zh-CN"/>
        </w:rPr>
        <w:t>安徽大别山工程咨询有限公司</w:t>
      </w:r>
    </w:p>
    <w:p w14:paraId="5245B0FD">
      <w:pPr>
        <w:keepNext w:val="0"/>
        <w:keepLines w:val="0"/>
        <w:pageBreakBefore w:val="0"/>
        <w:widowControl w:val="0"/>
        <w:tabs>
          <w:tab w:val="left" w:pos="2410"/>
        </w:tabs>
        <w:kinsoku/>
        <w:wordWrap/>
        <w:overflowPunct/>
        <w:topLinePunct w:val="0"/>
        <w:autoSpaceDE w:val="0"/>
        <w:autoSpaceDN w:val="0"/>
        <w:bidi w:val="0"/>
        <w:adjustRightInd w:val="0"/>
        <w:snapToGrid w:val="0"/>
        <w:spacing w:line="360" w:lineRule="auto"/>
        <w:ind w:firstLine="1285" w:firstLineChars="400"/>
        <w:jc w:val="left"/>
        <w:textAlignment w:val="auto"/>
        <w:rPr>
          <w:rFonts w:hint="eastAsia" w:ascii="仿宋" w:hAnsi="仿宋" w:eastAsia="仿宋" w:cs="仿宋"/>
          <w:sz w:val="32"/>
          <w:szCs w:val="32"/>
          <w:highlight w:val="none"/>
        </w:rPr>
      </w:pPr>
      <w:r>
        <w:rPr>
          <w:rFonts w:hint="eastAsia" w:ascii="宋体" w:hAnsi="宋体" w:eastAsia="宋体" w:cs="宋体"/>
          <w:b/>
          <w:color w:val="000000"/>
          <w:spacing w:val="0"/>
          <w:kern w:val="0"/>
          <w:sz w:val="32"/>
          <w:szCs w:val="32"/>
          <w:highlight w:val="none"/>
          <w:lang w:eastAsia="zh-CN"/>
        </w:rPr>
        <w:t>采购时间：</w:t>
      </w:r>
      <w:r>
        <w:rPr>
          <w:rFonts w:hint="eastAsia" w:ascii="宋体" w:hAnsi="宋体" w:cs="宋体"/>
          <w:b/>
          <w:color w:val="000000"/>
          <w:spacing w:val="0"/>
          <w:kern w:val="0"/>
          <w:sz w:val="32"/>
          <w:szCs w:val="32"/>
          <w:highlight w:val="none"/>
          <w:lang w:val="en-US" w:eastAsia="zh-CN"/>
        </w:rPr>
        <w:t>2026年9月</w:t>
      </w:r>
    </w:p>
    <w:p w14:paraId="6FA69A95">
      <w:pPr>
        <w:rPr>
          <w:rFonts w:hint="eastAsia" w:ascii="仿宋" w:hAnsi="仿宋" w:eastAsia="仿宋" w:cs="仿宋"/>
          <w:sz w:val="32"/>
          <w:szCs w:val="32"/>
          <w:highlight w:val="none"/>
        </w:rPr>
        <w:sectPr>
          <w:headerReference r:id="rId3" w:type="first"/>
          <w:footerReference r:id="rId4" w:type="first"/>
          <w:pgSz w:w="11906" w:h="16838"/>
          <w:pgMar w:top="1440" w:right="1486" w:bottom="1440" w:left="1800" w:header="851" w:footer="992" w:gutter="0"/>
          <w:pgNumType w:start="1"/>
          <w:cols w:space="720" w:num="1"/>
          <w:titlePg/>
          <w:docGrid w:type="lines" w:linePitch="312" w:charSpace="0"/>
        </w:sectPr>
      </w:pPr>
    </w:p>
    <w:p w14:paraId="6D98B27F">
      <w:pPr>
        <w:pStyle w:val="24"/>
        <w:tabs>
          <w:tab w:val="right" w:leader="dot" w:pos="9746"/>
        </w:tabs>
        <w:jc w:val="center"/>
        <w:outlineLvl w:val="1"/>
        <w:rPr>
          <w:rFonts w:hint="eastAsia" w:ascii="微软雅黑" w:hAnsi="微软雅黑" w:eastAsia="微软雅黑" w:cs="微软雅黑"/>
          <w:b/>
          <w:bCs/>
          <w:sz w:val="32"/>
          <w:szCs w:val="32"/>
          <w:highlight w:val="none"/>
          <w:lang w:val="en-US" w:eastAsia="zh-CN"/>
        </w:rPr>
      </w:pPr>
      <w:r>
        <w:rPr>
          <w:rFonts w:hint="eastAsia" w:ascii="微软雅黑" w:hAnsi="微软雅黑" w:eastAsia="微软雅黑" w:cs="微软雅黑"/>
          <w:b/>
          <w:bCs/>
          <w:sz w:val="32"/>
          <w:szCs w:val="32"/>
          <w:highlight w:val="none"/>
          <w:lang w:val="en-US" w:eastAsia="zh-CN"/>
        </w:rPr>
        <w:t>目  录</w:t>
      </w:r>
    </w:p>
    <w:p w14:paraId="7BEAD3EC">
      <w:pPr>
        <w:pStyle w:val="24"/>
        <w:tabs>
          <w:tab w:val="right" w:leader="dot" w:pos="9746"/>
        </w:tabs>
        <w:rPr>
          <w:rFonts w:hint="eastAsia" w:ascii="宋体" w:hAnsi="宋体" w:eastAsia="宋体" w:cs="宋体"/>
          <w:sz w:val="28"/>
          <w:szCs w:val="28"/>
          <w:highlight w:val="none"/>
        </w:rPr>
      </w:pPr>
      <w:r>
        <w:rPr>
          <w:rFonts w:ascii="仿宋" w:hAnsi="仿宋" w:eastAsia="仿宋" w:cs="仿宋"/>
          <w:sz w:val="32"/>
          <w:szCs w:val="32"/>
          <w:highlight w:val="none"/>
        </w:rPr>
        <w:fldChar w:fldCharType="begin"/>
      </w:r>
      <w:r>
        <w:rPr>
          <w:rFonts w:ascii="仿宋" w:hAnsi="仿宋" w:eastAsia="仿宋" w:cs="仿宋"/>
          <w:sz w:val="32"/>
          <w:szCs w:val="32"/>
          <w:highlight w:val="none"/>
        </w:rPr>
        <w:instrText xml:space="preserve">TOC \o "1-1" \h \u </w:instrText>
      </w:r>
      <w:r>
        <w:rPr>
          <w:rFonts w:ascii="仿宋" w:hAnsi="仿宋" w:eastAsia="仿宋" w:cs="仿宋"/>
          <w:sz w:val="32"/>
          <w:szCs w:val="32"/>
          <w:highlight w:val="none"/>
        </w:rPr>
        <w:fldChar w:fldCharType="separate"/>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_Toc20153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lang w:val="en-US" w:eastAsia="zh-CN"/>
        </w:rPr>
        <w:t>第</w:t>
      </w:r>
      <w:r>
        <w:rPr>
          <w:rFonts w:hint="eastAsia" w:ascii="宋体" w:hAnsi="宋体" w:eastAsia="宋体" w:cs="宋体"/>
          <w:bCs/>
          <w:sz w:val="28"/>
          <w:szCs w:val="28"/>
          <w:highlight w:val="none"/>
          <w:lang w:eastAsia="zh-CN"/>
        </w:rPr>
        <w:t xml:space="preserve">一章 </w:t>
      </w:r>
      <w:r>
        <w:rPr>
          <w:rFonts w:hint="eastAsia" w:ascii="宋体" w:hAnsi="宋体" w:eastAsia="宋体" w:cs="宋体"/>
          <w:bCs/>
          <w:sz w:val="28"/>
          <w:szCs w:val="28"/>
          <w:highlight w:val="none"/>
          <w:lang w:val="en-US" w:eastAsia="zh-CN"/>
        </w:rPr>
        <w:t xml:space="preserve"> </w:t>
      </w:r>
      <w:r>
        <w:rPr>
          <w:rFonts w:hint="eastAsia" w:ascii="宋体" w:hAnsi="宋体" w:eastAsia="宋体" w:cs="宋体"/>
          <w:bCs/>
          <w:sz w:val="28"/>
          <w:szCs w:val="28"/>
          <w:highlight w:val="none"/>
          <w:lang w:eastAsia="zh-CN"/>
        </w:rPr>
        <w:t>竞争谈判公告</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_Toc20153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5469C287">
      <w:pPr>
        <w:pStyle w:val="24"/>
        <w:tabs>
          <w:tab w:val="right" w:leader="dot" w:pos="9746"/>
        </w:tabs>
        <w:rPr>
          <w:rFonts w:hint="eastAsia" w:ascii="宋体" w:hAnsi="宋体" w:eastAsia="宋体" w:cs="宋体"/>
          <w:sz w:val="28"/>
          <w:szCs w:val="28"/>
          <w:highlight w:val="none"/>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_Toc9266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lang w:val="en-US" w:eastAsia="zh-CN"/>
        </w:rPr>
        <w:t xml:space="preserve">第二章  </w:t>
      </w:r>
      <w:r>
        <w:rPr>
          <w:rFonts w:hint="eastAsia" w:ascii="宋体" w:hAnsi="宋体" w:eastAsia="宋体" w:cs="宋体"/>
          <w:bCs/>
          <w:sz w:val="28"/>
          <w:szCs w:val="28"/>
          <w:highlight w:val="none"/>
        </w:rPr>
        <w:t>供应商须知</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_Toc9266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3</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390F1024">
      <w:pPr>
        <w:pStyle w:val="24"/>
        <w:tabs>
          <w:tab w:val="right" w:leader="dot" w:pos="9746"/>
        </w:tabs>
        <w:rPr>
          <w:rFonts w:hint="eastAsia" w:ascii="宋体" w:hAnsi="宋体" w:eastAsia="宋体" w:cs="宋体"/>
          <w:sz w:val="28"/>
          <w:szCs w:val="28"/>
          <w:highlight w:val="none"/>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_Toc18907 </w:instrText>
      </w:r>
      <w:r>
        <w:rPr>
          <w:rFonts w:hint="eastAsia" w:ascii="宋体" w:hAnsi="宋体" w:eastAsia="宋体" w:cs="宋体"/>
          <w:sz w:val="28"/>
          <w:szCs w:val="28"/>
          <w:highlight w:val="none"/>
        </w:rPr>
        <w:fldChar w:fldCharType="separate"/>
      </w:r>
      <w:r>
        <w:rPr>
          <w:rFonts w:hint="eastAsia" w:ascii="宋体" w:hAnsi="宋体" w:eastAsia="宋体" w:cs="宋体"/>
          <w:bCs/>
          <w:caps/>
          <w:kern w:val="2"/>
          <w:sz w:val="28"/>
          <w:szCs w:val="28"/>
          <w:highlight w:val="none"/>
          <w:lang w:val="zh-CN" w:eastAsia="zh-CN" w:bidi="ar-SA"/>
        </w:rPr>
        <w:t>第</w:t>
      </w:r>
      <w:r>
        <w:rPr>
          <w:rFonts w:hint="eastAsia" w:ascii="宋体" w:hAnsi="宋体" w:eastAsia="宋体" w:cs="宋体"/>
          <w:bCs/>
          <w:caps/>
          <w:kern w:val="2"/>
          <w:sz w:val="28"/>
          <w:szCs w:val="28"/>
          <w:highlight w:val="none"/>
          <w:lang w:val="en-US" w:eastAsia="zh-CN" w:bidi="ar-SA"/>
        </w:rPr>
        <w:t>三</w:t>
      </w:r>
      <w:r>
        <w:rPr>
          <w:rFonts w:hint="eastAsia" w:ascii="宋体" w:hAnsi="宋体" w:eastAsia="宋体" w:cs="宋体"/>
          <w:bCs/>
          <w:caps/>
          <w:kern w:val="2"/>
          <w:sz w:val="28"/>
          <w:szCs w:val="28"/>
          <w:highlight w:val="none"/>
          <w:lang w:val="zh-CN" w:eastAsia="zh-CN" w:bidi="ar-SA"/>
        </w:rPr>
        <w:t>章</w:t>
      </w:r>
      <w:r>
        <w:rPr>
          <w:rFonts w:hint="eastAsia" w:ascii="宋体" w:hAnsi="宋体" w:eastAsia="宋体" w:cs="宋体"/>
          <w:bCs/>
          <w:caps/>
          <w:kern w:val="2"/>
          <w:sz w:val="28"/>
          <w:szCs w:val="28"/>
          <w:highlight w:val="none"/>
          <w:lang w:val="en-US" w:eastAsia="zh-CN" w:bidi="ar-SA"/>
        </w:rPr>
        <w:t xml:space="preserve">  </w:t>
      </w:r>
      <w:r>
        <w:rPr>
          <w:rFonts w:hint="eastAsia" w:ascii="宋体" w:hAnsi="宋体" w:eastAsia="宋体" w:cs="宋体"/>
          <w:bCs/>
          <w:sz w:val="28"/>
          <w:szCs w:val="28"/>
          <w:highlight w:val="none"/>
        </w:rPr>
        <w:t>采购合同</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_Toc18907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13</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656DA565">
      <w:pPr>
        <w:pStyle w:val="24"/>
        <w:tabs>
          <w:tab w:val="right" w:leader="dot" w:pos="9746"/>
        </w:tabs>
        <w:rPr>
          <w:rFonts w:hint="eastAsia" w:ascii="宋体" w:hAnsi="宋体" w:eastAsia="宋体" w:cs="宋体"/>
          <w:sz w:val="28"/>
          <w:szCs w:val="28"/>
          <w:highlight w:val="none"/>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_Toc11986 </w:instrText>
      </w:r>
      <w:r>
        <w:rPr>
          <w:rFonts w:hint="eastAsia" w:ascii="宋体" w:hAnsi="宋体" w:eastAsia="宋体" w:cs="宋体"/>
          <w:sz w:val="28"/>
          <w:szCs w:val="28"/>
          <w:highlight w:val="none"/>
        </w:rPr>
        <w:fldChar w:fldCharType="separate"/>
      </w:r>
      <w:r>
        <w:rPr>
          <w:rFonts w:hint="eastAsia" w:ascii="宋体" w:hAnsi="宋体" w:eastAsia="宋体" w:cs="宋体"/>
          <w:bCs/>
          <w:caps/>
          <w:kern w:val="2"/>
          <w:sz w:val="28"/>
          <w:szCs w:val="28"/>
          <w:highlight w:val="none"/>
          <w:lang w:val="zh-CN" w:eastAsia="zh-CN" w:bidi="ar-SA"/>
        </w:rPr>
        <w:t>第</w:t>
      </w:r>
      <w:r>
        <w:rPr>
          <w:rFonts w:hint="eastAsia" w:ascii="宋体" w:hAnsi="宋体" w:eastAsia="宋体" w:cs="宋体"/>
          <w:bCs/>
          <w:caps/>
          <w:kern w:val="2"/>
          <w:sz w:val="28"/>
          <w:szCs w:val="28"/>
          <w:highlight w:val="none"/>
          <w:lang w:val="en-US" w:eastAsia="zh-CN" w:bidi="ar-SA"/>
        </w:rPr>
        <w:t>四</w:t>
      </w:r>
      <w:r>
        <w:rPr>
          <w:rFonts w:hint="eastAsia" w:ascii="宋体" w:hAnsi="宋体" w:eastAsia="宋体" w:cs="宋体"/>
          <w:bCs/>
          <w:caps/>
          <w:kern w:val="2"/>
          <w:sz w:val="28"/>
          <w:szCs w:val="28"/>
          <w:highlight w:val="none"/>
          <w:lang w:val="zh-CN" w:eastAsia="zh-CN" w:bidi="ar-SA"/>
        </w:rPr>
        <w:t>章</w:t>
      </w:r>
      <w:r>
        <w:rPr>
          <w:rFonts w:hint="eastAsia" w:ascii="宋体" w:hAnsi="宋体" w:eastAsia="宋体" w:cs="宋体"/>
          <w:bCs/>
          <w:caps/>
          <w:kern w:val="2"/>
          <w:sz w:val="28"/>
          <w:szCs w:val="28"/>
          <w:highlight w:val="none"/>
          <w:lang w:val="en-US" w:eastAsia="zh-CN" w:bidi="ar-SA"/>
        </w:rPr>
        <w:t xml:space="preserve">  </w:t>
      </w:r>
      <w:r>
        <w:rPr>
          <w:rFonts w:hint="eastAsia" w:ascii="宋体" w:hAnsi="宋体" w:eastAsia="宋体" w:cs="宋体"/>
          <w:bCs/>
          <w:sz w:val="28"/>
          <w:szCs w:val="28"/>
          <w:highlight w:val="none"/>
        </w:rPr>
        <w:t>采购</w:t>
      </w:r>
      <w:r>
        <w:rPr>
          <w:rFonts w:hint="eastAsia" w:ascii="宋体" w:hAnsi="宋体" w:eastAsia="宋体" w:cs="宋体"/>
          <w:bCs/>
          <w:sz w:val="28"/>
          <w:szCs w:val="28"/>
          <w:highlight w:val="none"/>
          <w:lang w:val="en-US" w:eastAsia="zh-CN"/>
        </w:rPr>
        <w:t>需求</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_Toc11986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14</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530627FA">
      <w:pPr>
        <w:pStyle w:val="24"/>
        <w:tabs>
          <w:tab w:val="right" w:leader="dot" w:pos="9746"/>
        </w:tabs>
        <w:rPr>
          <w:rFonts w:hint="eastAsia" w:ascii="宋体" w:hAnsi="宋体" w:eastAsia="宋体" w:cs="宋体"/>
          <w:sz w:val="28"/>
          <w:szCs w:val="28"/>
          <w:highlight w:val="none"/>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_Toc25987 </w:instrText>
      </w:r>
      <w:r>
        <w:rPr>
          <w:rFonts w:hint="eastAsia" w:ascii="宋体" w:hAnsi="宋体" w:eastAsia="宋体" w:cs="宋体"/>
          <w:sz w:val="28"/>
          <w:szCs w:val="28"/>
          <w:highlight w:val="none"/>
        </w:rPr>
        <w:fldChar w:fldCharType="separate"/>
      </w:r>
      <w:r>
        <w:rPr>
          <w:rFonts w:hint="eastAsia" w:ascii="宋体" w:hAnsi="宋体" w:eastAsia="宋体" w:cs="宋体"/>
          <w:bCs/>
          <w:caps/>
          <w:kern w:val="2"/>
          <w:sz w:val="28"/>
          <w:szCs w:val="28"/>
          <w:highlight w:val="none"/>
          <w:lang w:val="zh-CN"/>
        </w:rPr>
        <w:t>第</w:t>
      </w:r>
      <w:r>
        <w:rPr>
          <w:rFonts w:hint="eastAsia" w:ascii="宋体" w:hAnsi="宋体" w:eastAsia="宋体" w:cs="宋体"/>
          <w:bCs/>
          <w:caps/>
          <w:kern w:val="2"/>
          <w:sz w:val="28"/>
          <w:szCs w:val="28"/>
          <w:highlight w:val="none"/>
          <w:lang w:val="en-US" w:eastAsia="zh-CN"/>
        </w:rPr>
        <w:t>五</w:t>
      </w:r>
      <w:r>
        <w:rPr>
          <w:rFonts w:hint="eastAsia" w:ascii="宋体" w:hAnsi="宋体" w:eastAsia="宋体" w:cs="宋体"/>
          <w:bCs/>
          <w:caps/>
          <w:kern w:val="2"/>
          <w:sz w:val="28"/>
          <w:szCs w:val="28"/>
          <w:highlight w:val="none"/>
          <w:lang w:val="zh-CN"/>
        </w:rPr>
        <w:t>章  评审方法和标准</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_Toc25987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18</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2EBD96D5">
      <w:pPr>
        <w:pStyle w:val="24"/>
        <w:tabs>
          <w:tab w:val="right" w:leader="dot" w:pos="9746"/>
        </w:tabs>
        <w:rPr>
          <w:highlight w:val="none"/>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_Toc6749 </w:instrText>
      </w:r>
      <w:r>
        <w:rPr>
          <w:rFonts w:hint="eastAsia" w:ascii="宋体" w:hAnsi="宋体" w:eastAsia="宋体" w:cs="宋体"/>
          <w:sz w:val="28"/>
          <w:szCs w:val="28"/>
          <w:highlight w:val="none"/>
        </w:rPr>
        <w:fldChar w:fldCharType="separate"/>
      </w:r>
      <w:r>
        <w:rPr>
          <w:rFonts w:hint="eastAsia" w:ascii="宋体" w:hAnsi="宋体" w:eastAsia="宋体" w:cs="宋体"/>
          <w:bCs/>
          <w:caps/>
          <w:kern w:val="2"/>
          <w:sz w:val="28"/>
          <w:szCs w:val="28"/>
          <w:highlight w:val="none"/>
          <w:lang w:val="zh-CN"/>
        </w:rPr>
        <w:t>第</w:t>
      </w:r>
      <w:r>
        <w:rPr>
          <w:rFonts w:hint="eastAsia" w:ascii="宋体" w:hAnsi="宋体" w:eastAsia="宋体" w:cs="宋体"/>
          <w:bCs/>
          <w:caps/>
          <w:kern w:val="2"/>
          <w:sz w:val="28"/>
          <w:szCs w:val="28"/>
          <w:highlight w:val="none"/>
          <w:lang w:val="en-US" w:eastAsia="zh-CN"/>
        </w:rPr>
        <w:t>六</w:t>
      </w:r>
      <w:r>
        <w:rPr>
          <w:rFonts w:hint="eastAsia" w:ascii="宋体" w:hAnsi="宋体" w:eastAsia="宋体" w:cs="宋体"/>
          <w:bCs/>
          <w:caps/>
          <w:kern w:val="2"/>
          <w:sz w:val="28"/>
          <w:szCs w:val="28"/>
          <w:highlight w:val="none"/>
          <w:lang w:val="zh-CN"/>
        </w:rPr>
        <w:t>章  谈判响应文件格式</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_Toc6749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22</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2BE1E156">
      <w:pPr>
        <w:spacing w:line="360" w:lineRule="auto"/>
        <w:rPr>
          <w:rFonts w:ascii="仿宋" w:hAnsi="仿宋" w:eastAsia="仿宋" w:cs="仿宋"/>
          <w:sz w:val="32"/>
          <w:szCs w:val="32"/>
          <w:highlight w:val="none"/>
        </w:rPr>
      </w:pPr>
      <w:r>
        <w:rPr>
          <w:rFonts w:ascii="仿宋" w:hAnsi="仿宋" w:eastAsia="仿宋" w:cs="仿宋"/>
          <w:szCs w:val="32"/>
          <w:highlight w:val="none"/>
        </w:rPr>
        <w:fldChar w:fldCharType="end"/>
      </w:r>
    </w:p>
    <w:p w14:paraId="08A387E5">
      <w:pPr>
        <w:pStyle w:val="6"/>
        <w:spacing w:before="156" w:beforeLines="50" w:after="156" w:afterLines="50" w:line="520" w:lineRule="exact"/>
        <w:jc w:val="center"/>
        <w:outlineLvl w:val="9"/>
        <w:rPr>
          <w:rFonts w:hint="eastAsia" w:ascii="华文中宋" w:hAnsi="华文中宋" w:eastAsia="华文中宋" w:cs="华文中宋"/>
          <w:b w:val="0"/>
          <w:bCs/>
          <w:sz w:val="28"/>
          <w:szCs w:val="28"/>
          <w:highlight w:val="none"/>
          <w:lang w:val="en-US" w:eastAsia="zh-CN"/>
        </w:rPr>
        <w:sectPr>
          <w:pgSz w:w="11906" w:h="16838"/>
          <w:pgMar w:top="1440" w:right="1080" w:bottom="1440" w:left="1080" w:header="851" w:footer="992" w:gutter="0"/>
          <w:pgNumType w:start="1"/>
          <w:cols w:space="720" w:num="1"/>
          <w:titlePg/>
          <w:docGrid w:type="lines" w:linePitch="312" w:charSpace="0"/>
        </w:sectPr>
      </w:pPr>
      <w:bookmarkStart w:id="0" w:name="_Toc28964"/>
      <w:bookmarkStart w:id="1" w:name="_Toc30186"/>
      <w:bookmarkStart w:id="2" w:name="_Toc216158623"/>
      <w:bookmarkStart w:id="3" w:name="_Toc363199264"/>
      <w:r>
        <w:rPr>
          <w:rFonts w:hint="eastAsia" w:ascii="华文中宋" w:hAnsi="华文中宋" w:eastAsia="华文中宋" w:cs="华文中宋"/>
          <w:b w:val="0"/>
          <w:bCs/>
          <w:sz w:val="28"/>
          <w:szCs w:val="28"/>
          <w:highlight w:val="none"/>
          <w:lang w:val="en-US" w:eastAsia="zh-CN"/>
        </w:rPr>
        <w:t xml:space="preserve"> </w:t>
      </w:r>
    </w:p>
    <w:bookmarkEnd w:id="0"/>
    <w:bookmarkEnd w:id="1"/>
    <w:p w14:paraId="657BB1B8">
      <w:pPr>
        <w:keepNext w:val="0"/>
        <w:keepLines w:val="0"/>
        <w:pageBreakBefore w:val="0"/>
        <w:widowControl w:val="0"/>
        <w:kinsoku/>
        <w:wordWrap/>
        <w:overflowPunct/>
        <w:topLinePunct w:val="0"/>
        <w:autoSpaceDE/>
        <w:autoSpaceDN/>
        <w:bidi w:val="0"/>
        <w:adjustRightInd w:val="0"/>
        <w:snapToGrid w:val="0"/>
        <w:spacing w:line="480" w:lineRule="auto"/>
        <w:jc w:val="center"/>
        <w:textAlignment w:val="auto"/>
        <w:outlineLvl w:val="0"/>
        <w:rPr>
          <w:rFonts w:hint="eastAsia"/>
          <w:b/>
          <w:bCs/>
          <w:sz w:val="32"/>
          <w:szCs w:val="32"/>
          <w:highlight w:val="none"/>
        </w:rPr>
      </w:pPr>
      <w:bookmarkStart w:id="4" w:name="_Toc4745"/>
      <w:bookmarkStart w:id="5" w:name="_Toc20153"/>
      <w:r>
        <w:rPr>
          <w:rFonts w:hint="eastAsia"/>
          <w:b/>
          <w:bCs/>
          <w:sz w:val="32"/>
          <w:szCs w:val="32"/>
          <w:highlight w:val="none"/>
          <w:lang w:val="en-US" w:eastAsia="zh-CN"/>
        </w:rPr>
        <w:t>第</w:t>
      </w:r>
      <w:r>
        <w:rPr>
          <w:rFonts w:hint="eastAsia"/>
          <w:b/>
          <w:bCs/>
          <w:sz w:val="32"/>
          <w:szCs w:val="32"/>
          <w:highlight w:val="none"/>
          <w:lang w:eastAsia="zh-CN"/>
        </w:rPr>
        <w:t xml:space="preserve">一章 </w:t>
      </w:r>
      <w:r>
        <w:rPr>
          <w:rFonts w:hint="eastAsia"/>
          <w:b/>
          <w:bCs/>
          <w:sz w:val="32"/>
          <w:szCs w:val="32"/>
          <w:highlight w:val="none"/>
          <w:lang w:val="en-US" w:eastAsia="zh-CN"/>
        </w:rPr>
        <w:t xml:space="preserve"> </w:t>
      </w:r>
      <w:r>
        <w:rPr>
          <w:rFonts w:hint="eastAsia"/>
          <w:b/>
          <w:bCs/>
          <w:sz w:val="32"/>
          <w:szCs w:val="32"/>
          <w:highlight w:val="none"/>
          <w:lang w:eastAsia="zh-CN"/>
        </w:rPr>
        <w:t>竞争谈判公告</w:t>
      </w:r>
      <w:bookmarkEnd w:id="4"/>
      <w:bookmarkEnd w:id="5"/>
    </w:p>
    <w:p w14:paraId="58CE8351">
      <w:pPr>
        <w:keepNext w:val="0"/>
        <w:keepLines w:val="0"/>
        <w:pageBreakBefore w:val="0"/>
        <w:widowControl w:val="0"/>
        <w:kinsoku/>
        <w:wordWrap/>
        <w:overflowPunct/>
        <w:topLinePunct w:val="0"/>
        <w:autoSpaceDE/>
        <w:autoSpaceDN/>
        <w:bidi w:val="0"/>
        <w:adjustRightInd/>
        <w:snapToGrid w:val="0"/>
        <w:spacing w:before="157" w:beforeLines="50" w:after="0" w:line="360" w:lineRule="auto"/>
        <w:ind w:firstLine="420" w:firstLineChars="200"/>
        <w:jc w:val="left"/>
        <w:textAlignment w:val="auto"/>
        <w:outlineLvl w:val="9"/>
        <w:rPr>
          <w:rFonts w:hint="eastAsia" w:ascii="宋体" w:hAnsi="宋体" w:eastAsia="宋体" w:cs="宋体"/>
          <w:b w:val="0"/>
          <w:bCs/>
          <w:sz w:val="21"/>
          <w:szCs w:val="21"/>
          <w:highlight w:val="none"/>
        </w:rPr>
      </w:pPr>
      <w:bookmarkStart w:id="6" w:name="_Toc28359089"/>
      <w:bookmarkStart w:id="7" w:name="_Toc23161"/>
      <w:bookmarkStart w:id="8" w:name="_Toc28359012"/>
      <w:bookmarkStart w:id="9" w:name="_Toc35393629"/>
      <w:bookmarkStart w:id="10" w:name="_Toc7777"/>
      <w:bookmarkStart w:id="11" w:name="_Toc17456"/>
      <w:bookmarkStart w:id="12" w:name="_Toc35393798"/>
      <w:r>
        <w:rPr>
          <w:rFonts w:hint="eastAsia" w:ascii="宋体" w:hAnsi="宋体" w:eastAsia="宋体" w:cs="宋体"/>
          <w:b w:val="0"/>
          <w:bCs/>
          <w:sz w:val="21"/>
          <w:szCs w:val="21"/>
          <w:highlight w:val="none"/>
        </w:rPr>
        <w:t>安徽大别山工程咨询有限公司受</w:t>
      </w:r>
      <w:r>
        <w:rPr>
          <w:rFonts w:hint="eastAsia" w:ascii="宋体" w:hAnsi="宋体" w:cs="宋体"/>
          <w:b w:val="0"/>
          <w:bCs/>
          <w:sz w:val="21"/>
          <w:szCs w:val="21"/>
          <w:highlight w:val="none"/>
          <w:u w:val="single"/>
          <w:lang w:eastAsia="zh-CN"/>
        </w:rPr>
        <w:t>安徽霍山国有资产投资控股集团有限公司</w:t>
      </w:r>
      <w:r>
        <w:rPr>
          <w:rFonts w:hint="eastAsia" w:ascii="宋体" w:hAnsi="宋体" w:eastAsia="宋体" w:cs="宋体"/>
          <w:b w:val="0"/>
          <w:bCs/>
          <w:sz w:val="21"/>
          <w:szCs w:val="21"/>
          <w:highlight w:val="none"/>
        </w:rPr>
        <w:t>委托，代理</w:t>
      </w:r>
      <w:r>
        <w:rPr>
          <w:rFonts w:hint="eastAsia" w:ascii="宋体" w:hAnsi="宋体" w:cs="宋体"/>
          <w:b w:val="0"/>
          <w:bCs/>
          <w:sz w:val="21"/>
          <w:szCs w:val="21"/>
          <w:highlight w:val="none"/>
          <w:u w:val="single"/>
          <w:lang w:eastAsia="zh-CN"/>
        </w:rPr>
        <w:t>安徽霍山国投集团食堂经营管理服务承包项目</w:t>
      </w:r>
      <w:r>
        <w:rPr>
          <w:rFonts w:hint="eastAsia" w:ascii="宋体" w:hAnsi="宋体" w:eastAsia="宋体" w:cs="宋体"/>
          <w:b w:val="0"/>
          <w:bCs/>
          <w:sz w:val="21"/>
          <w:szCs w:val="21"/>
          <w:highlight w:val="none"/>
        </w:rPr>
        <w:t>，经</w:t>
      </w:r>
      <w:r>
        <w:rPr>
          <w:rFonts w:hint="eastAsia" w:ascii="宋体" w:hAnsi="宋体" w:cs="宋体"/>
          <w:b w:val="0"/>
          <w:bCs/>
          <w:sz w:val="21"/>
          <w:szCs w:val="21"/>
          <w:highlight w:val="none"/>
          <w:lang w:eastAsia="zh-CN"/>
        </w:rPr>
        <w:t>安徽霍山国有资产投资控股集团有限公司</w:t>
      </w:r>
      <w:r>
        <w:rPr>
          <w:rFonts w:hint="eastAsia" w:ascii="宋体" w:hAnsi="宋体" w:eastAsia="宋体" w:cs="宋体"/>
          <w:b w:val="0"/>
          <w:bCs/>
          <w:sz w:val="21"/>
          <w:szCs w:val="21"/>
          <w:highlight w:val="none"/>
        </w:rPr>
        <w:t>审批，根据《国有企业采购操作规范》及《安徽霍山国有资产投资控股集团有限公司招标采购管理制度》，本项目采用</w:t>
      </w:r>
      <w:r>
        <w:rPr>
          <w:rFonts w:hint="eastAsia" w:ascii="宋体" w:hAnsi="宋体" w:eastAsia="宋体" w:cs="宋体"/>
          <w:b w:val="0"/>
          <w:bCs/>
          <w:sz w:val="21"/>
          <w:szCs w:val="21"/>
          <w:highlight w:val="none"/>
          <w:u w:val="single"/>
        </w:rPr>
        <w:t>竞争谈判</w:t>
      </w:r>
      <w:r>
        <w:rPr>
          <w:rFonts w:hint="eastAsia" w:ascii="宋体" w:hAnsi="宋体" w:eastAsia="宋体" w:cs="宋体"/>
          <w:b w:val="0"/>
          <w:bCs/>
          <w:sz w:val="21"/>
          <w:szCs w:val="21"/>
          <w:highlight w:val="none"/>
        </w:rPr>
        <w:t>方式采购，已具备采购条件，欢迎符合条件的</w:t>
      </w:r>
      <w:r>
        <w:rPr>
          <w:rFonts w:hint="eastAsia" w:ascii="宋体" w:hAnsi="宋体" w:cs="宋体"/>
          <w:b w:val="0"/>
          <w:bCs/>
          <w:sz w:val="21"/>
          <w:szCs w:val="21"/>
          <w:highlight w:val="none"/>
          <w:lang w:val="en-US" w:eastAsia="zh-CN"/>
        </w:rPr>
        <w:t>国内</w:t>
      </w:r>
      <w:r>
        <w:rPr>
          <w:rFonts w:hint="eastAsia" w:ascii="宋体" w:hAnsi="宋体" w:eastAsia="宋体" w:cs="宋体"/>
          <w:b w:val="0"/>
          <w:bCs/>
          <w:sz w:val="21"/>
          <w:szCs w:val="21"/>
          <w:highlight w:val="none"/>
        </w:rPr>
        <w:t>供应商参加竞争谈判。</w:t>
      </w:r>
    </w:p>
    <w:p w14:paraId="06A0EFED">
      <w:pPr>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jc w:val="left"/>
        <w:textAlignment w:val="auto"/>
        <w:outlineLvl w:val="9"/>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一、项目基本情况</w:t>
      </w:r>
      <w:bookmarkEnd w:id="6"/>
      <w:bookmarkEnd w:id="7"/>
      <w:bookmarkEnd w:id="8"/>
      <w:bookmarkEnd w:id="9"/>
      <w:bookmarkEnd w:id="10"/>
      <w:bookmarkEnd w:id="11"/>
      <w:bookmarkEnd w:id="12"/>
    </w:p>
    <w:p w14:paraId="6A5B057D">
      <w:pPr>
        <w:pageBreakBefore w:val="0"/>
        <w:kinsoku/>
        <w:wordWrap/>
        <w:overflowPunct/>
        <w:topLinePunct w:val="0"/>
        <w:autoSpaceDE/>
        <w:autoSpaceDN/>
        <w:bidi w:val="0"/>
        <w:adjustRightInd/>
        <w:snapToGrid w:val="0"/>
        <w:spacing w:line="360" w:lineRule="auto"/>
        <w:ind w:firstLine="420" w:firstLineChars="200"/>
        <w:jc w:val="left"/>
        <w:textAlignment w:val="auto"/>
        <w:outlineLvl w:val="9"/>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、项目名称：</w:t>
      </w:r>
      <w:r>
        <w:rPr>
          <w:rFonts w:hint="eastAsia" w:ascii="宋体" w:hAnsi="宋体" w:cs="宋体"/>
          <w:sz w:val="21"/>
          <w:szCs w:val="21"/>
          <w:highlight w:val="none"/>
          <w:lang w:eastAsia="zh-CN"/>
        </w:rPr>
        <w:t>安徽霍山国投集团食堂经营管理服务承包项目</w:t>
      </w:r>
    </w:p>
    <w:p w14:paraId="31EBDA3A">
      <w:pPr>
        <w:pageBreakBefore w:val="0"/>
        <w:kinsoku/>
        <w:wordWrap/>
        <w:overflowPunct/>
        <w:topLinePunct w:val="0"/>
        <w:autoSpaceDE/>
        <w:autoSpaceDN/>
        <w:bidi w:val="0"/>
        <w:adjustRightInd/>
        <w:snapToGrid w:val="0"/>
        <w:spacing w:line="360" w:lineRule="auto"/>
        <w:ind w:firstLine="420" w:firstLineChars="200"/>
        <w:jc w:val="left"/>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项目编号：</w:t>
      </w:r>
      <w:r>
        <w:rPr>
          <w:rFonts w:hint="eastAsia" w:ascii="宋体" w:hAnsi="宋体" w:cs="宋体"/>
          <w:color w:val="auto"/>
          <w:sz w:val="21"/>
          <w:szCs w:val="21"/>
          <w:highlight w:val="none"/>
          <w:lang w:val="en-US" w:eastAsia="zh-CN"/>
        </w:rPr>
        <w:t>DBSCG-2026-098</w:t>
      </w:r>
    </w:p>
    <w:p w14:paraId="0A0B03DC">
      <w:pPr>
        <w:pageBreakBefore w:val="0"/>
        <w:kinsoku/>
        <w:wordWrap/>
        <w:overflowPunct/>
        <w:topLinePunct w:val="0"/>
        <w:autoSpaceDE/>
        <w:autoSpaceDN/>
        <w:bidi w:val="0"/>
        <w:adjustRightInd/>
        <w:snapToGrid w:val="0"/>
        <w:spacing w:line="360" w:lineRule="auto"/>
        <w:ind w:firstLine="420" w:firstLineChars="200"/>
        <w:jc w:val="left"/>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项目类型：</w:t>
      </w:r>
      <w:r>
        <w:rPr>
          <w:rFonts w:hint="eastAsia" w:ascii="宋体" w:hAnsi="宋体" w:eastAsia="宋体" w:cs="宋体"/>
          <w:sz w:val="21"/>
          <w:szCs w:val="21"/>
          <w:highlight w:val="none"/>
          <w:lang w:val="en-US" w:eastAsia="zh-CN"/>
        </w:rPr>
        <w:t>服务</w:t>
      </w:r>
      <w:r>
        <w:rPr>
          <w:rFonts w:hint="eastAsia" w:ascii="宋体" w:hAnsi="宋体" w:eastAsia="宋体" w:cs="宋体"/>
          <w:sz w:val="21"/>
          <w:szCs w:val="21"/>
          <w:highlight w:val="none"/>
        </w:rPr>
        <w:t>类</w:t>
      </w:r>
    </w:p>
    <w:p w14:paraId="568E1354">
      <w:pPr>
        <w:pageBreakBefore w:val="0"/>
        <w:kinsoku/>
        <w:wordWrap/>
        <w:overflowPunct/>
        <w:topLinePunct w:val="0"/>
        <w:autoSpaceDE/>
        <w:autoSpaceDN/>
        <w:bidi w:val="0"/>
        <w:adjustRightInd/>
        <w:snapToGrid w:val="0"/>
        <w:spacing w:line="360" w:lineRule="auto"/>
        <w:ind w:firstLine="420" w:firstLineChars="200"/>
        <w:jc w:val="left"/>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、采购方式：竞争谈判</w:t>
      </w:r>
    </w:p>
    <w:p w14:paraId="307BFA7A">
      <w:pPr>
        <w:pageBreakBefore w:val="0"/>
        <w:kinsoku/>
        <w:wordWrap/>
        <w:overflowPunct/>
        <w:topLinePunct w:val="0"/>
        <w:autoSpaceDE/>
        <w:autoSpaceDN/>
        <w:bidi w:val="0"/>
        <w:adjustRightInd/>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、预算金额：</w:t>
      </w:r>
      <w:r>
        <w:rPr>
          <w:rFonts w:hint="eastAsia" w:ascii="宋体" w:hAnsi="宋体" w:cs="宋体"/>
          <w:color w:val="auto"/>
          <w:sz w:val="21"/>
          <w:szCs w:val="21"/>
          <w:highlight w:val="none"/>
          <w:lang w:val="en-US" w:eastAsia="zh-CN"/>
        </w:rPr>
        <w:t>/</w:t>
      </w:r>
    </w:p>
    <w:p w14:paraId="17209661">
      <w:pPr>
        <w:pageBreakBefore w:val="0"/>
        <w:kinsoku/>
        <w:wordWrap/>
        <w:overflowPunct/>
        <w:topLinePunct w:val="0"/>
        <w:autoSpaceDE/>
        <w:autoSpaceDN/>
        <w:bidi w:val="0"/>
        <w:adjustRightInd/>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、最高限价：</w:t>
      </w:r>
      <w:r>
        <w:rPr>
          <w:rFonts w:hint="eastAsia" w:ascii="宋体" w:hAnsi="宋体" w:cs="宋体"/>
          <w:color w:val="auto"/>
          <w:sz w:val="21"/>
          <w:szCs w:val="21"/>
          <w:highlight w:val="none"/>
          <w:lang w:val="en-US" w:eastAsia="zh-CN"/>
        </w:rPr>
        <w:t>/</w:t>
      </w:r>
    </w:p>
    <w:p w14:paraId="519D6E29">
      <w:pPr>
        <w:pageBreakBefore w:val="0"/>
        <w:kinsoku/>
        <w:wordWrap/>
        <w:overflowPunct/>
        <w:topLinePunct w:val="0"/>
        <w:autoSpaceDE/>
        <w:autoSpaceDN/>
        <w:bidi w:val="0"/>
        <w:adjustRightInd/>
        <w:snapToGrid w:val="0"/>
        <w:spacing w:line="360" w:lineRule="auto"/>
        <w:ind w:firstLine="420" w:firstLineChars="200"/>
        <w:jc w:val="left"/>
        <w:textAlignment w:val="auto"/>
        <w:outlineLvl w:val="9"/>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7、采购需求：</w:t>
      </w:r>
      <w:r>
        <w:rPr>
          <w:rFonts w:hint="eastAsia" w:ascii="宋体" w:hAnsi="宋体" w:cs="宋体"/>
          <w:sz w:val="21"/>
          <w:szCs w:val="21"/>
          <w:highlight w:val="none"/>
          <w:lang w:val="en-US" w:eastAsia="zh-CN"/>
        </w:rPr>
        <w:t>采购人将集团食堂经营管理对外发包，选择一家餐饮企业负责经营管理，成交供应商自主经营、自负盈亏。具体详见第四章采购需求。</w:t>
      </w:r>
    </w:p>
    <w:p w14:paraId="3B45F93D">
      <w:pPr>
        <w:pageBreakBefore w:val="0"/>
        <w:kinsoku/>
        <w:wordWrap/>
        <w:overflowPunct/>
        <w:topLinePunct w:val="0"/>
        <w:autoSpaceDE/>
        <w:autoSpaceDN/>
        <w:bidi w:val="0"/>
        <w:adjustRightInd/>
        <w:snapToGrid w:val="0"/>
        <w:spacing w:line="360" w:lineRule="auto"/>
        <w:ind w:firstLine="420" w:firstLineChars="200"/>
        <w:jc w:val="left"/>
        <w:textAlignment w:val="auto"/>
        <w:outlineLvl w:val="9"/>
        <w:rPr>
          <w:rFonts w:hint="default" w:ascii="宋体" w:hAnsi="宋体" w:eastAsia="宋体" w:cs="宋体"/>
          <w:color w:val="auto"/>
          <w:sz w:val="21"/>
          <w:szCs w:val="21"/>
          <w:highlight w:val="none"/>
          <w:u w:val="single"/>
          <w:lang w:val="en-US" w:eastAsia="zh-CN"/>
        </w:rPr>
      </w:pP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服务期</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三年（本项目采用“1+1+1”模式，合同一年一签，年度考核合格后可续签下一年合同）</w:t>
      </w:r>
      <w:r>
        <w:rPr>
          <w:rFonts w:hint="eastAsia" w:ascii="宋体" w:hAnsi="宋体" w:eastAsia="宋体" w:cs="宋体"/>
          <w:color w:val="auto"/>
          <w:sz w:val="21"/>
          <w:szCs w:val="21"/>
          <w:highlight w:val="none"/>
        </w:rPr>
        <w:t>。</w:t>
      </w:r>
    </w:p>
    <w:p w14:paraId="2659A830">
      <w:pPr>
        <w:pageBreakBefore w:val="0"/>
        <w:kinsoku/>
        <w:wordWrap/>
        <w:overflowPunct/>
        <w:topLinePunct w:val="0"/>
        <w:autoSpaceDE/>
        <w:autoSpaceDN/>
        <w:bidi w:val="0"/>
        <w:adjustRightInd/>
        <w:snapToGrid w:val="0"/>
        <w:spacing w:line="360" w:lineRule="auto"/>
        <w:ind w:firstLine="420" w:firstLineChars="200"/>
        <w:jc w:val="left"/>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9</w:t>
      </w:r>
      <w:r>
        <w:rPr>
          <w:rFonts w:hint="eastAsia" w:ascii="宋体" w:hAnsi="宋体" w:eastAsia="宋体" w:cs="宋体"/>
          <w:sz w:val="21"/>
          <w:szCs w:val="21"/>
          <w:highlight w:val="none"/>
        </w:rPr>
        <w:t>、是否接受联合体：本项目不接受联合体</w:t>
      </w:r>
      <w:r>
        <w:rPr>
          <w:rFonts w:hint="eastAsia" w:ascii="宋体" w:hAnsi="宋体" w:eastAsia="宋体" w:cs="宋体"/>
          <w:sz w:val="21"/>
          <w:szCs w:val="21"/>
          <w:highlight w:val="none"/>
          <w:lang w:eastAsia="zh-CN"/>
        </w:rPr>
        <w:t>。</w:t>
      </w:r>
    </w:p>
    <w:p w14:paraId="04463801">
      <w:pPr>
        <w:pageBreakBefore w:val="0"/>
        <w:kinsoku/>
        <w:wordWrap/>
        <w:overflowPunct/>
        <w:topLinePunct w:val="0"/>
        <w:autoSpaceDE/>
        <w:autoSpaceDN/>
        <w:bidi w:val="0"/>
        <w:adjustRightInd/>
        <w:snapToGrid w:val="0"/>
        <w:spacing w:before="0" w:after="0" w:line="360" w:lineRule="auto"/>
        <w:ind w:firstLine="420" w:firstLineChars="200"/>
        <w:jc w:val="left"/>
        <w:textAlignment w:val="auto"/>
        <w:outlineLvl w:val="9"/>
        <w:rPr>
          <w:rFonts w:hint="eastAsia" w:ascii="宋体" w:hAnsi="宋体" w:eastAsia="宋体" w:cs="宋体"/>
          <w:b w:val="0"/>
          <w:bCs/>
          <w:sz w:val="21"/>
          <w:szCs w:val="21"/>
          <w:highlight w:val="none"/>
        </w:rPr>
      </w:pPr>
      <w:bookmarkStart w:id="13" w:name="_Toc28359090"/>
      <w:bookmarkStart w:id="14" w:name="_Toc35393630"/>
      <w:bookmarkStart w:id="15" w:name="_Toc28359013"/>
      <w:bookmarkStart w:id="16" w:name="_Toc12105"/>
      <w:bookmarkStart w:id="17" w:name="_Toc20998"/>
      <w:bookmarkStart w:id="18" w:name="_Toc35393799"/>
      <w:bookmarkStart w:id="19" w:name="_Toc11070"/>
      <w:r>
        <w:rPr>
          <w:rFonts w:hint="eastAsia" w:ascii="宋体" w:hAnsi="宋体" w:eastAsia="宋体" w:cs="宋体"/>
          <w:b w:val="0"/>
          <w:bCs/>
          <w:sz w:val="21"/>
          <w:szCs w:val="21"/>
          <w:highlight w:val="none"/>
        </w:rPr>
        <w:t>二、申请人的资格要求</w:t>
      </w:r>
      <w:bookmarkEnd w:id="13"/>
      <w:bookmarkEnd w:id="14"/>
      <w:bookmarkEnd w:id="15"/>
      <w:bookmarkEnd w:id="16"/>
      <w:bookmarkEnd w:id="17"/>
      <w:bookmarkEnd w:id="18"/>
      <w:bookmarkEnd w:id="19"/>
    </w:p>
    <w:p w14:paraId="0CE8FA0D">
      <w:pPr>
        <w:pageBreakBefore w:val="0"/>
        <w:kinsoku/>
        <w:wordWrap/>
        <w:overflowPunct/>
        <w:topLinePunct w:val="0"/>
        <w:autoSpaceDE/>
        <w:autoSpaceDN/>
        <w:bidi w:val="0"/>
        <w:adjustRightInd/>
        <w:snapToGrid w:val="0"/>
        <w:spacing w:line="360" w:lineRule="auto"/>
        <w:ind w:firstLine="420" w:firstLineChars="200"/>
        <w:jc w:val="left"/>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1、供应商须具有有效的营业执照；</w:t>
      </w:r>
    </w:p>
    <w:p w14:paraId="57741D3C">
      <w:pPr>
        <w:pageBreakBefore w:val="0"/>
        <w:kinsoku/>
        <w:wordWrap/>
        <w:overflowPunct/>
        <w:topLinePunct w:val="0"/>
        <w:autoSpaceDE/>
        <w:autoSpaceDN/>
        <w:bidi w:val="0"/>
        <w:adjustRightInd/>
        <w:snapToGrid w:val="0"/>
        <w:spacing w:line="360" w:lineRule="auto"/>
        <w:ind w:firstLine="420" w:firstLineChars="200"/>
        <w:jc w:val="left"/>
        <w:textAlignment w:val="auto"/>
        <w:outlineLvl w:val="9"/>
        <w:rPr>
          <w:rFonts w:hint="eastAsia" w:ascii="宋体" w:hAnsi="宋体" w:cs="宋体"/>
          <w:sz w:val="21"/>
          <w:szCs w:val="21"/>
          <w:highlight w:val="none"/>
          <w:lang w:val="en-US" w:eastAsia="zh-CN"/>
        </w:rPr>
      </w:pPr>
      <w:r>
        <w:rPr>
          <w:rFonts w:hint="eastAsia" w:ascii="宋体" w:hAnsi="宋体" w:eastAsia="宋体" w:cs="宋体"/>
          <w:sz w:val="21"/>
          <w:szCs w:val="21"/>
          <w:highlight w:val="none"/>
          <w:lang w:val="en-US" w:eastAsia="zh-CN"/>
        </w:rPr>
        <w:t>2、供应商须具有有效期内的</w:t>
      </w:r>
      <w:r>
        <w:rPr>
          <w:rFonts w:hint="eastAsia" w:ascii="宋体" w:hAnsi="宋体" w:cs="宋体"/>
          <w:sz w:val="21"/>
          <w:szCs w:val="21"/>
          <w:highlight w:val="none"/>
          <w:lang w:val="en-US" w:eastAsia="zh-CN"/>
        </w:rPr>
        <w:t>食品卫生许可证或餐饮服务许可证或食品经营许可证；</w:t>
      </w:r>
    </w:p>
    <w:p w14:paraId="6AA41B47">
      <w:pPr>
        <w:pageBreakBefore w:val="0"/>
        <w:kinsoku/>
        <w:wordWrap/>
        <w:overflowPunct/>
        <w:topLinePunct w:val="0"/>
        <w:autoSpaceDE/>
        <w:autoSpaceDN/>
        <w:bidi w:val="0"/>
        <w:adjustRightInd/>
        <w:snapToGrid w:val="0"/>
        <w:spacing w:line="360" w:lineRule="auto"/>
        <w:ind w:firstLine="420" w:firstLineChars="200"/>
        <w:jc w:val="left"/>
        <w:textAlignment w:val="auto"/>
        <w:outlineLvl w:val="9"/>
        <w:rPr>
          <w:rFonts w:hint="default"/>
          <w:lang w:val="en-US" w:eastAsia="zh-CN"/>
        </w:rPr>
      </w:pPr>
      <w:r>
        <w:rPr>
          <w:rFonts w:hint="eastAsia" w:ascii="宋体" w:hAnsi="宋体" w:cs="宋体"/>
          <w:sz w:val="21"/>
          <w:szCs w:val="21"/>
          <w:highlight w:val="none"/>
          <w:lang w:val="en-US" w:eastAsia="zh-CN"/>
        </w:rPr>
        <w:t>3、</w:t>
      </w:r>
      <w:r>
        <w:rPr>
          <w:rFonts w:hint="default" w:ascii="宋体" w:hAnsi="宋体" w:eastAsia="宋体" w:cs="宋体"/>
          <w:sz w:val="21"/>
          <w:szCs w:val="21"/>
          <w:highlight w:val="none"/>
          <w:lang w:val="en-US" w:eastAsia="zh-CN"/>
        </w:rPr>
        <w:t>供应商在</w:t>
      </w:r>
      <w:r>
        <w:rPr>
          <w:rFonts w:hint="eastAsia" w:ascii="宋体" w:hAnsi="宋体" w:cs="宋体"/>
          <w:sz w:val="21"/>
          <w:szCs w:val="21"/>
          <w:highlight w:val="none"/>
          <w:lang w:val="en-US" w:eastAsia="zh-CN"/>
        </w:rPr>
        <w:t>霍山县</w:t>
      </w:r>
      <w:r>
        <w:rPr>
          <w:rFonts w:hint="default" w:ascii="宋体" w:hAnsi="宋体" w:eastAsia="宋体" w:cs="宋体"/>
          <w:sz w:val="21"/>
          <w:szCs w:val="21"/>
          <w:highlight w:val="none"/>
          <w:lang w:val="en-US" w:eastAsia="zh-CN"/>
        </w:rPr>
        <w:t>主城区</w:t>
      </w:r>
      <w:r>
        <w:rPr>
          <w:rFonts w:hint="eastAsia" w:ascii="宋体" w:hAnsi="宋体" w:cs="宋体"/>
          <w:sz w:val="21"/>
          <w:szCs w:val="21"/>
          <w:highlight w:val="none"/>
          <w:lang w:val="en-US" w:eastAsia="zh-CN"/>
        </w:rPr>
        <w:t>（南至迎宾大道北至淮源大道东起霍山大道西至潜台路范围）</w:t>
      </w:r>
      <w:r>
        <w:rPr>
          <w:rFonts w:hint="default" w:ascii="宋体" w:hAnsi="宋体" w:eastAsia="宋体" w:cs="宋体"/>
          <w:sz w:val="21"/>
          <w:szCs w:val="21"/>
          <w:highlight w:val="none"/>
          <w:lang w:val="en-US" w:eastAsia="zh-CN"/>
        </w:rPr>
        <w:t>具有面积1000㎡及以上实体经营店；</w:t>
      </w:r>
    </w:p>
    <w:p w14:paraId="438E3EBD">
      <w:pPr>
        <w:pageBreakBefore w:val="0"/>
        <w:kinsoku/>
        <w:wordWrap/>
        <w:overflowPunct/>
        <w:topLinePunct w:val="0"/>
        <w:autoSpaceDE/>
        <w:autoSpaceDN/>
        <w:bidi w:val="0"/>
        <w:adjustRightInd/>
        <w:snapToGrid w:val="0"/>
        <w:spacing w:line="360" w:lineRule="auto"/>
        <w:ind w:firstLine="420" w:firstLineChars="200"/>
        <w:jc w:val="left"/>
        <w:textAlignment w:val="auto"/>
        <w:outlineLvl w:val="9"/>
        <w:rPr>
          <w:rFonts w:hint="eastAsia" w:ascii="宋体" w:hAnsi="宋体" w:eastAsia="宋体" w:cs="宋体"/>
          <w:sz w:val="21"/>
          <w:szCs w:val="21"/>
          <w:highlight w:val="none"/>
          <w:lang w:val="en-US" w:eastAsia="zh-CN"/>
        </w:rPr>
      </w:pPr>
      <w:bookmarkStart w:id="20" w:name="_Toc28359091"/>
      <w:bookmarkStart w:id="21" w:name="_Toc28359014"/>
      <w:r>
        <w:rPr>
          <w:rFonts w:hint="eastAsia" w:ascii="宋体" w:hAnsi="宋体" w:cs="宋体"/>
          <w:sz w:val="21"/>
          <w:szCs w:val="21"/>
          <w:highlight w:val="none"/>
          <w:lang w:val="en-US" w:eastAsia="zh-CN"/>
        </w:rPr>
        <w:t>4</w:t>
      </w:r>
      <w:r>
        <w:rPr>
          <w:rFonts w:hint="eastAsia" w:ascii="宋体" w:hAnsi="宋体" w:eastAsia="宋体" w:cs="宋体"/>
          <w:sz w:val="21"/>
          <w:szCs w:val="21"/>
          <w:highlight w:val="none"/>
          <w:lang w:val="en-US" w:eastAsia="zh-CN"/>
        </w:rPr>
        <w:t>、供应商存在以下不良信用记录情形之一的，不得推荐为中标候选供应商，不得确定为中标供应商（仅以下述渠道查询结果为准，其他网站无效）：</w:t>
      </w:r>
    </w:p>
    <w:p w14:paraId="7CA8FA8C">
      <w:pPr>
        <w:pStyle w:val="3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360" w:lineRule="auto"/>
        <w:ind w:right="0" w:firstLine="420" w:firstLineChars="200"/>
        <w:jc w:val="left"/>
        <w:textAlignment w:val="auto"/>
        <w:outlineLvl w:val="9"/>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(1）供应商被人民法院列入失信被执行人的，</w:t>
      </w:r>
    </w:p>
    <w:p w14:paraId="5CA11441">
      <w:pPr>
        <w:pStyle w:val="3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360" w:lineRule="auto"/>
        <w:ind w:right="0" w:firstLine="420" w:firstLineChars="200"/>
        <w:jc w:val="left"/>
        <w:textAlignment w:val="auto"/>
        <w:outlineLvl w:val="9"/>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信用中国官网（www.creditchina.gov.cn）；</w:t>
      </w:r>
    </w:p>
    <w:p w14:paraId="321348EF">
      <w:pPr>
        <w:pStyle w:val="3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360" w:lineRule="auto"/>
        <w:ind w:right="0" w:firstLine="420" w:firstLineChars="200"/>
        <w:jc w:val="left"/>
        <w:textAlignment w:val="auto"/>
        <w:outlineLvl w:val="9"/>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(2）供应商被工商行政管理部门列入企业经营异常名录的，</w:t>
      </w:r>
    </w:p>
    <w:p w14:paraId="0C6C9E7D">
      <w:pPr>
        <w:pStyle w:val="3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360" w:lineRule="auto"/>
        <w:ind w:right="0" w:firstLine="420" w:firstLineChars="200"/>
        <w:jc w:val="left"/>
        <w:textAlignment w:val="auto"/>
        <w:outlineLvl w:val="9"/>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国家企业信用信息公示系统网站（www.gsxt.gov.cn）；</w:t>
      </w:r>
    </w:p>
    <w:p w14:paraId="01C27EC4">
      <w:pPr>
        <w:pStyle w:val="3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360" w:lineRule="auto"/>
        <w:ind w:right="0" w:firstLine="420" w:firstLineChars="200"/>
        <w:jc w:val="left"/>
        <w:textAlignment w:val="auto"/>
        <w:outlineLvl w:val="9"/>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(3）供应商被税务部门列入重大税收违法案件当事人名单的，</w:t>
      </w:r>
    </w:p>
    <w:p w14:paraId="2A094CC6">
      <w:pPr>
        <w:pStyle w:val="3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360" w:lineRule="auto"/>
        <w:ind w:right="0" w:firstLine="420" w:firstLineChars="200"/>
        <w:jc w:val="left"/>
        <w:textAlignment w:val="auto"/>
        <w:outlineLvl w:val="9"/>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信用中国官网（www.creditchina.gov.cn）；</w:t>
      </w:r>
    </w:p>
    <w:p w14:paraId="2A73385B">
      <w:pPr>
        <w:pStyle w:val="3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360" w:lineRule="auto"/>
        <w:ind w:right="0" w:firstLine="420" w:firstLineChars="200"/>
        <w:jc w:val="left"/>
        <w:textAlignment w:val="auto"/>
        <w:outlineLvl w:val="9"/>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供应商被政府采购监管部门列入政府采购严重违法失信行为记录名单的，</w:t>
      </w:r>
    </w:p>
    <w:p w14:paraId="3BA8026B">
      <w:pPr>
        <w:pStyle w:val="3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360" w:lineRule="auto"/>
        <w:ind w:right="0" w:rightChars="0" w:firstLine="420" w:firstLineChars="200"/>
        <w:jc w:val="left"/>
        <w:textAlignment w:val="auto"/>
        <w:outlineLvl w:val="9"/>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中国政府采购官网（www.ccgp.gov.cn）。</w:t>
      </w:r>
    </w:p>
    <w:bookmarkEnd w:id="20"/>
    <w:bookmarkEnd w:id="21"/>
    <w:p w14:paraId="50C8F14B">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val="0"/>
          <w:bCs/>
          <w:sz w:val="21"/>
          <w:szCs w:val="21"/>
          <w:highlight w:val="none"/>
        </w:rPr>
      </w:pPr>
      <w:bookmarkStart w:id="22" w:name="_Toc18386"/>
      <w:r>
        <w:rPr>
          <w:rFonts w:hint="eastAsia" w:ascii="宋体" w:hAnsi="宋体" w:eastAsia="宋体" w:cs="宋体"/>
          <w:b w:val="0"/>
          <w:bCs/>
          <w:sz w:val="21"/>
          <w:szCs w:val="21"/>
          <w:highlight w:val="none"/>
        </w:rPr>
        <w:t>三、招标文件获取时间</w:t>
      </w:r>
    </w:p>
    <w:p w14:paraId="2F2CEEB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本项目勿需报名，投标供应商于</w:t>
      </w:r>
      <w:r>
        <w:rPr>
          <w:rFonts w:hint="eastAsia" w:ascii="宋体" w:hAnsi="宋体" w:cs="宋体"/>
          <w:b w:val="0"/>
          <w:bCs/>
          <w:sz w:val="21"/>
          <w:szCs w:val="21"/>
          <w:highlight w:val="none"/>
          <w:lang w:eastAsia="zh-CN"/>
        </w:rPr>
        <w:t>2026年9月</w:t>
      </w:r>
      <w:r>
        <w:rPr>
          <w:rFonts w:hint="eastAsia" w:ascii="宋体" w:hAnsi="宋体" w:cs="宋体"/>
          <w:b w:val="0"/>
          <w:bCs/>
          <w:sz w:val="21"/>
          <w:szCs w:val="21"/>
          <w:highlight w:val="none"/>
          <w:lang w:val="en-US" w:eastAsia="zh-CN"/>
        </w:rPr>
        <w:t>8日</w:t>
      </w:r>
      <w:r>
        <w:rPr>
          <w:rFonts w:hint="eastAsia" w:ascii="宋体" w:hAnsi="宋体" w:eastAsia="宋体" w:cs="宋体"/>
          <w:b w:val="0"/>
          <w:bCs/>
          <w:sz w:val="21"/>
          <w:szCs w:val="21"/>
          <w:highlight w:val="none"/>
        </w:rPr>
        <w:t>起（北京时间，下同）起自行登录安徽霍山国有资产投资控股集团有限公司（</w:t>
      </w:r>
      <w:r>
        <w:rPr>
          <w:rFonts w:hint="eastAsia" w:ascii="宋体" w:hAnsi="宋体" w:cs="宋体"/>
          <w:b w:val="0"/>
          <w:bCs/>
          <w:sz w:val="21"/>
          <w:szCs w:val="21"/>
          <w:highlight w:val="none"/>
          <w:lang w:eastAsia="zh-CN"/>
        </w:rPr>
        <w:t>http://www.ahdmig.cn/</w:t>
      </w:r>
      <w:r>
        <w:rPr>
          <w:rFonts w:hint="eastAsia" w:ascii="宋体" w:hAnsi="宋体" w:eastAsia="宋体" w:cs="宋体"/>
          <w:b w:val="0"/>
          <w:bCs/>
          <w:sz w:val="21"/>
          <w:szCs w:val="21"/>
          <w:highlight w:val="none"/>
        </w:rPr>
        <w:t>）“招标采购”栏目中下载招标文件等相关资料。请投标供应商关注安徽霍山国有资产投资控股集团有限公司（</w:t>
      </w:r>
      <w:r>
        <w:rPr>
          <w:rFonts w:hint="eastAsia" w:ascii="宋体" w:hAnsi="宋体" w:cs="宋体"/>
          <w:b w:val="0"/>
          <w:bCs/>
          <w:sz w:val="21"/>
          <w:szCs w:val="21"/>
          <w:highlight w:val="none"/>
          <w:lang w:eastAsia="zh-CN"/>
        </w:rPr>
        <w:t>http://www.ahdmig.cn/</w:t>
      </w:r>
      <w:r>
        <w:rPr>
          <w:rFonts w:hint="eastAsia" w:ascii="宋体" w:hAnsi="宋体" w:eastAsia="宋体" w:cs="宋体"/>
          <w:b w:val="0"/>
          <w:bCs/>
          <w:sz w:val="21"/>
          <w:szCs w:val="21"/>
          <w:highlight w:val="none"/>
        </w:rPr>
        <w:t>）“招标采购”“补充公告”中关于本项目的补遗、答疑等内容。</w:t>
      </w:r>
    </w:p>
    <w:p w14:paraId="44AD820C">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四、开标日期和地点</w:t>
      </w:r>
    </w:p>
    <w:p w14:paraId="11661471">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val="0"/>
          <w:bCs/>
          <w:sz w:val="21"/>
          <w:szCs w:val="21"/>
          <w:highlight w:val="none"/>
          <w:lang w:eastAsia="zh-CN"/>
        </w:rPr>
      </w:pPr>
      <w:r>
        <w:rPr>
          <w:rFonts w:hint="eastAsia" w:ascii="宋体" w:hAnsi="宋体" w:eastAsia="宋体" w:cs="宋体"/>
          <w:b w:val="0"/>
          <w:bCs/>
          <w:sz w:val="21"/>
          <w:szCs w:val="21"/>
          <w:highlight w:val="none"/>
        </w:rPr>
        <w:t>（一）开标日期：</w:t>
      </w:r>
      <w:r>
        <w:rPr>
          <w:rFonts w:hint="eastAsia" w:ascii="宋体" w:hAnsi="宋体" w:cs="宋体"/>
          <w:b w:val="0"/>
          <w:bCs/>
          <w:sz w:val="21"/>
          <w:szCs w:val="21"/>
          <w:highlight w:val="none"/>
          <w:lang w:eastAsia="zh-CN"/>
        </w:rPr>
        <w:t>2026年9月</w:t>
      </w:r>
      <w:r>
        <w:rPr>
          <w:rFonts w:hint="eastAsia" w:ascii="宋体" w:hAnsi="宋体" w:cs="宋体"/>
          <w:b w:val="0"/>
          <w:bCs/>
          <w:sz w:val="21"/>
          <w:szCs w:val="21"/>
          <w:highlight w:val="none"/>
          <w:lang w:val="en-US" w:eastAsia="zh-CN"/>
        </w:rPr>
        <w:t>14</w:t>
      </w:r>
      <w:r>
        <w:rPr>
          <w:rFonts w:hint="eastAsia" w:ascii="宋体" w:hAnsi="宋体" w:cs="宋体"/>
          <w:b w:val="0"/>
          <w:bCs/>
          <w:sz w:val="21"/>
          <w:szCs w:val="21"/>
          <w:highlight w:val="none"/>
          <w:lang w:eastAsia="zh-CN"/>
        </w:rPr>
        <w:t>日09时</w:t>
      </w:r>
      <w:r>
        <w:rPr>
          <w:rFonts w:hint="eastAsia" w:ascii="宋体" w:hAnsi="宋体" w:cs="宋体"/>
          <w:b w:val="0"/>
          <w:bCs/>
          <w:sz w:val="21"/>
          <w:szCs w:val="21"/>
          <w:highlight w:val="none"/>
          <w:lang w:val="en-US" w:eastAsia="zh-CN"/>
        </w:rPr>
        <w:t>3</w:t>
      </w:r>
      <w:r>
        <w:rPr>
          <w:rFonts w:hint="eastAsia" w:ascii="宋体" w:hAnsi="宋体" w:cs="宋体"/>
          <w:b w:val="0"/>
          <w:bCs/>
          <w:sz w:val="21"/>
          <w:szCs w:val="21"/>
          <w:highlight w:val="none"/>
          <w:lang w:eastAsia="zh-CN"/>
        </w:rPr>
        <w:t>0分</w:t>
      </w:r>
    </w:p>
    <w:p w14:paraId="68F2B2B4">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（二）开标地点：安徽大别山工程咨询有限公司开标厅201室（霍山县国投大厦）</w:t>
      </w:r>
    </w:p>
    <w:p w14:paraId="77A9143A">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五、联系方式</w:t>
      </w:r>
    </w:p>
    <w:p w14:paraId="6B02657E">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val="0"/>
          <w:bCs/>
          <w:sz w:val="21"/>
          <w:szCs w:val="21"/>
          <w:highlight w:val="none"/>
          <w:lang w:eastAsia="zh-CN"/>
        </w:rPr>
      </w:pPr>
      <w:r>
        <w:rPr>
          <w:rFonts w:hint="eastAsia" w:ascii="宋体" w:hAnsi="宋体" w:eastAsia="宋体" w:cs="宋体"/>
          <w:b w:val="0"/>
          <w:bCs/>
          <w:sz w:val="21"/>
          <w:szCs w:val="21"/>
          <w:highlight w:val="none"/>
        </w:rPr>
        <w:t>(一)项目单位：</w:t>
      </w:r>
      <w:r>
        <w:rPr>
          <w:rFonts w:hint="eastAsia" w:ascii="宋体" w:hAnsi="宋体" w:cs="宋体"/>
          <w:b w:val="0"/>
          <w:bCs/>
          <w:sz w:val="21"/>
          <w:szCs w:val="21"/>
          <w:highlight w:val="none"/>
          <w:lang w:eastAsia="zh-CN"/>
        </w:rPr>
        <w:t>安徽霍山国有资产投资控股集团有限公司</w:t>
      </w:r>
    </w:p>
    <w:p w14:paraId="47D0327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rPr>
        <w:t>地  址：</w:t>
      </w:r>
      <w:r>
        <w:rPr>
          <w:rFonts w:hint="eastAsia" w:ascii="宋体" w:hAnsi="宋体" w:cs="宋体"/>
          <w:b w:val="0"/>
          <w:bCs/>
          <w:sz w:val="21"/>
          <w:szCs w:val="21"/>
          <w:highlight w:val="none"/>
          <w:lang w:eastAsia="zh-CN"/>
        </w:rPr>
        <w:t>安徽省六安市霍山县衡山镇迎驾大道西路10号</w:t>
      </w:r>
    </w:p>
    <w:p w14:paraId="05BB811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宋体" w:hAnsi="宋体" w:eastAsia="宋体" w:cs="宋体"/>
          <w:b w:val="0"/>
          <w:bCs/>
          <w:sz w:val="21"/>
          <w:szCs w:val="21"/>
          <w:highlight w:val="none"/>
          <w:lang w:val="en-US"/>
        </w:rPr>
      </w:pPr>
      <w:r>
        <w:rPr>
          <w:rFonts w:hint="eastAsia" w:ascii="宋体" w:hAnsi="宋体" w:eastAsia="宋体" w:cs="宋体"/>
          <w:b w:val="0"/>
          <w:bCs/>
          <w:sz w:val="21"/>
          <w:szCs w:val="21"/>
          <w:highlight w:val="none"/>
        </w:rPr>
        <w:t>联系人：</w:t>
      </w:r>
      <w:r>
        <w:rPr>
          <w:rFonts w:hint="eastAsia" w:ascii="宋体" w:hAnsi="宋体" w:cs="宋体"/>
          <w:b w:val="0"/>
          <w:bCs/>
          <w:sz w:val="21"/>
          <w:szCs w:val="21"/>
          <w:highlight w:val="none"/>
          <w:lang w:val="en-US" w:eastAsia="zh-CN"/>
        </w:rPr>
        <w:t>吴主任</w:t>
      </w:r>
    </w:p>
    <w:p w14:paraId="2EADEC8C">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宋体" w:hAnsi="宋体" w:cs="宋体"/>
          <w:b w:val="0"/>
          <w:bCs/>
          <w:sz w:val="21"/>
          <w:szCs w:val="21"/>
          <w:highlight w:val="none"/>
          <w:lang w:val="en-US" w:eastAsia="zh-CN"/>
        </w:rPr>
      </w:pPr>
      <w:r>
        <w:rPr>
          <w:rFonts w:hint="eastAsia" w:ascii="宋体" w:hAnsi="宋体" w:eastAsia="宋体" w:cs="宋体"/>
          <w:b w:val="0"/>
          <w:bCs/>
          <w:sz w:val="21"/>
          <w:szCs w:val="21"/>
          <w:highlight w:val="none"/>
        </w:rPr>
        <w:t>联系方式：</w:t>
      </w:r>
      <w:r>
        <w:rPr>
          <w:rFonts w:hint="eastAsia" w:ascii="宋体" w:hAnsi="宋体" w:cs="宋体"/>
          <w:b w:val="0"/>
          <w:bCs/>
          <w:sz w:val="21"/>
          <w:szCs w:val="21"/>
          <w:highlight w:val="none"/>
          <w:lang w:val="en-US" w:eastAsia="zh-CN"/>
        </w:rPr>
        <w:t>15305645028</w:t>
      </w:r>
    </w:p>
    <w:p w14:paraId="08E89B45">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(二)代理机构：安徽大别山工程咨询有限公司</w:t>
      </w:r>
    </w:p>
    <w:p w14:paraId="1EAFDB03">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地  址：霍山县国投大厦2楼</w:t>
      </w:r>
      <w:r>
        <w:rPr>
          <w:rFonts w:hint="eastAsia" w:ascii="宋体" w:hAnsi="宋体" w:cs="宋体"/>
          <w:b w:val="0"/>
          <w:bCs/>
          <w:sz w:val="21"/>
          <w:szCs w:val="21"/>
          <w:highlight w:val="none"/>
          <w:lang w:eastAsia="zh-CN"/>
        </w:rPr>
        <w:t>206</w:t>
      </w:r>
      <w:r>
        <w:rPr>
          <w:rFonts w:hint="eastAsia" w:ascii="宋体" w:hAnsi="宋体" w:eastAsia="宋体" w:cs="宋体"/>
          <w:b w:val="0"/>
          <w:bCs/>
          <w:sz w:val="21"/>
          <w:szCs w:val="21"/>
          <w:highlight w:val="none"/>
        </w:rPr>
        <w:t>室</w:t>
      </w:r>
    </w:p>
    <w:p w14:paraId="073ED1A5">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rPr>
        <w:t>联系人：</w:t>
      </w:r>
      <w:r>
        <w:rPr>
          <w:rFonts w:hint="eastAsia" w:ascii="宋体" w:hAnsi="宋体" w:cs="宋体"/>
          <w:b w:val="0"/>
          <w:bCs/>
          <w:sz w:val="21"/>
          <w:szCs w:val="21"/>
          <w:highlight w:val="none"/>
          <w:lang w:val="en-US" w:eastAsia="zh-CN"/>
        </w:rPr>
        <w:t>孙先生</w:t>
      </w:r>
    </w:p>
    <w:p w14:paraId="03D79644">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rPr>
        <w:t>联系方式：0564-5020033，</w:t>
      </w:r>
      <w:r>
        <w:rPr>
          <w:rFonts w:hint="eastAsia" w:ascii="宋体" w:hAnsi="宋体" w:cs="宋体"/>
          <w:b w:val="0"/>
          <w:bCs/>
          <w:sz w:val="21"/>
          <w:szCs w:val="21"/>
          <w:highlight w:val="none"/>
          <w:lang w:val="en-US" w:eastAsia="zh-CN"/>
        </w:rPr>
        <w:t>18856405987</w:t>
      </w:r>
    </w:p>
    <w:p w14:paraId="1C5962DA">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（三）监督部门：安徽霍山国有资产投资控股集团有限公司纪检监察室</w:t>
      </w:r>
    </w:p>
    <w:p w14:paraId="0E5C1345">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rPr>
        <w:t>地  址：霍山县国投大厦</w:t>
      </w:r>
      <w:r>
        <w:rPr>
          <w:rFonts w:hint="eastAsia" w:ascii="宋体" w:hAnsi="宋体" w:eastAsia="宋体" w:cs="宋体"/>
          <w:b w:val="0"/>
          <w:bCs/>
          <w:sz w:val="21"/>
          <w:szCs w:val="21"/>
          <w:highlight w:val="none"/>
          <w:lang w:val="en-US" w:eastAsia="zh-CN"/>
        </w:rPr>
        <w:t>16</w:t>
      </w:r>
      <w:r>
        <w:rPr>
          <w:rFonts w:hint="eastAsia" w:ascii="宋体" w:hAnsi="宋体" w:eastAsia="宋体" w:cs="宋体"/>
          <w:b w:val="0"/>
          <w:bCs/>
          <w:sz w:val="21"/>
          <w:szCs w:val="21"/>
          <w:highlight w:val="none"/>
        </w:rPr>
        <w:t>楼</w:t>
      </w:r>
      <w:r>
        <w:rPr>
          <w:rFonts w:hint="eastAsia" w:ascii="宋体" w:hAnsi="宋体" w:cs="宋体"/>
          <w:b w:val="0"/>
          <w:bCs/>
          <w:sz w:val="21"/>
          <w:szCs w:val="21"/>
          <w:highlight w:val="none"/>
          <w:lang w:val="en-US" w:eastAsia="zh-CN"/>
        </w:rPr>
        <w:t>1607室</w:t>
      </w:r>
    </w:p>
    <w:p w14:paraId="33F9F7C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rPr>
        <w:t>联系人：张</w:t>
      </w:r>
      <w:r>
        <w:rPr>
          <w:rFonts w:hint="eastAsia" w:ascii="宋体" w:hAnsi="宋体" w:cs="宋体"/>
          <w:b w:val="0"/>
          <w:bCs/>
          <w:sz w:val="21"/>
          <w:szCs w:val="21"/>
          <w:highlight w:val="none"/>
          <w:lang w:val="en-US" w:eastAsia="zh-CN"/>
        </w:rPr>
        <w:t>先生</w:t>
      </w:r>
    </w:p>
    <w:p w14:paraId="69966B06">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电  话：0564-5020180</w:t>
      </w:r>
    </w:p>
    <w:p w14:paraId="6901DA8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六、发布媒介</w:t>
      </w:r>
    </w:p>
    <w:p w14:paraId="7B45D89E">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val="0"/>
          <w:bCs/>
          <w:sz w:val="21"/>
          <w:szCs w:val="21"/>
          <w:highlight w:val="none"/>
          <w:lang w:eastAsia="zh-CN"/>
        </w:rPr>
      </w:pPr>
      <w:r>
        <w:rPr>
          <w:rFonts w:hint="eastAsia" w:ascii="宋体" w:hAnsi="宋体" w:eastAsia="宋体" w:cs="宋体"/>
          <w:b w:val="0"/>
          <w:bCs/>
          <w:sz w:val="21"/>
          <w:szCs w:val="21"/>
          <w:highlight w:val="none"/>
        </w:rPr>
        <w:t>安徽霍山国有资产投资控股集团有限公司（</w:t>
      </w:r>
      <w:r>
        <w:rPr>
          <w:rFonts w:hint="eastAsia" w:ascii="宋体" w:hAnsi="宋体" w:cs="宋体"/>
          <w:b w:val="0"/>
          <w:bCs/>
          <w:sz w:val="21"/>
          <w:szCs w:val="21"/>
          <w:highlight w:val="none"/>
          <w:lang w:eastAsia="zh-CN"/>
        </w:rPr>
        <w:t>http://www.ahdmig.cn/</w:t>
      </w:r>
      <w:r>
        <w:rPr>
          <w:rFonts w:hint="eastAsia" w:ascii="宋体" w:hAnsi="宋体" w:eastAsia="宋体" w:cs="宋体"/>
          <w:b w:val="0"/>
          <w:bCs/>
          <w:sz w:val="21"/>
          <w:szCs w:val="21"/>
          <w:highlight w:val="none"/>
        </w:rPr>
        <w:t>）</w:t>
      </w:r>
      <w:r>
        <w:rPr>
          <w:rFonts w:hint="eastAsia" w:ascii="宋体" w:hAnsi="宋体" w:cs="宋体"/>
          <w:b w:val="0"/>
          <w:bCs/>
          <w:sz w:val="21"/>
          <w:szCs w:val="21"/>
          <w:highlight w:val="none"/>
          <w:lang w:eastAsia="zh-CN"/>
        </w:rPr>
        <w:t>。</w:t>
      </w:r>
    </w:p>
    <w:p w14:paraId="74E593CD">
      <w:pPr>
        <w:rPr>
          <w:rFonts w:hint="eastAsia" w:ascii="宋体" w:hAnsi="宋体" w:eastAsia="宋体" w:cs="宋体"/>
          <w:b w:val="0"/>
          <w:bCs/>
          <w:sz w:val="21"/>
          <w:szCs w:val="21"/>
          <w:highlight w:val="none"/>
        </w:rPr>
      </w:pPr>
    </w:p>
    <w:p w14:paraId="5BE3619F">
      <w:pPr>
        <w:rPr>
          <w:rFonts w:hint="eastAsia" w:ascii="宋体" w:hAnsi="宋体" w:eastAsia="宋体" w:cs="宋体"/>
          <w:b w:val="0"/>
          <w:bCs/>
          <w:sz w:val="21"/>
          <w:szCs w:val="21"/>
          <w:highlight w:val="none"/>
        </w:rPr>
      </w:pPr>
    </w:p>
    <w:p w14:paraId="30920529">
      <w:pPr>
        <w:rPr>
          <w:rFonts w:hint="eastAsia" w:ascii="宋体" w:hAnsi="宋体" w:eastAsia="宋体" w:cs="宋体"/>
          <w:b w:val="0"/>
          <w:bCs/>
          <w:sz w:val="21"/>
          <w:szCs w:val="21"/>
          <w:highlight w:val="none"/>
        </w:rPr>
      </w:pPr>
    </w:p>
    <w:p w14:paraId="4596230E">
      <w:pPr>
        <w:rPr>
          <w:rFonts w:hint="eastAsia" w:ascii="宋体" w:hAnsi="宋体" w:eastAsia="宋体" w:cs="宋体"/>
          <w:b w:val="0"/>
          <w:bCs/>
          <w:sz w:val="21"/>
          <w:szCs w:val="21"/>
          <w:highlight w:val="none"/>
        </w:rPr>
      </w:pPr>
    </w:p>
    <w:p w14:paraId="3A0678CE">
      <w:pPr>
        <w:keepNext w:val="0"/>
        <w:keepLines w:val="0"/>
        <w:pageBreakBefore w:val="0"/>
        <w:widowControl w:val="0"/>
        <w:kinsoku/>
        <w:wordWrap/>
        <w:overflowPunct/>
        <w:topLinePunct w:val="0"/>
        <w:autoSpaceDE/>
        <w:autoSpaceDN/>
        <w:bidi w:val="0"/>
        <w:adjustRightInd w:val="0"/>
        <w:snapToGrid w:val="0"/>
        <w:spacing w:line="360" w:lineRule="auto"/>
        <w:jc w:val="right"/>
        <w:textAlignment w:val="auto"/>
        <w:rPr>
          <w:rFonts w:hint="eastAsia" w:ascii="宋体" w:hAnsi="宋体" w:eastAsia="宋体" w:cs="宋体"/>
          <w:b w:val="0"/>
          <w:bCs/>
          <w:sz w:val="21"/>
          <w:szCs w:val="21"/>
          <w:highlight w:val="none"/>
          <w:lang w:eastAsia="zh-CN"/>
        </w:rPr>
      </w:pPr>
      <w:r>
        <w:rPr>
          <w:rFonts w:hint="eastAsia" w:ascii="宋体" w:hAnsi="宋体" w:cs="宋体"/>
          <w:b w:val="0"/>
          <w:bCs/>
          <w:sz w:val="21"/>
          <w:szCs w:val="21"/>
          <w:highlight w:val="none"/>
          <w:lang w:eastAsia="zh-CN"/>
        </w:rPr>
        <w:t>安徽霍山国有资产投资控股集团有限公司</w:t>
      </w:r>
    </w:p>
    <w:p w14:paraId="6C198FF5">
      <w:pPr>
        <w:keepNext w:val="0"/>
        <w:keepLines w:val="0"/>
        <w:pageBreakBefore w:val="0"/>
        <w:widowControl w:val="0"/>
        <w:kinsoku/>
        <w:wordWrap/>
        <w:overflowPunct/>
        <w:topLinePunct w:val="0"/>
        <w:autoSpaceDE/>
        <w:autoSpaceDN/>
        <w:bidi w:val="0"/>
        <w:adjustRightInd w:val="0"/>
        <w:snapToGrid w:val="0"/>
        <w:spacing w:line="360" w:lineRule="auto"/>
        <w:jc w:val="right"/>
        <w:textAlignment w:val="auto"/>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安徽大别山工程咨询有限公司</w:t>
      </w:r>
    </w:p>
    <w:p w14:paraId="7B64C815">
      <w:pPr>
        <w:keepNext w:val="0"/>
        <w:keepLines w:val="0"/>
        <w:pageBreakBefore w:val="0"/>
        <w:widowControl w:val="0"/>
        <w:kinsoku/>
        <w:wordWrap/>
        <w:overflowPunct/>
        <w:topLinePunct w:val="0"/>
        <w:autoSpaceDE/>
        <w:autoSpaceDN/>
        <w:bidi w:val="0"/>
        <w:adjustRightInd w:val="0"/>
        <w:snapToGrid w:val="0"/>
        <w:spacing w:line="360" w:lineRule="auto"/>
        <w:jc w:val="right"/>
        <w:textAlignment w:val="auto"/>
        <w:rPr>
          <w:rFonts w:hint="eastAsia" w:ascii="宋体" w:hAnsi="宋体" w:eastAsia="宋体" w:cs="宋体"/>
          <w:sz w:val="28"/>
          <w:szCs w:val="28"/>
          <w:highlight w:val="none"/>
        </w:rPr>
      </w:pPr>
      <w:r>
        <w:rPr>
          <w:rFonts w:hint="eastAsia" w:ascii="宋体" w:hAnsi="宋体" w:cs="宋体"/>
          <w:b w:val="0"/>
          <w:bCs/>
          <w:sz w:val="21"/>
          <w:szCs w:val="21"/>
          <w:highlight w:val="none"/>
          <w:lang w:eastAsia="zh-CN"/>
        </w:rPr>
        <w:t>2026年9月</w:t>
      </w:r>
      <w:r>
        <w:rPr>
          <w:rFonts w:hint="eastAsia" w:ascii="宋体" w:hAnsi="宋体" w:cs="宋体"/>
          <w:b w:val="0"/>
          <w:bCs/>
          <w:sz w:val="21"/>
          <w:szCs w:val="21"/>
          <w:highlight w:val="none"/>
          <w:lang w:val="en-US" w:eastAsia="zh-CN"/>
        </w:rPr>
        <w:t>8日</w:t>
      </w:r>
      <w:r>
        <w:rPr>
          <w:rFonts w:hint="eastAsia" w:ascii="宋体" w:hAnsi="宋体" w:eastAsia="宋体" w:cs="宋体"/>
          <w:sz w:val="28"/>
          <w:szCs w:val="28"/>
          <w:highlight w:val="none"/>
        </w:rPr>
        <w:br w:type="page"/>
      </w:r>
    </w:p>
    <w:p w14:paraId="42F8C6F9">
      <w:pPr>
        <w:keepNext w:val="0"/>
        <w:keepLines w:val="0"/>
        <w:pageBreakBefore w:val="0"/>
        <w:widowControl w:val="0"/>
        <w:kinsoku/>
        <w:wordWrap/>
        <w:overflowPunct/>
        <w:topLinePunct w:val="0"/>
        <w:autoSpaceDE/>
        <w:autoSpaceDN/>
        <w:bidi w:val="0"/>
        <w:adjustRightInd w:val="0"/>
        <w:snapToGrid w:val="0"/>
        <w:spacing w:line="480" w:lineRule="auto"/>
        <w:jc w:val="center"/>
        <w:textAlignment w:val="auto"/>
        <w:outlineLvl w:val="0"/>
        <w:rPr>
          <w:b/>
          <w:bCs/>
          <w:sz w:val="32"/>
          <w:szCs w:val="32"/>
          <w:highlight w:val="none"/>
        </w:rPr>
      </w:pPr>
      <w:bookmarkStart w:id="23" w:name="_Toc9928"/>
      <w:bookmarkStart w:id="24" w:name="_Toc9266"/>
      <w:bookmarkStart w:id="25" w:name="_Toc22581"/>
      <w:r>
        <w:rPr>
          <w:rFonts w:hint="eastAsia"/>
          <w:b/>
          <w:bCs/>
          <w:sz w:val="32"/>
          <w:szCs w:val="32"/>
          <w:highlight w:val="none"/>
          <w:lang w:val="en-US" w:eastAsia="zh-CN"/>
        </w:rPr>
        <w:t xml:space="preserve">第二章  </w:t>
      </w:r>
      <w:r>
        <w:rPr>
          <w:rFonts w:hint="eastAsia"/>
          <w:b/>
          <w:bCs/>
          <w:sz w:val="32"/>
          <w:szCs w:val="32"/>
          <w:highlight w:val="none"/>
        </w:rPr>
        <w:t>供应商须知</w:t>
      </w:r>
      <w:bookmarkEnd w:id="2"/>
      <w:bookmarkEnd w:id="3"/>
      <w:bookmarkEnd w:id="22"/>
      <w:bookmarkEnd w:id="23"/>
      <w:bookmarkEnd w:id="24"/>
      <w:bookmarkEnd w:id="25"/>
    </w:p>
    <w:p w14:paraId="03AC77EC">
      <w:pPr>
        <w:keepNext w:val="0"/>
        <w:keepLines w:val="0"/>
        <w:pageBreakBefore w:val="0"/>
        <w:widowControl/>
        <w:shd w:val="clear" w:color="auto" w:fill="FFFFFF"/>
        <w:kinsoku/>
        <w:wordWrap/>
        <w:overflowPunct/>
        <w:topLinePunct w:val="0"/>
        <w:autoSpaceDE/>
        <w:autoSpaceDN/>
        <w:bidi w:val="0"/>
        <w:adjustRightInd w:val="0"/>
        <w:snapToGrid w:val="0"/>
        <w:spacing w:line="480" w:lineRule="auto"/>
        <w:jc w:val="center"/>
        <w:textAlignment w:val="auto"/>
        <w:outlineLvl w:val="1"/>
        <w:rPr>
          <w:rFonts w:hint="eastAsia" w:ascii="宋体" w:hAnsi="宋体" w:eastAsia="宋体" w:cs="宋体"/>
          <w:b/>
          <w:bCs/>
          <w:color w:val="auto"/>
          <w:kern w:val="0"/>
          <w:sz w:val="30"/>
          <w:szCs w:val="30"/>
          <w:highlight w:val="none"/>
          <w:lang w:val="zh-CN"/>
        </w:rPr>
      </w:pPr>
      <w:r>
        <w:rPr>
          <w:rFonts w:hint="eastAsia" w:ascii="宋体" w:hAnsi="宋体" w:eastAsia="宋体" w:cs="宋体"/>
          <w:b/>
          <w:bCs/>
          <w:color w:val="auto"/>
          <w:kern w:val="0"/>
          <w:sz w:val="30"/>
          <w:szCs w:val="30"/>
          <w:highlight w:val="none"/>
        </w:rPr>
        <w:t>一、</w:t>
      </w:r>
      <w:r>
        <w:rPr>
          <w:rFonts w:hint="eastAsia" w:ascii="宋体" w:hAnsi="宋体" w:eastAsia="宋体" w:cs="宋体"/>
          <w:b/>
          <w:bCs/>
          <w:color w:val="auto"/>
          <w:kern w:val="0"/>
          <w:sz w:val="30"/>
          <w:szCs w:val="30"/>
          <w:highlight w:val="none"/>
          <w:lang w:val="zh-CN"/>
        </w:rPr>
        <w:t>供应商须知前附表</w:t>
      </w:r>
    </w:p>
    <w:tbl>
      <w:tblPr>
        <w:tblStyle w:val="36"/>
        <w:tblW w:w="1004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67"/>
        <w:gridCol w:w="2190"/>
        <w:gridCol w:w="7090"/>
      </w:tblGrid>
      <w:tr w14:paraId="72A23F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4"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444FBB37">
            <w:pPr>
              <w:adjustRightInd w:val="0"/>
              <w:snapToGrid w:val="0"/>
              <w:spacing w:line="360" w:lineRule="exact"/>
              <w:rPr>
                <w:rFonts w:hint="eastAsia" w:ascii="宋体" w:hAnsi="宋体" w:cs="宋体"/>
                <w:b/>
                <w:color w:val="auto"/>
                <w:szCs w:val="21"/>
                <w:highlight w:val="none"/>
              </w:rPr>
            </w:pPr>
            <w:r>
              <w:rPr>
                <w:rFonts w:hint="eastAsia" w:ascii="宋体" w:hAnsi="宋体" w:cs="宋体"/>
                <w:b/>
                <w:color w:val="auto"/>
                <w:szCs w:val="21"/>
                <w:highlight w:val="none"/>
              </w:rPr>
              <w:t>序号</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4AC8011F">
            <w:pPr>
              <w:adjustRightInd w:val="0"/>
              <w:snapToGrid w:val="0"/>
              <w:spacing w:line="36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内  容</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6E1D04AE">
            <w:pPr>
              <w:tabs>
                <w:tab w:val="left" w:pos="1180"/>
              </w:tabs>
              <w:adjustRightInd w:val="0"/>
              <w:snapToGrid w:val="0"/>
              <w:spacing w:line="36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说明与要求</w:t>
            </w:r>
          </w:p>
        </w:tc>
      </w:tr>
      <w:tr w14:paraId="07B155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73CBABC0">
            <w:pPr>
              <w:adjustRightInd w:val="0"/>
              <w:snapToGrid w:val="0"/>
              <w:spacing w:line="31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660175E8">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rPr>
              <w:t>项目名称</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6C64FF1F">
            <w:pPr>
              <w:adjustRightInd w:val="0"/>
              <w:snapToGrid w:val="0"/>
              <w:spacing w:line="310" w:lineRule="exact"/>
              <w:rPr>
                <w:rFonts w:hint="default" w:ascii="宋体" w:hAnsi="宋体" w:cs="宋体"/>
                <w:color w:val="auto"/>
                <w:szCs w:val="21"/>
                <w:highlight w:val="none"/>
                <w:lang w:val="en-US"/>
              </w:rPr>
            </w:pPr>
            <w:r>
              <w:rPr>
                <w:rFonts w:hint="eastAsia" w:ascii="宋体" w:hAnsi="宋体" w:cs="宋体"/>
                <w:color w:val="auto"/>
                <w:sz w:val="21"/>
                <w:szCs w:val="21"/>
                <w:highlight w:val="none"/>
                <w:lang w:val="en-US" w:eastAsia="zh-CN"/>
              </w:rPr>
              <w:t>安徽霍山国投集团食堂经营管理服务承包项目</w:t>
            </w:r>
          </w:p>
        </w:tc>
      </w:tr>
      <w:tr w14:paraId="60148F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2"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092C47FB">
            <w:pPr>
              <w:adjustRightInd w:val="0"/>
              <w:snapToGrid w:val="0"/>
              <w:spacing w:line="31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1E767347">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rPr>
              <w:t>项目性质</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0A389EDB">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服务类</w:t>
            </w:r>
          </w:p>
        </w:tc>
      </w:tr>
      <w:tr w14:paraId="7ACD5D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44E0CE3A">
            <w:pPr>
              <w:adjustRightInd w:val="0"/>
              <w:snapToGrid w:val="0"/>
              <w:spacing w:line="310" w:lineRule="exact"/>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1E7E7F27">
            <w:pPr>
              <w:adjustRightInd w:val="0"/>
              <w:snapToGrid w:val="0"/>
              <w:spacing w:line="310" w:lineRule="exact"/>
              <w:rPr>
                <w:rFonts w:hint="eastAsia" w:ascii="Times New Roman" w:hAnsi="Times New Roman" w:eastAsia="宋体" w:cs="Arial"/>
                <w:color w:val="auto"/>
                <w:szCs w:val="21"/>
                <w:highlight w:val="none"/>
                <w:lang w:eastAsia="zh-CN"/>
              </w:rPr>
            </w:pPr>
            <w:r>
              <w:rPr>
                <w:rFonts w:hint="eastAsia" w:ascii="Times New Roman" w:hAnsi="Times New Roman" w:eastAsia="宋体" w:cs="Arial"/>
                <w:color w:val="auto"/>
                <w:szCs w:val="21"/>
                <w:highlight w:val="none"/>
                <w:lang w:eastAsia="zh-CN"/>
              </w:rPr>
              <w:t>采购单位</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4D750A16">
            <w:pPr>
              <w:adjustRightInd w:val="0"/>
              <w:snapToGrid w:val="0"/>
              <w:spacing w:line="310" w:lineRule="exact"/>
              <w:rPr>
                <w:rFonts w:hint="eastAsia" w:ascii="宋体" w:hAnsi="宋体" w:cs="宋体"/>
                <w:color w:val="auto"/>
                <w:highlight w:val="none"/>
                <w:lang w:eastAsia="zh-CN"/>
              </w:rPr>
            </w:pPr>
            <w:r>
              <w:rPr>
                <w:rFonts w:hint="eastAsia" w:ascii="宋体" w:hAnsi="宋体" w:cs="宋体"/>
                <w:color w:val="auto"/>
                <w:highlight w:val="none"/>
                <w:lang w:eastAsia="zh-CN"/>
              </w:rPr>
              <w:t>安徽霍山国有资产投资控股集团有限公司</w:t>
            </w:r>
          </w:p>
          <w:p w14:paraId="206649A3">
            <w:pPr>
              <w:adjustRightInd w:val="0"/>
              <w:snapToGrid w:val="0"/>
              <w:spacing w:line="310" w:lineRule="exact"/>
              <w:rPr>
                <w:rFonts w:hint="default" w:ascii="宋体" w:hAnsi="宋体" w:cs="宋体"/>
                <w:color w:val="auto"/>
                <w:highlight w:val="none"/>
                <w:lang w:val="en-US" w:eastAsia="zh-CN"/>
              </w:rPr>
            </w:pPr>
            <w:r>
              <w:rPr>
                <w:rFonts w:hint="eastAsia" w:ascii="宋体" w:hAnsi="宋体" w:cs="宋体"/>
                <w:color w:val="auto"/>
                <w:highlight w:val="none"/>
                <w:lang w:eastAsia="zh-CN"/>
              </w:rPr>
              <w:t>地址：安徽省六安市霍山县衡山镇迎驾大道西路10号</w:t>
            </w:r>
          </w:p>
          <w:p w14:paraId="64617DE1">
            <w:pPr>
              <w:adjustRightInd w:val="0"/>
              <w:snapToGrid w:val="0"/>
              <w:spacing w:line="310" w:lineRule="exact"/>
              <w:rPr>
                <w:rFonts w:hint="default" w:ascii="宋体" w:hAnsi="宋体" w:cs="宋体"/>
                <w:color w:val="auto"/>
                <w:highlight w:val="none"/>
                <w:lang w:val="en-US" w:eastAsia="zh-CN"/>
              </w:rPr>
            </w:pPr>
            <w:r>
              <w:rPr>
                <w:rFonts w:hint="eastAsia" w:ascii="宋体" w:hAnsi="宋体" w:cs="宋体"/>
                <w:color w:val="auto"/>
                <w:highlight w:val="none"/>
                <w:lang w:eastAsia="zh-CN"/>
              </w:rPr>
              <w:t>联系人：</w:t>
            </w:r>
            <w:r>
              <w:rPr>
                <w:rFonts w:hint="eastAsia" w:ascii="宋体" w:hAnsi="宋体" w:cs="宋体"/>
                <w:color w:val="auto"/>
                <w:highlight w:val="none"/>
                <w:lang w:val="en-US" w:eastAsia="zh-CN"/>
              </w:rPr>
              <w:t>吴主任</w:t>
            </w:r>
          </w:p>
          <w:p w14:paraId="4A3584F4">
            <w:pPr>
              <w:adjustRightInd w:val="0"/>
              <w:snapToGrid w:val="0"/>
              <w:spacing w:line="310" w:lineRule="exact"/>
              <w:rPr>
                <w:rFonts w:hint="default" w:ascii="Times New Roman" w:hAnsi="Times New Roman" w:eastAsia="宋体" w:cs="Arial"/>
                <w:color w:val="auto"/>
                <w:szCs w:val="21"/>
                <w:highlight w:val="none"/>
                <w:lang w:val="en-US" w:eastAsia="zh-CN"/>
              </w:rPr>
            </w:pPr>
            <w:r>
              <w:rPr>
                <w:rFonts w:hint="eastAsia" w:ascii="宋体" w:hAnsi="宋体" w:cs="宋体"/>
                <w:color w:val="auto"/>
                <w:highlight w:val="none"/>
                <w:lang w:eastAsia="zh-CN"/>
              </w:rPr>
              <w:t>联系方式：</w:t>
            </w:r>
            <w:r>
              <w:rPr>
                <w:rFonts w:hint="eastAsia" w:ascii="宋体" w:hAnsi="宋体" w:cs="宋体"/>
                <w:b w:val="0"/>
                <w:bCs/>
                <w:color w:val="auto"/>
                <w:sz w:val="21"/>
                <w:szCs w:val="21"/>
                <w:highlight w:val="none"/>
                <w:lang w:val="en-US" w:eastAsia="zh-CN"/>
              </w:rPr>
              <w:t>15305645028</w:t>
            </w:r>
          </w:p>
        </w:tc>
      </w:tr>
      <w:tr w14:paraId="40F3DF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6"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0F042CB4">
            <w:pPr>
              <w:adjustRightInd w:val="0"/>
              <w:snapToGrid w:val="0"/>
              <w:spacing w:line="310" w:lineRule="exact"/>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1F25DAD4">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rPr>
              <w:t>代理机构</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7C84BF37">
            <w:pPr>
              <w:adjustRightInd w:val="0"/>
              <w:snapToGrid w:val="0"/>
              <w:spacing w:line="310" w:lineRule="exact"/>
              <w:rPr>
                <w:rFonts w:hint="default" w:ascii="宋体" w:hAnsi="宋体" w:eastAsia="宋体" w:cs="宋体"/>
                <w:color w:val="auto"/>
                <w:highlight w:val="none"/>
                <w:lang w:val="en-US" w:eastAsia="zh-CN"/>
              </w:rPr>
            </w:pPr>
            <w:r>
              <w:rPr>
                <w:rFonts w:hint="default" w:ascii="宋体" w:hAnsi="宋体" w:eastAsia="宋体" w:cs="宋体"/>
                <w:color w:val="auto"/>
                <w:highlight w:val="none"/>
                <w:lang w:val="en-US" w:eastAsia="zh-CN"/>
              </w:rPr>
              <w:t>代理机构：安徽大别山工程咨询有限公司</w:t>
            </w:r>
          </w:p>
          <w:p w14:paraId="160A6C53">
            <w:pPr>
              <w:adjustRightInd w:val="0"/>
              <w:snapToGrid w:val="0"/>
              <w:spacing w:line="310" w:lineRule="exact"/>
              <w:rPr>
                <w:rFonts w:hint="default" w:ascii="宋体" w:hAnsi="宋体" w:eastAsia="宋体" w:cs="宋体"/>
                <w:color w:val="auto"/>
                <w:highlight w:val="none"/>
                <w:lang w:val="en-US" w:eastAsia="zh-CN"/>
              </w:rPr>
            </w:pPr>
            <w:r>
              <w:rPr>
                <w:rFonts w:hint="default" w:ascii="宋体" w:hAnsi="宋体" w:eastAsia="宋体" w:cs="宋体"/>
                <w:color w:val="auto"/>
                <w:highlight w:val="none"/>
                <w:lang w:val="en-US" w:eastAsia="zh-CN"/>
              </w:rPr>
              <w:t>地址：霍山县国投大厦2楼</w:t>
            </w:r>
            <w:r>
              <w:rPr>
                <w:rFonts w:hint="eastAsia" w:ascii="宋体" w:hAnsi="宋体" w:cs="宋体"/>
                <w:color w:val="auto"/>
                <w:highlight w:val="none"/>
                <w:lang w:val="en-US" w:eastAsia="zh-CN"/>
              </w:rPr>
              <w:t>206</w:t>
            </w:r>
            <w:r>
              <w:rPr>
                <w:rFonts w:hint="default" w:ascii="宋体" w:hAnsi="宋体" w:eastAsia="宋体" w:cs="宋体"/>
                <w:color w:val="auto"/>
                <w:highlight w:val="none"/>
                <w:lang w:val="en-US" w:eastAsia="zh-CN"/>
              </w:rPr>
              <w:t>室</w:t>
            </w:r>
          </w:p>
          <w:p w14:paraId="5E02F090">
            <w:pPr>
              <w:adjustRightInd w:val="0"/>
              <w:snapToGrid w:val="0"/>
              <w:spacing w:line="310" w:lineRule="exact"/>
              <w:rPr>
                <w:rFonts w:hint="default" w:ascii="宋体" w:hAnsi="宋体" w:eastAsia="宋体" w:cs="宋体"/>
                <w:color w:val="auto"/>
                <w:highlight w:val="none"/>
                <w:lang w:val="en-US" w:eastAsia="zh-CN"/>
              </w:rPr>
            </w:pPr>
            <w:r>
              <w:rPr>
                <w:rFonts w:hint="default" w:ascii="宋体" w:hAnsi="宋体" w:eastAsia="宋体" w:cs="宋体"/>
                <w:color w:val="auto"/>
                <w:highlight w:val="none"/>
                <w:lang w:val="en-US" w:eastAsia="zh-CN"/>
              </w:rPr>
              <w:t>联系人：</w:t>
            </w:r>
            <w:r>
              <w:rPr>
                <w:rFonts w:hint="eastAsia" w:ascii="宋体" w:hAnsi="宋体" w:cs="宋体"/>
                <w:color w:val="auto"/>
                <w:highlight w:val="none"/>
                <w:lang w:val="en-US" w:eastAsia="zh-CN"/>
              </w:rPr>
              <w:t>孙先生</w:t>
            </w:r>
          </w:p>
          <w:p w14:paraId="6A65E970">
            <w:pPr>
              <w:adjustRightInd w:val="0"/>
              <w:snapToGrid w:val="0"/>
              <w:spacing w:line="310" w:lineRule="exact"/>
              <w:rPr>
                <w:rFonts w:hint="default" w:ascii="宋体" w:hAnsi="宋体" w:eastAsia="宋体" w:cs="宋体"/>
                <w:color w:val="auto"/>
                <w:highlight w:val="none"/>
                <w:lang w:val="en-US" w:eastAsia="zh-CN"/>
              </w:rPr>
            </w:pPr>
            <w:r>
              <w:rPr>
                <w:rFonts w:hint="default" w:ascii="宋体" w:hAnsi="宋体" w:eastAsia="宋体" w:cs="宋体"/>
                <w:color w:val="auto"/>
                <w:highlight w:val="none"/>
                <w:lang w:val="en-US" w:eastAsia="zh-CN"/>
              </w:rPr>
              <w:t>电话：0564-5020033，</w:t>
            </w:r>
            <w:r>
              <w:rPr>
                <w:rFonts w:hint="eastAsia" w:ascii="宋体" w:hAnsi="宋体" w:cs="宋体"/>
                <w:color w:val="auto"/>
                <w:highlight w:val="none"/>
                <w:lang w:val="en-US" w:eastAsia="zh-CN"/>
              </w:rPr>
              <w:t>18856405987</w:t>
            </w:r>
          </w:p>
        </w:tc>
      </w:tr>
      <w:tr w14:paraId="26E70F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2"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7383AB29">
            <w:pPr>
              <w:adjustRightInd w:val="0"/>
              <w:snapToGrid w:val="0"/>
              <w:spacing w:line="310" w:lineRule="exact"/>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10E71F53">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rPr>
              <w:t>采购方式</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32232D22">
            <w:pPr>
              <w:adjustRightInd w:val="0"/>
              <w:snapToGrid w:val="0"/>
              <w:spacing w:line="310" w:lineRule="exact"/>
              <w:rPr>
                <w:rFonts w:hint="eastAsia" w:ascii="宋体" w:hAnsi="宋体" w:eastAsia="宋体" w:cs="宋体"/>
                <w:color w:val="auto"/>
                <w:highlight w:val="none"/>
                <w:lang w:eastAsia="zh-CN"/>
              </w:rPr>
            </w:pPr>
            <w:r>
              <w:rPr>
                <w:rFonts w:hint="eastAsia" w:ascii="宋体" w:hAnsi="宋体" w:cs="宋体"/>
                <w:color w:val="auto"/>
                <w:highlight w:val="none"/>
                <w:lang w:eastAsia="zh-CN"/>
              </w:rPr>
              <w:t>竞争谈判</w:t>
            </w:r>
          </w:p>
        </w:tc>
      </w:tr>
      <w:tr w14:paraId="224262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1"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21D5945B">
            <w:pPr>
              <w:adjustRightInd w:val="0"/>
              <w:snapToGrid w:val="0"/>
              <w:spacing w:line="310" w:lineRule="exact"/>
              <w:jc w:val="center"/>
              <w:rPr>
                <w:rFonts w:hint="eastAsia" w:ascii="宋体" w:hAnsi="宋体" w:cs="宋体"/>
                <w:color w:val="auto"/>
                <w:szCs w:val="21"/>
                <w:highlight w:val="none"/>
              </w:rPr>
            </w:pPr>
            <w:r>
              <w:rPr>
                <w:rFonts w:hint="eastAsia" w:ascii="宋体" w:hAnsi="宋体" w:cs="宋体"/>
                <w:color w:val="auto"/>
                <w:szCs w:val="21"/>
                <w:highlight w:val="none"/>
              </w:rPr>
              <w:t>6</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41D34528">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rPr>
              <w:t>资金来源</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571F3367">
            <w:pPr>
              <w:adjustRightInd w:val="0"/>
              <w:snapToGrid w:val="0"/>
              <w:spacing w:line="310" w:lineRule="exact"/>
              <w:rPr>
                <w:rFonts w:hint="eastAsia" w:ascii="宋体" w:hAnsi="宋体" w:cs="宋体"/>
                <w:color w:val="auto"/>
                <w:highlight w:val="none"/>
              </w:rPr>
            </w:pPr>
            <w:r>
              <w:rPr>
                <w:rFonts w:hint="eastAsia" w:ascii="宋体" w:hAnsi="宋体" w:cs="宋体"/>
                <w:color w:val="auto"/>
                <w:highlight w:val="none"/>
                <w:lang w:val="en-US" w:eastAsia="zh-CN"/>
              </w:rPr>
              <w:t>自筹资金</w:t>
            </w:r>
          </w:p>
        </w:tc>
      </w:tr>
      <w:tr w14:paraId="6FE2F1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5"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5378C290">
            <w:pPr>
              <w:adjustRightInd w:val="0"/>
              <w:snapToGrid w:val="0"/>
              <w:spacing w:line="310" w:lineRule="exact"/>
              <w:jc w:val="center"/>
              <w:rPr>
                <w:rFonts w:hint="eastAsia" w:ascii="宋体" w:hAnsi="宋体" w:cs="宋体"/>
                <w:color w:val="auto"/>
                <w:szCs w:val="21"/>
                <w:highlight w:val="none"/>
              </w:rPr>
            </w:pPr>
            <w:r>
              <w:rPr>
                <w:rFonts w:hint="eastAsia" w:ascii="宋体" w:hAnsi="宋体" w:cs="宋体"/>
                <w:color w:val="auto"/>
                <w:szCs w:val="21"/>
                <w:highlight w:val="none"/>
              </w:rPr>
              <w:t>7</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22EDB780">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cs="宋体"/>
                <w:color w:val="auto"/>
                <w:szCs w:val="21"/>
                <w:highlight w:val="none"/>
              </w:rPr>
            </w:pPr>
            <w:r>
              <w:rPr>
                <w:rFonts w:hint="eastAsia" w:ascii="宋体" w:hAnsi="宋体" w:cs="宋体"/>
                <w:color w:val="auto"/>
                <w:szCs w:val="21"/>
                <w:highlight w:val="none"/>
              </w:rPr>
              <w:t>项目内容</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1B21BBFE">
            <w:pPr>
              <w:keepNext w:val="0"/>
              <w:keepLines w:val="0"/>
              <w:pageBreakBefore w:val="0"/>
              <w:widowControl w:val="0"/>
              <w:kinsoku/>
              <w:wordWrap/>
              <w:overflowPunct/>
              <w:topLinePunct w:val="0"/>
              <w:autoSpaceDE/>
              <w:autoSpaceDN/>
              <w:bidi w:val="0"/>
              <w:spacing w:line="240" w:lineRule="auto"/>
              <w:jc w:val="both"/>
              <w:textAlignment w:val="auto"/>
              <w:rPr>
                <w:rFonts w:hint="default"/>
                <w:color w:val="auto"/>
                <w:highlight w:val="none"/>
                <w:lang w:val="en-US"/>
              </w:rPr>
            </w:pPr>
            <w:r>
              <w:rPr>
                <w:rFonts w:hint="eastAsia"/>
                <w:color w:val="auto"/>
                <w:highlight w:val="none"/>
                <w:lang w:eastAsia="zh-CN"/>
              </w:rPr>
              <w:t>详见谈判公告。</w:t>
            </w:r>
          </w:p>
        </w:tc>
      </w:tr>
      <w:tr w14:paraId="077BF4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5"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6B1CE56E">
            <w:pPr>
              <w:adjustRightInd w:val="0"/>
              <w:snapToGrid w:val="0"/>
              <w:spacing w:line="310" w:lineRule="exact"/>
              <w:jc w:val="center"/>
              <w:rPr>
                <w:rFonts w:hint="eastAsia" w:ascii="宋体" w:hAnsi="宋体" w:cs="宋体"/>
                <w:color w:val="auto"/>
                <w:szCs w:val="21"/>
                <w:highlight w:val="none"/>
              </w:rPr>
            </w:pPr>
            <w:r>
              <w:rPr>
                <w:rFonts w:hint="eastAsia" w:ascii="宋体" w:hAnsi="宋体" w:cs="宋体"/>
                <w:color w:val="auto"/>
                <w:szCs w:val="21"/>
                <w:highlight w:val="none"/>
              </w:rPr>
              <w:t>8</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5BAB8594">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cs="宋体"/>
                <w:color w:val="auto"/>
                <w:szCs w:val="21"/>
                <w:highlight w:val="none"/>
              </w:rPr>
            </w:pPr>
            <w:r>
              <w:rPr>
                <w:rFonts w:hint="eastAsia" w:ascii="宋体" w:hAnsi="宋体" w:cs="宋体"/>
                <w:color w:val="auto"/>
                <w:szCs w:val="21"/>
                <w:highlight w:val="none"/>
              </w:rPr>
              <w:t>供应商资格要求</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7769F5CA">
            <w:pPr>
              <w:keepNext w:val="0"/>
              <w:keepLines w:val="0"/>
              <w:pageBreakBefore w:val="0"/>
              <w:widowControl w:val="0"/>
              <w:shd w:val="clear" w:color="auto" w:fill="FFFFFF"/>
              <w:kinsoku/>
              <w:wordWrap/>
              <w:overflowPunct/>
              <w:topLinePunct w:val="0"/>
              <w:autoSpaceDE/>
              <w:autoSpaceDN/>
              <w:bidi w:val="0"/>
              <w:adjustRightInd w:val="0"/>
              <w:snapToGrid w:val="0"/>
              <w:spacing w:line="240" w:lineRule="auto"/>
              <w:jc w:val="both"/>
              <w:textAlignment w:val="auto"/>
              <w:rPr>
                <w:rFonts w:hint="eastAsia" w:eastAsia="宋体"/>
                <w:color w:val="auto"/>
                <w:highlight w:val="none"/>
                <w:lang w:eastAsia="zh-CN"/>
              </w:rPr>
            </w:pPr>
            <w:r>
              <w:rPr>
                <w:rFonts w:hint="eastAsia"/>
                <w:color w:val="auto"/>
                <w:highlight w:val="none"/>
                <w:lang w:eastAsia="zh-CN"/>
              </w:rPr>
              <w:t>详见谈判公告。</w:t>
            </w:r>
          </w:p>
        </w:tc>
      </w:tr>
      <w:tr w14:paraId="72268D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1"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42840842">
            <w:pPr>
              <w:adjustRightInd w:val="0"/>
              <w:snapToGrid w:val="0"/>
              <w:spacing w:line="310" w:lineRule="exact"/>
              <w:jc w:val="center"/>
              <w:rPr>
                <w:rFonts w:hint="eastAsia" w:ascii="宋体" w:hAnsi="宋体" w:cs="宋体"/>
                <w:color w:val="auto"/>
                <w:szCs w:val="21"/>
                <w:highlight w:val="none"/>
              </w:rPr>
            </w:pPr>
            <w:r>
              <w:rPr>
                <w:rFonts w:hint="eastAsia" w:ascii="宋体" w:hAnsi="宋体" w:cs="宋体"/>
                <w:color w:val="auto"/>
                <w:szCs w:val="21"/>
                <w:highlight w:val="none"/>
              </w:rPr>
              <w:t>9</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5A283FFB">
            <w:pPr>
              <w:pStyle w:val="101"/>
              <w:pBdr>
                <w:bottom w:val="none" w:color="auto" w:sz="0" w:space="0"/>
              </w:pBdr>
              <w:tabs>
                <w:tab w:val="clear" w:pos="4153"/>
                <w:tab w:val="clear" w:pos="8306"/>
              </w:tabs>
              <w:adjustRightInd/>
              <w:spacing w:line="460" w:lineRule="exact"/>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询问、质疑</w:t>
            </w:r>
          </w:p>
          <w:p w14:paraId="0FD216B6">
            <w:pPr>
              <w:shd w:val="solid" w:color="FFFFFF" w:fill="auto"/>
              <w:adjustRightInd w:val="0"/>
              <w:snapToGrid w:val="0"/>
              <w:spacing w:line="310" w:lineRule="exact"/>
              <w:rPr>
                <w:rFonts w:hint="eastAsia" w:ascii="宋体" w:hAnsi="宋体" w:cs="宋体"/>
                <w:color w:val="auto"/>
                <w:szCs w:val="21"/>
                <w:highlight w:val="none"/>
              </w:rPr>
            </w:pPr>
          </w:p>
        </w:tc>
        <w:tc>
          <w:tcPr>
            <w:tcW w:w="7090" w:type="dxa"/>
            <w:tcBorders>
              <w:top w:val="single" w:color="auto" w:sz="4" w:space="0"/>
              <w:left w:val="single" w:color="auto" w:sz="4" w:space="0"/>
              <w:bottom w:val="single" w:color="auto" w:sz="4" w:space="0"/>
              <w:right w:val="single" w:color="auto" w:sz="4" w:space="0"/>
            </w:tcBorders>
            <w:noWrap w:val="0"/>
            <w:vAlign w:val="center"/>
          </w:tcPr>
          <w:p w14:paraId="7CE5FFCB">
            <w:pPr>
              <w:widowControl/>
              <w:shd w:val="clear" w:color="auto" w:fill="FFFFFF"/>
              <w:adjustRightInd w:val="0"/>
              <w:snapToGrid w:val="0"/>
              <w:spacing w:line="36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供应商如果对</w:t>
            </w:r>
            <w:r>
              <w:rPr>
                <w:rFonts w:hint="eastAsia" w:ascii="宋体" w:hAnsi="宋体" w:eastAsia="宋体" w:cs="宋体"/>
                <w:color w:val="auto"/>
                <w:highlight w:val="none"/>
                <w:lang w:val="en-US" w:eastAsia="zh-CN"/>
              </w:rPr>
              <w:t>招标</w:t>
            </w:r>
            <w:r>
              <w:rPr>
                <w:rFonts w:hint="eastAsia" w:ascii="宋体" w:hAnsi="宋体" w:eastAsia="宋体" w:cs="宋体"/>
                <w:color w:val="auto"/>
                <w:highlight w:val="none"/>
              </w:rPr>
              <w:t>文件存在误解或理解不清，可以按以下方式提出询问：</w:t>
            </w:r>
            <w:r>
              <w:rPr>
                <w:rFonts w:hint="eastAsia" w:ascii="宋体" w:hAnsi="宋体" w:eastAsia="宋体" w:cs="宋体"/>
                <w:color w:val="auto"/>
                <w:highlight w:val="none"/>
                <w:lang w:eastAsia="zh-CN"/>
              </w:rPr>
              <w:t>谈判截止日期前</w:t>
            </w:r>
            <w:r>
              <w:rPr>
                <w:rFonts w:hint="eastAsia" w:ascii="宋体" w:hAnsi="宋体" w:eastAsia="宋体" w:cs="宋体"/>
                <w:color w:val="auto"/>
                <w:highlight w:val="none"/>
                <w:lang w:val="en-US" w:eastAsia="zh-CN"/>
              </w:rPr>
              <w:t>2</w:t>
            </w:r>
            <w:r>
              <w:rPr>
                <w:rFonts w:hint="eastAsia" w:ascii="宋体" w:hAnsi="宋体" w:cs="宋体"/>
                <w:color w:val="auto"/>
                <w:highlight w:val="none"/>
                <w:lang w:val="en-US" w:eastAsia="zh-CN"/>
              </w:rPr>
              <w:t>日</w:t>
            </w:r>
            <w:r>
              <w:rPr>
                <w:rFonts w:hint="eastAsia" w:ascii="宋体" w:hAnsi="宋体" w:eastAsia="宋体" w:cs="宋体"/>
                <w:color w:val="auto"/>
                <w:highlight w:val="none"/>
              </w:rPr>
              <w:t>前提交电子版发至</w:t>
            </w:r>
            <w:r>
              <w:rPr>
                <w:rFonts w:hint="eastAsia" w:ascii="宋体" w:hAnsi="宋体" w:cs="宋体"/>
                <w:color w:val="auto"/>
                <w:highlight w:val="none"/>
                <w:lang w:val="en-US" w:eastAsia="zh-CN"/>
              </w:rPr>
              <w:t>2628963924</w:t>
            </w:r>
            <w:r>
              <w:rPr>
                <w:rFonts w:hint="eastAsia" w:ascii="宋体" w:hAnsi="宋体" w:eastAsia="宋体" w:cs="宋体"/>
                <w:color w:val="auto"/>
                <w:highlight w:val="none"/>
              </w:rPr>
              <w:t>@qq.com。逾期不予受理（不得署名）。</w:t>
            </w:r>
          </w:p>
          <w:p w14:paraId="65DC860B">
            <w:pPr>
              <w:widowControl/>
              <w:shd w:val="clear" w:color="auto" w:fill="FFFFFF"/>
              <w:adjustRightInd w:val="0"/>
              <w:snapToGrid w:val="0"/>
              <w:spacing w:line="36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答复：</w:t>
            </w:r>
            <w:r>
              <w:rPr>
                <w:rFonts w:hint="eastAsia" w:ascii="宋体" w:hAnsi="宋体" w:eastAsia="宋体" w:cs="宋体"/>
                <w:color w:val="auto"/>
                <w:highlight w:val="none"/>
                <w:lang w:eastAsia="zh-CN"/>
              </w:rPr>
              <w:t>谈判截止日期前</w:t>
            </w:r>
            <w:r>
              <w:rPr>
                <w:rFonts w:hint="eastAsia" w:ascii="宋体" w:hAnsi="宋体" w:eastAsia="宋体" w:cs="宋体"/>
                <w:color w:val="auto"/>
                <w:highlight w:val="none"/>
                <w:lang w:val="en-US" w:eastAsia="zh-CN"/>
              </w:rPr>
              <w:t>1</w:t>
            </w:r>
            <w:r>
              <w:rPr>
                <w:rFonts w:hint="eastAsia" w:ascii="宋体" w:hAnsi="宋体" w:cs="宋体"/>
                <w:color w:val="auto"/>
                <w:highlight w:val="none"/>
                <w:lang w:val="en-US" w:eastAsia="zh-CN"/>
              </w:rPr>
              <w:t>日</w:t>
            </w:r>
            <w:r>
              <w:rPr>
                <w:rFonts w:hint="eastAsia" w:ascii="宋体" w:hAnsi="宋体" w:eastAsia="宋体" w:cs="宋体"/>
                <w:color w:val="auto"/>
                <w:highlight w:val="none"/>
              </w:rPr>
              <w:t>前于“</w:t>
            </w:r>
            <w:r>
              <w:rPr>
                <w:rFonts w:hint="eastAsia" w:ascii="宋体" w:hAnsi="宋体" w:eastAsia="宋体" w:cs="宋体"/>
                <w:color w:val="auto"/>
                <w:highlight w:val="none"/>
                <w:lang w:eastAsia="zh-CN"/>
              </w:rPr>
              <w:t>安徽霍山国有资产投资控股集团有限公司</w:t>
            </w:r>
            <w:r>
              <w:rPr>
                <w:rFonts w:hint="eastAsia" w:ascii="宋体" w:hAnsi="宋体" w:eastAsia="宋体" w:cs="宋体"/>
                <w:color w:val="auto"/>
                <w:highlight w:val="none"/>
              </w:rPr>
              <w:t>（</w:t>
            </w:r>
            <w:r>
              <w:rPr>
                <w:rFonts w:hint="eastAsia" w:ascii="宋体" w:hAnsi="宋体" w:cs="宋体"/>
                <w:color w:val="auto"/>
                <w:highlight w:val="none"/>
                <w:lang w:eastAsia="zh-CN"/>
              </w:rPr>
              <w:t>http://www.ahdmig.cn/</w:t>
            </w:r>
            <w:r>
              <w:rPr>
                <w:rFonts w:hint="eastAsia" w:ascii="宋体" w:hAnsi="宋体" w:eastAsia="宋体" w:cs="宋体"/>
                <w:color w:val="auto"/>
                <w:highlight w:val="none"/>
              </w:rPr>
              <w:t>）”发布，</w:t>
            </w:r>
            <w:r>
              <w:rPr>
                <w:rFonts w:hint="eastAsia" w:ascii="宋体" w:hAnsi="宋体" w:eastAsia="宋体" w:cs="宋体"/>
                <w:color w:val="auto"/>
                <w:highlight w:val="none"/>
                <w:lang w:val="en-US" w:eastAsia="zh-CN"/>
              </w:rPr>
              <w:t>采购</w:t>
            </w:r>
            <w:r>
              <w:rPr>
                <w:rFonts w:hint="eastAsia" w:ascii="宋体" w:hAnsi="宋体" w:eastAsia="宋体" w:cs="宋体"/>
                <w:color w:val="auto"/>
                <w:highlight w:val="none"/>
              </w:rPr>
              <w:t>人不再另行通知，该答复内容为招标文件的组成部分，对供应商具有同样约束力效力。</w:t>
            </w:r>
          </w:p>
          <w:p w14:paraId="1BF1C754">
            <w:pPr>
              <w:widowControl/>
              <w:shd w:val="clear" w:color="auto" w:fill="FFFFFF"/>
              <w:adjustRightInd w:val="0"/>
              <w:snapToGrid w:val="0"/>
              <w:spacing w:line="360" w:lineRule="exact"/>
              <w:ind w:firstLine="420" w:firstLineChars="200"/>
              <w:jc w:val="left"/>
              <w:rPr>
                <w:rFonts w:hint="eastAsia" w:ascii="宋体" w:hAnsi="宋体" w:cs="宋体"/>
                <w:color w:val="auto"/>
                <w:highlight w:val="none"/>
              </w:rPr>
            </w:pPr>
            <w:r>
              <w:rPr>
                <w:rFonts w:hint="eastAsia" w:ascii="宋体" w:hAnsi="宋体" w:cs="宋体"/>
                <w:color w:val="auto"/>
                <w:highlight w:val="none"/>
              </w:rPr>
              <w:t>供应商如果认为自己的权益受到损害，请按招标文件质疑与投诉规定，提出质疑。供应商在递交质疑函纸质版的同时，必须将与纸质版质疑函一致的电子版（</w:t>
            </w:r>
            <w:r>
              <w:rPr>
                <w:rFonts w:hint="eastAsia" w:ascii="宋体" w:hAnsi="宋体" w:eastAsia="宋体" w:cs="宋体"/>
                <w:color w:val="auto"/>
                <w:highlight w:val="none"/>
              </w:rPr>
              <w:t xml:space="preserve">为 word 或 </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"mailto:wps,可编辑模式）发送至729311153@qq.com邮箱。质疑须在开标2020年"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wps,可编辑模式）发送</w:t>
            </w:r>
            <w:r>
              <w:rPr>
                <w:rFonts w:hint="eastAsia" w:ascii="宋体" w:hAnsi="宋体" w:cs="宋体"/>
                <w:color w:val="auto"/>
                <w:highlight w:val="none"/>
                <w:lang w:val="en-US" w:eastAsia="zh-CN"/>
              </w:rPr>
              <w:t>2628963924</w:t>
            </w:r>
            <w:r>
              <w:rPr>
                <w:rFonts w:hint="eastAsia" w:ascii="宋体" w:hAnsi="宋体" w:eastAsia="宋体" w:cs="宋体"/>
                <w:color w:val="auto"/>
                <w:highlight w:val="none"/>
              </w:rPr>
              <w:t>@qq.com邮箱。质疑须在</w:t>
            </w:r>
            <w:r>
              <w:rPr>
                <w:rFonts w:hint="eastAsia" w:ascii="宋体" w:hAnsi="宋体" w:eastAsia="宋体" w:cs="宋体"/>
                <w:color w:val="auto"/>
                <w:highlight w:val="none"/>
                <w:lang w:eastAsia="zh-CN"/>
              </w:rPr>
              <w:t>谈判</w:t>
            </w:r>
            <w:r>
              <w:rPr>
                <w:rFonts w:hint="eastAsia" w:ascii="宋体" w:hAnsi="宋体" w:eastAsia="宋体" w:cs="宋体"/>
                <w:color w:val="auto"/>
                <w:highlight w:val="none"/>
              </w:rPr>
              <w:t>截止日期</w:t>
            </w:r>
            <w:r>
              <w:rPr>
                <w:rFonts w:hint="eastAsia" w:ascii="宋体" w:hAnsi="宋体" w:eastAsia="宋体" w:cs="宋体"/>
                <w:color w:val="auto"/>
                <w:highlight w:val="none"/>
                <w:lang w:val="en-US" w:eastAsia="zh-CN"/>
              </w:rPr>
              <w:t>2日</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t>前提</w:t>
            </w:r>
            <w:r>
              <w:rPr>
                <w:rFonts w:hint="eastAsia" w:ascii="宋体" w:hAnsi="宋体" w:cs="宋体"/>
                <w:color w:val="auto"/>
                <w:highlight w:val="none"/>
              </w:rPr>
              <w:t>出，否则不予受理。</w:t>
            </w:r>
          </w:p>
          <w:p w14:paraId="177F1F7B">
            <w:pPr>
              <w:rPr>
                <w:rFonts w:hint="eastAsia" w:ascii="宋体" w:hAnsi="宋体" w:eastAsia="宋体" w:cs="宋体"/>
                <w:color w:val="auto"/>
                <w:highlight w:val="none"/>
                <w:lang w:eastAsia="zh-CN"/>
              </w:rPr>
            </w:pPr>
            <w:r>
              <w:rPr>
                <w:rFonts w:hint="eastAsia" w:ascii="宋体" w:hAnsi="宋体" w:cs="宋体"/>
                <w:color w:val="auto"/>
                <w:highlight w:val="none"/>
              </w:rPr>
              <w:t>质疑函应当包括下列主要内容：</w:t>
            </w:r>
          </w:p>
          <w:p w14:paraId="620B313B">
            <w:pPr>
              <w:rPr>
                <w:rFonts w:hint="eastAsia" w:ascii="宋体" w:hAnsi="宋体" w:eastAsia="宋体" w:cs="宋体"/>
                <w:color w:val="auto"/>
                <w:highlight w:val="none"/>
                <w:lang w:eastAsia="zh-CN"/>
              </w:rPr>
            </w:pPr>
            <w:r>
              <w:rPr>
                <w:rFonts w:hint="eastAsia" w:ascii="宋体" w:hAnsi="宋体" w:cs="宋体"/>
                <w:color w:val="auto"/>
                <w:highlight w:val="none"/>
              </w:rPr>
              <w:t>1.质疑人的名称、地址、联系电话(固定电话及手机)；</w:t>
            </w:r>
          </w:p>
          <w:p w14:paraId="71DAD45E">
            <w:pPr>
              <w:rPr>
                <w:rFonts w:hint="eastAsia" w:ascii="宋体" w:hAnsi="宋体" w:eastAsia="宋体" w:cs="宋体"/>
                <w:color w:val="auto"/>
                <w:highlight w:val="none"/>
                <w:lang w:eastAsia="zh-CN"/>
              </w:rPr>
            </w:pPr>
            <w:r>
              <w:rPr>
                <w:rFonts w:hint="eastAsia" w:ascii="宋体" w:hAnsi="宋体" w:cs="宋体"/>
                <w:color w:val="auto"/>
                <w:highlight w:val="none"/>
              </w:rPr>
              <w:t>2.项目名称、项目编号及标段号或分包号；</w:t>
            </w:r>
          </w:p>
          <w:p w14:paraId="58374FE2">
            <w:pPr>
              <w:rPr>
                <w:rFonts w:hint="eastAsia" w:ascii="宋体" w:hAnsi="宋体" w:eastAsia="宋体" w:cs="宋体"/>
                <w:color w:val="auto"/>
                <w:highlight w:val="none"/>
                <w:lang w:eastAsia="zh-CN"/>
              </w:rPr>
            </w:pPr>
            <w:r>
              <w:rPr>
                <w:rFonts w:hint="eastAsia" w:ascii="宋体" w:hAnsi="宋体" w:cs="宋体"/>
                <w:color w:val="auto"/>
                <w:highlight w:val="none"/>
              </w:rPr>
              <w:t>3.具体的质疑事项、原因、基本事实及相关证明材料；</w:t>
            </w:r>
          </w:p>
          <w:p w14:paraId="491FE3BE">
            <w:pPr>
              <w:rPr>
                <w:rFonts w:hint="eastAsia" w:ascii="宋体" w:hAnsi="宋体" w:eastAsia="宋体" w:cs="宋体"/>
                <w:color w:val="auto"/>
                <w:highlight w:val="none"/>
                <w:lang w:eastAsia="zh-CN"/>
              </w:rPr>
            </w:pPr>
            <w:r>
              <w:rPr>
                <w:rFonts w:hint="eastAsia" w:ascii="宋体" w:hAnsi="宋体" w:cs="宋体"/>
                <w:color w:val="auto"/>
                <w:highlight w:val="none"/>
              </w:rPr>
              <w:t>4.本次质疑的法人授权书（后附法人、被授权人身份证扫描件）；</w:t>
            </w:r>
          </w:p>
          <w:p w14:paraId="17180132">
            <w:pPr>
              <w:rPr>
                <w:rFonts w:hint="eastAsia" w:eastAsia="宋体"/>
                <w:color w:val="auto"/>
                <w:highlight w:val="none"/>
                <w:lang w:eastAsia="zh-CN"/>
              </w:rPr>
            </w:pPr>
            <w:r>
              <w:rPr>
                <w:rFonts w:hint="eastAsia" w:ascii="宋体" w:hAnsi="宋体" w:cs="宋体"/>
                <w:color w:val="auto"/>
                <w:highlight w:val="none"/>
              </w:rPr>
              <w:t>5.提起质疑的日期。</w:t>
            </w:r>
          </w:p>
        </w:tc>
      </w:tr>
      <w:tr w14:paraId="28955D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7"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69C4BB5B">
            <w:pPr>
              <w:adjustRightInd w:val="0"/>
              <w:snapToGrid w:val="0"/>
              <w:spacing w:line="310" w:lineRule="exact"/>
              <w:jc w:val="center"/>
              <w:rPr>
                <w:rFonts w:hint="eastAsia" w:ascii="宋体" w:hAnsi="宋体" w:cs="宋体"/>
                <w:color w:val="auto"/>
                <w:szCs w:val="21"/>
                <w:highlight w:val="none"/>
              </w:rPr>
            </w:pPr>
            <w:r>
              <w:rPr>
                <w:rFonts w:hint="eastAsia" w:ascii="宋体" w:hAnsi="宋体" w:cs="宋体"/>
                <w:color w:val="auto"/>
                <w:szCs w:val="21"/>
                <w:highlight w:val="none"/>
              </w:rPr>
              <w:t>10</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4D4E85B8">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rPr>
              <w:t>资格审查方式</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6AEF7F13">
            <w:pPr>
              <w:rPr>
                <w:rFonts w:hint="eastAsia"/>
                <w:color w:val="auto"/>
                <w:highlight w:val="none"/>
              </w:rPr>
            </w:pPr>
            <w:r>
              <w:rPr>
                <w:rFonts w:hint="eastAsia"/>
                <w:color w:val="auto"/>
                <w:highlight w:val="none"/>
              </w:rPr>
              <w:sym w:font="Wingdings 2" w:char="00A3"/>
            </w:r>
            <w:r>
              <w:rPr>
                <w:rFonts w:hint="eastAsia"/>
                <w:color w:val="auto"/>
                <w:highlight w:val="none"/>
              </w:rPr>
              <w:t>资格预审 √资格后审</w:t>
            </w:r>
          </w:p>
        </w:tc>
      </w:tr>
      <w:tr w14:paraId="1DE8FD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5D48450B">
            <w:pPr>
              <w:adjustRightInd w:val="0"/>
              <w:snapToGrid w:val="0"/>
              <w:spacing w:line="310" w:lineRule="exact"/>
              <w:jc w:val="center"/>
              <w:rPr>
                <w:rFonts w:hint="eastAsia" w:ascii="宋体" w:hAnsi="宋体" w:cs="宋体"/>
                <w:color w:val="auto"/>
                <w:szCs w:val="21"/>
                <w:highlight w:val="none"/>
              </w:rPr>
            </w:pPr>
            <w:r>
              <w:rPr>
                <w:rFonts w:hint="eastAsia" w:ascii="宋体" w:hAnsi="宋体" w:cs="宋体"/>
                <w:color w:val="auto"/>
                <w:szCs w:val="21"/>
                <w:highlight w:val="none"/>
              </w:rPr>
              <w:t>11</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7C2A3C49">
            <w:pPr>
              <w:adjustRightInd w:val="0"/>
              <w:snapToGrid w:val="0"/>
              <w:spacing w:line="310" w:lineRule="exact"/>
              <w:rPr>
                <w:rFonts w:hint="eastAsia" w:ascii="宋体" w:hAnsi="宋体" w:cs="宋体"/>
                <w:color w:val="auto"/>
                <w:szCs w:val="21"/>
                <w:highlight w:val="none"/>
              </w:rPr>
            </w:pPr>
            <w:r>
              <w:rPr>
                <w:rFonts w:hint="eastAsia"/>
                <w:color w:val="auto"/>
                <w:highlight w:val="none"/>
              </w:rPr>
              <w:t>是否接受联合体</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0C5705B6">
            <w:pPr>
              <w:rPr>
                <w:rFonts w:hint="eastAsia"/>
                <w:color w:val="auto"/>
                <w:highlight w:val="none"/>
              </w:rPr>
            </w:pPr>
            <w:r>
              <w:rPr>
                <w:rFonts w:hint="eastAsia"/>
                <w:color w:val="auto"/>
                <w:highlight w:val="none"/>
              </w:rPr>
              <w:sym w:font="Wingdings 2" w:char="00A3"/>
            </w:r>
            <w:r>
              <w:rPr>
                <w:rFonts w:hint="eastAsia"/>
                <w:color w:val="auto"/>
                <w:highlight w:val="none"/>
              </w:rPr>
              <w:t xml:space="preserve">接受    </w:t>
            </w:r>
            <w:r>
              <w:rPr>
                <w:rFonts w:hint="eastAsia"/>
                <w:color w:val="auto"/>
                <w:highlight w:val="none"/>
              </w:rPr>
              <w:sym w:font="Wingdings 2" w:char="0052"/>
            </w:r>
            <w:r>
              <w:rPr>
                <w:rFonts w:hint="eastAsia"/>
                <w:color w:val="auto"/>
                <w:highlight w:val="none"/>
              </w:rPr>
              <w:t>不接受</w:t>
            </w:r>
          </w:p>
        </w:tc>
      </w:tr>
      <w:tr w14:paraId="4B6D3C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3"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78391AD7">
            <w:pPr>
              <w:adjustRightInd w:val="0"/>
              <w:snapToGrid w:val="0"/>
              <w:spacing w:line="310" w:lineRule="exact"/>
              <w:jc w:val="center"/>
              <w:rPr>
                <w:rFonts w:hint="eastAsia" w:ascii="宋体" w:hAnsi="宋体" w:cs="宋体"/>
                <w:color w:val="auto"/>
                <w:szCs w:val="21"/>
                <w:highlight w:val="none"/>
              </w:rPr>
            </w:pPr>
            <w:r>
              <w:rPr>
                <w:rFonts w:hint="eastAsia" w:ascii="宋体" w:hAnsi="宋体" w:cs="宋体"/>
                <w:color w:val="auto"/>
                <w:szCs w:val="21"/>
                <w:highlight w:val="none"/>
              </w:rPr>
              <w:t>12</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1969AE41">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lang w:eastAsia="zh-CN"/>
              </w:rPr>
              <w:t>谈判</w:t>
            </w:r>
            <w:r>
              <w:rPr>
                <w:rFonts w:hint="eastAsia" w:ascii="宋体" w:hAnsi="宋体" w:cs="宋体"/>
                <w:color w:val="auto"/>
                <w:szCs w:val="21"/>
                <w:highlight w:val="none"/>
              </w:rPr>
              <w:t>预备会</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550331AC">
            <w:pPr>
              <w:rPr>
                <w:rFonts w:hint="eastAsia"/>
                <w:color w:val="auto"/>
                <w:highlight w:val="none"/>
              </w:rPr>
            </w:pPr>
            <w:r>
              <w:rPr>
                <w:rFonts w:hint="eastAsia"/>
                <w:color w:val="auto"/>
                <w:highlight w:val="none"/>
              </w:rPr>
              <w:t>√不召开  □召开</w:t>
            </w:r>
          </w:p>
        </w:tc>
      </w:tr>
      <w:tr w14:paraId="178BE8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3"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5513EB42">
            <w:pPr>
              <w:adjustRightInd w:val="0"/>
              <w:snapToGrid w:val="0"/>
              <w:spacing w:line="310" w:lineRule="exact"/>
              <w:jc w:val="center"/>
              <w:rPr>
                <w:rFonts w:hint="eastAsia" w:ascii="宋体" w:hAnsi="宋体" w:cs="宋体"/>
                <w:color w:val="auto"/>
                <w:szCs w:val="21"/>
                <w:highlight w:val="none"/>
              </w:rPr>
            </w:pPr>
            <w:r>
              <w:rPr>
                <w:rFonts w:hint="eastAsia" w:ascii="宋体" w:hAnsi="宋体" w:cs="宋体"/>
                <w:color w:val="auto"/>
                <w:szCs w:val="21"/>
                <w:highlight w:val="none"/>
              </w:rPr>
              <w:t>13</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730E5894">
            <w:pPr>
              <w:adjustRightInd w:val="0"/>
              <w:snapToGrid w:val="0"/>
              <w:spacing w:line="320" w:lineRule="exact"/>
              <w:rPr>
                <w:rFonts w:hint="eastAsia" w:ascii="宋体" w:hAnsi="宋体" w:cs="宋体"/>
                <w:color w:val="auto"/>
                <w:szCs w:val="21"/>
                <w:highlight w:val="none"/>
              </w:rPr>
            </w:pPr>
            <w:r>
              <w:rPr>
                <w:rFonts w:hint="eastAsia" w:ascii="宋体" w:hAnsi="宋体" w:cs="宋体"/>
                <w:color w:val="auto"/>
                <w:szCs w:val="21"/>
                <w:highlight w:val="none"/>
              </w:rPr>
              <w:t>偏离</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043A4E77">
            <w:pPr>
              <w:rPr>
                <w:rFonts w:hint="eastAsia"/>
                <w:color w:val="auto"/>
                <w:highlight w:val="none"/>
              </w:rPr>
            </w:pPr>
            <w:r>
              <w:rPr>
                <w:rFonts w:hint="eastAsia"/>
                <w:color w:val="auto"/>
                <w:highlight w:val="none"/>
              </w:rPr>
              <w:t>√不允许负偏离    □允许</w:t>
            </w:r>
          </w:p>
        </w:tc>
      </w:tr>
      <w:tr w14:paraId="5276EF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3"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4B616E44">
            <w:pPr>
              <w:adjustRightInd w:val="0"/>
              <w:snapToGrid w:val="0"/>
              <w:spacing w:line="31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4</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360AE9DF">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rPr>
              <w:t>分包</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40A0C84E">
            <w:pPr>
              <w:rPr>
                <w:rFonts w:hint="eastAsia"/>
                <w:color w:val="auto"/>
                <w:highlight w:val="none"/>
              </w:rPr>
            </w:pPr>
            <w:r>
              <w:rPr>
                <w:rFonts w:hint="eastAsia"/>
                <w:color w:val="auto"/>
                <w:highlight w:val="none"/>
              </w:rPr>
              <w:t>√不允许        □允许</w:t>
            </w:r>
          </w:p>
        </w:tc>
      </w:tr>
      <w:tr w14:paraId="6234F4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9"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14C6F157">
            <w:pPr>
              <w:adjustRightInd w:val="0"/>
              <w:snapToGrid w:val="0"/>
              <w:spacing w:line="31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5</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10AF7366">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lang w:eastAsia="zh-CN"/>
              </w:rPr>
              <w:t>谈判</w:t>
            </w:r>
            <w:r>
              <w:rPr>
                <w:rFonts w:hint="eastAsia" w:ascii="宋体" w:hAnsi="宋体" w:cs="宋体"/>
                <w:color w:val="auto"/>
                <w:szCs w:val="21"/>
                <w:highlight w:val="none"/>
              </w:rPr>
              <w:t>有效期</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2270ED14">
            <w:pPr>
              <w:rPr>
                <w:rFonts w:hint="eastAsia"/>
                <w:color w:val="auto"/>
                <w:highlight w:val="none"/>
              </w:rPr>
            </w:pPr>
            <w:r>
              <w:rPr>
                <w:rFonts w:hint="eastAsia"/>
                <w:color w:val="auto"/>
                <w:highlight w:val="none"/>
              </w:rPr>
              <w:t>60日历天（从提交响应文件截止之日算起）</w:t>
            </w:r>
          </w:p>
        </w:tc>
      </w:tr>
      <w:tr w14:paraId="28C7A0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53AF99A8">
            <w:pPr>
              <w:adjustRightInd w:val="0"/>
              <w:snapToGrid w:val="0"/>
              <w:spacing w:line="31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6</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43F685C8">
            <w:pPr>
              <w:adjustRightInd w:val="0"/>
              <w:snapToGrid w:val="0"/>
              <w:spacing w:line="310" w:lineRule="exact"/>
              <w:jc w:val="left"/>
              <w:rPr>
                <w:rFonts w:hint="eastAsia" w:ascii="宋体" w:hAnsi="宋体" w:cs="宋体"/>
                <w:color w:val="auto"/>
                <w:kern w:val="0"/>
                <w:szCs w:val="21"/>
                <w:highlight w:val="none"/>
                <w:lang w:val="zh-CN"/>
              </w:rPr>
            </w:pPr>
            <w:r>
              <w:rPr>
                <w:rFonts w:hint="eastAsia" w:ascii="宋体" w:hAnsi="宋体" w:cs="宋体"/>
                <w:color w:val="auto"/>
                <w:kern w:val="0"/>
                <w:szCs w:val="21"/>
                <w:highlight w:val="none"/>
                <w:lang w:val="zh-CN"/>
              </w:rPr>
              <w:t>合同备案</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3E3B7DA0">
            <w:pPr>
              <w:rPr>
                <w:rFonts w:hint="default" w:ascii="宋体" w:hAnsi="宋体" w:eastAsia="宋体"/>
                <w:b/>
                <w:color w:val="auto"/>
                <w:highlight w:val="none"/>
                <w:lang w:val="en-US" w:eastAsia="zh-CN"/>
              </w:rPr>
            </w:pPr>
            <w:r>
              <w:rPr>
                <w:rFonts w:hint="eastAsia" w:ascii="宋体" w:hAnsi="宋体"/>
                <w:b w:val="0"/>
                <w:bCs/>
                <w:color w:val="auto"/>
                <w:highlight w:val="none"/>
                <w:lang w:val="en-US" w:eastAsia="zh-CN"/>
              </w:rPr>
              <w:t>/</w:t>
            </w:r>
          </w:p>
        </w:tc>
      </w:tr>
      <w:tr w14:paraId="28DA9E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6"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75B78932">
            <w:pPr>
              <w:adjustRightInd w:val="0"/>
              <w:snapToGrid w:val="0"/>
              <w:spacing w:line="31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7</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4706C97B">
            <w:pPr>
              <w:adjustRightInd w:val="0"/>
              <w:snapToGrid w:val="0"/>
              <w:spacing w:line="310" w:lineRule="exact"/>
              <w:rPr>
                <w:rFonts w:hint="eastAsia" w:ascii="宋体" w:hAnsi="宋体" w:cs="宋体"/>
                <w:color w:val="auto"/>
                <w:szCs w:val="21"/>
                <w:highlight w:val="none"/>
              </w:rPr>
            </w:pPr>
            <w:r>
              <w:rPr>
                <w:rFonts w:hint="eastAsia"/>
                <w:color w:val="auto"/>
                <w:highlight w:val="none"/>
              </w:rPr>
              <w:t>是否允许递交备选方案</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4B66FA37">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rPr>
              <w:t>√不允许            □允许</w:t>
            </w:r>
          </w:p>
        </w:tc>
      </w:tr>
      <w:tr w14:paraId="27DF4B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75CBA5FE">
            <w:pPr>
              <w:adjustRightInd w:val="0"/>
              <w:snapToGrid w:val="0"/>
              <w:spacing w:line="31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8</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6BE7B3A5">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响应文件份数</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39D45B54">
            <w:pPr>
              <w:adjustRightInd w:val="0"/>
              <w:snapToGrid w:val="0"/>
              <w:spacing w:line="310" w:lineRule="exact"/>
              <w:rPr>
                <w:rFonts w:hint="default" w:ascii="宋体" w:hAnsi="宋体" w:eastAsia="宋体" w:cs="宋体"/>
                <w:b/>
                <w:color w:val="auto"/>
                <w:szCs w:val="21"/>
                <w:highlight w:val="none"/>
                <w:lang w:val="en-US" w:eastAsia="zh-CN"/>
              </w:rPr>
            </w:pPr>
            <w:r>
              <w:rPr>
                <w:rFonts w:hint="eastAsia" w:ascii="宋体" w:hAnsi="宋体" w:cs="宋体"/>
                <w:b/>
                <w:color w:val="auto"/>
                <w:szCs w:val="21"/>
                <w:highlight w:val="none"/>
                <w:u w:val="single"/>
              </w:rPr>
              <w:t xml:space="preserve"> 壹 </w:t>
            </w:r>
            <w:r>
              <w:rPr>
                <w:rFonts w:hint="eastAsia" w:ascii="宋体" w:hAnsi="宋体" w:cs="宋体"/>
                <w:b/>
                <w:color w:val="auto"/>
                <w:szCs w:val="21"/>
                <w:highlight w:val="none"/>
              </w:rPr>
              <w:t xml:space="preserve">份正本， </w:t>
            </w:r>
            <w:r>
              <w:rPr>
                <w:rFonts w:hint="eastAsia" w:ascii="宋体" w:hAnsi="宋体" w:cs="宋体"/>
                <w:b/>
                <w:color w:val="auto"/>
                <w:szCs w:val="21"/>
                <w:highlight w:val="none"/>
                <w:u w:val="single"/>
              </w:rPr>
              <w:t xml:space="preserve"> 贰 </w:t>
            </w:r>
            <w:r>
              <w:rPr>
                <w:rFonts w:hint="eastAsia" w:ascii="宋体" w:hAnsi="宋体" w:cs="宋体"/>
                <w:b/>
                <w:color w:val="auto"/>
                <w:szCs w:val="21"/>
                <w:highlight w:val="none"/>
              </w:rPr>
              <w:t>份副本</w:t>
            </w:r>
            <w:r>
              <w:rPr>
                <w:rFonts w:hint="eastAsia" w:ascii="宋体" w:hAnsi="宋体" w:cs="宋体"/>
                <w:b/>
                <w:color w:val="auto"/>
                <w:szCs w:val="21"/>
                <w:highlight w:val="none"/>
                <w:lang w:val="en-US" w:eastAsia="zh-CN"/>
              </w:rPr>
              <w:t>。</w:t>
            </w:r>
          </w:p>
        </w:tc>
      </w:tr>
      <w:tr w14:paraId="60BFC5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51"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27669663">
            <w:pPr>
              <w:adjustRightInd w:val="0"/>
              <w:snapToGrid w:val="0"/>
              <w:spacing w:line="31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19</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6E81DC96">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rPr>
              <w:t>签字或盖章要求</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0851161E">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lang w:eastAsia="zh-CN"/>
              </w:rPr>
              <w:t>谈判响应文件应按采购文件要求盖章或签字。由授权代表签字或盖章的在谈判响应文件中须同时提供谈判授权书。谈判响应文件签字或盖章不符合采购文件要求的，按无效投标处理。</w:t>
            </w:r>
          </w:p>
        </w:tc>
      </w:tr>
      <w:tr w14:paraId="66B024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3"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19CE83ED">
            <w:pPr>
              <w:adjustRightInd w:val="0"/>
              <w:snapToGrid w:val="0"/>
              <w:spacing w:line="31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0</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0C51E6A2">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rPr>
              <w:t>装订要求</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5DFD21B8">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lang w:eastAsia="zh-CN"/>
              </w:rPr>
              <w:t>谈判响应文件正、副本均应装订成册，保证装订牢固，不掉页、不粘面。谈判响应文件未按要求装订的，按无效投标处理。</w:t>
            </w:r>
          </w:p>
        </w:tc>
      </w:tr>
      <w:tr w14:paraId="1C51A5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53"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7630DFE0">
            <w:pPr>
              <w:adjustRightInd w:val="0"/>
              <w:snapToGrid w:val="0"/>
              <w:spacing w:line="31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1</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09F5E282">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rPr>
              <w:t>密封要求</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0517E9C9">
            <w:pPr>
              <w:adjustRightInd w:val="0"/>
              <w:snapToGrid w:val="0"/>
              <w:spacing w:line="310" w:lineRule="exact"/>
              <w:rPr>
                <w:rFonts w:hint="eastAsia"/>
                <w:color w:val="auto"/>
                <w:highlight w:val="none"/>
                <w:lang w:eastAsia="zh-CN"/>
              </w:rPr>
            </w:pPr>
            <w:r>
              <w:rPr>
                <w:rFonts w:hint="eastAsia"/>
                <w:color w:val="auto"/>
                <w:highlight w:val="none"/>
                <w:lang w:eastAsia="zh-CN"/>
              </w:rPr>
              <w:t>谈判响应文件所有正、副本均应密封在一个文件袋中，并在封套上加盖供应商公章，封套上应写明：“</w:t>
            </w:r>
            <w:r>
              <w:rPr>
                <w:rFonts w:hint="eastAsia"/>
                <w:color w:val="auto"/>
                <w:highlight w:val="none"/>
                <w:u w:val="single"/>
                <w:lang w:eastAsia="zh-CN"/>
              </w:rPr>
              <w:t>（采购项目名称）</w:t>
            </w:r>
            <w:r>
              <w:rPr>
                <w:rFonts w:hint="eastAsia"/>
                <w:color w:val="auto"/>
                <w:highlight w:val="none"/>
                <w:lang w:eastAsia="zh-CN"/>
              </w:rPr>
              <w:t>谈判响应文件、</w:t>
            </w:r>
            <w:r>
              <w:rPr>
                <w:rFonts w:hint="eastAsia"/>
                <w:color w:val="auto"/>
                <w:highlight w:val="none"/>
                <w:u w:val="single"/>
                <w:lang w:eastAsia="zh-CN"/>
              </w:rPr>
              <w:t xml:space="preserve">  </w:t>
            </w:r>
            <w:r>
              <w:rPr>
                <w:rFonts w:hint="eastAsia"/>
                <w:color w:val="auto"/>
                <w:highlight w:val="none"/>
                <w:u w:val="single"/>
                <w:lang w:val="en-US" w:eastAsia="zh-CN"/>
              </w:rPr>
              <w:t xml:space="preserve"> </w:t>
            </w:r>
            <w:r>
              <w:rPr>
                <w:rFonts w:hint="eastAsia"/>
                <w:color w:val="auto"/>
                <w:highlight w:val="none"/>
                <w:u w:val="single"/>
                <w:lang w:eastAsia="zh-CN"/>
              </w:rPr>
              <w:t xml:space="preserve">  </w:t>
            </w:r>
            <w:r>
              <w:rPr>
                <w:rFonts w:hint="eastAsia"/>
                <w:color w:val="auto"/>
                <w:highlight w:val="none"/>
                <w:lang w:eastAsia="zh-CN"/>
              </w:rPr>
              <w:t>年</w:t>
            </w:r>
            <w:r>
              <w:rPr>
                <w:rFonts w:hint="eastAsia"/>
                <w:color w:val="auto"/>
                <w:highlight w:val="none"/>
                <w:u w:val="single"/>
                <w:lang w:eastAsia="zh-CN"/>
              </w:rPr>
              <w:t xml:space="preserve">   </w:t>
            </w:r>
            <w:r>
              <w:rPr>
                <w:rFonts w:hint="eastAsia"/>
                <w:color w:val="auto"/>
                <w:highlight w:val="none"/>
                <w:lang w:eastAsia="zh-CN"/>
              </w:rPr>
              <w:t>月</w:t>
            </w:r>
          </w:p>
          <w:p w14:paraId="45EE26FB">
            <w:pPr>
              <w:adjustRightInd w:val="0"/>
              <w:snapToGrid w:val="0"/>
              <w:spacing w:line="310" w:lineRule="exact"/>
              <w:rPr>
                <w:rFonts w:hint="eastAsia"/>
                <w:color w:val="auto"/>
                <w:highlight w:val="none"/>
                <w:lang w:eastAsia="zh-CN"/>
              </w:rPr>
            </w:pPr>
            <w:r>
              <w:rPr>
                <w:rFonts w:hint="eastAsia"/>
                <w:color w:val="auto"/>
                <w:highlight w:val="none"/>
                <w:u w:val="single"/>
                <w:lang w:eastAsia="zh-CN"/>
              </w:rPr>
              <w:t xml:space="preserve">   </w:t>
            </w:r>
            <w:r>
              <w:rPr>
                <w:rFonts w:hint="eastAsia"/>
                <w:color w:val="auto"/>
                <w:highlight w:val="none"/>
                <w:lang w:eastAsia="zh-CN"/>
              </w:rPr>
              <w:t>日</w:t>
            </w:r>
            <w:r>
              <w:rPr>
                <w:rFonts w:hint="eastAsia"/>
                <w:color w:val="auto"/>
                <w:highlight w:val="none"/>
                <w:u w:val="single"/>
                <w:lang w:eastAsia="zh-CN"/>
              </w:rPr>
              <w:t xml:space="preserve">   </w:t>
            </w:r>
            <w:r>
              <w:rPr>
                <w:rFonts w:hint="eastAsia"/>
                <w:color w:val="auto"/>
                <w:highlight w:val="none"/>
                <w:lang w:eastAsia="zh-CN"/>
              </w:rPr>
              <w:t>时</w:t>
            </w:r>
            <w:r>
              <w:rPr>
                <w:rFonts w:hint="eastAsia"/>
                <w:color w:val="auto"/>
                <w:highlight w:val="none"/>
                <w:u w:val="single"/>
                <w:lang w:eastAsia="zh-CN"/>
              </w:rPr>
              <w:t xml:space="preserve">   </w:t>
            </w:r>
            <w:r>
              <w:rPr>
                <w:rFonts w:hint="eastAsia"/>
                <w:color w:val="auto"/>
                <w:highlight w:val="none"/>
                <w:lang w:eastAsia="zh-CN"/>
              </w:rPr>
              <w:t>分前不得开启”字样。</w:t>
            </w:r>
          </w:p>
          <w:p w14:paraId="7B22F87E">
            <w:pPr>
              <w:adjustRightInd w:val="0"/>
              <w:snapToGrid w:val="0"/>
              <w:spacing w:line="310" w:lineRule="exact"/>
              <w:rPr>
                <w:rFonts w:hint="eastAsia"/>
                <w:color w:val="auto"/>
                <w:highlight w:val="none"/>
              </w:rPr>
            </w:pPr>
            <w:r>
              <w:rPr>
                <w:rFonts w:hint="eastAsia"/>
                <w:color w:val="auto"/>
                <w:highlight w:val="none"/>
                <w:lang w:eastAsia="zh-CN"/>
              </w:rPr>
              <w:t>供应商未按要求密封响应文件的，自行承担响应文件遗失、提前解封等责任。</w:t>
            </w:r>
          </w:p>
        </w:tc>
      </w:tr>
      <w:tr w14:paraId="72DE34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70B2529A">
            <w:pPr>
              <w:adjustRightInd w:val="0"/>
              <w:snapToGrid w:val="0"/>
              <w:spacing w:line="31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2</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68C9CC17">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响应文件递交</w:t>
            </w:r>
            <w:r>
              <w:rPr>
                <w:rFonts w:hint="eastAsia" w:ascii="宋体" w:hAnsi="宋体" w:cs="宋体"/>
                <w:color w:val="auto"/>
                <w:szCs w:val="21"/>
                <w:highlight w:val="none"/>
                <w:lang w:val="en-US" w:eastAsia="zh-CN"/>
              </w:rPr>
              <w:t>截</w:t>
            </w:r>
            <w:r>
              <w:rPr>
                <w:rFonts w:hint="eastAsia" w:ascii="宋体" w:hAnsi="宋体" w:cs="宋体"/>
                <w:color w:val="auto"/>
                <w:szCs w:val="21"/>
                <w:highlight w:val="none"/>
              </w:rPr>
              <w:t>止时间及地点</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68BD9C20">
            <w:pPr>
              <w:adjustRightInd w:val="0"/>
              <w:snapToGrid w:val="0"/>
              <w:spacing w:line="310" w:lineRule="exact"/>
              <w:rPr>
                <w:rFonts w:hint="default"/>
                <w:color w:val="auto"/>
                <w:highlight w:val="none"/>
                <w:lang w:val="en-US"/>
              </w:rPr>
            </w:pPr>
            <w:r>
              <w:rPr>
                <w:rFonts w:hint="eastAsia"/>
                <w:color w:val="auto"/>
                <w:highlight w:val="none"/>
                <w:lang w:val="en-US" w:eastAsia="zh-CN"/>
              </w:rPr>
              <w:t>截止</w:t>
            </w:r>
            <w:r>
              <w:rPr>
                <w:rFonts w:hint="eastAsia"/>
                <w:color w:val="auto"/>
                <w:highlight w:val="none"/>
              </w:rPr>
              <w:t>时间：</w:t>
            </w:r>
            <w:r>
              <w:rPr>
                <w:rFonts w:hint="eastAsia"/>
                <w:color w:val="auto"/>
                <w:highlight w:val="none"/>
                <w:lang w:val="en-US" w:eastAsia="zh-CN"/>
              </w:rPr>
              <w:t>同开标时间</w:t>
            </w:r>
          </w:p>
          <w:p w14:paraId="51A8A558">
            <w:pPr>
              <w:adjustRightInd w:val="0"/>
              <w:snapToGrid w:val="0"/>
              <w:spacing w:line="310" w:lineRule="exact"/>
              <w:rPr>
                <w:rFonts w:hint="eastAsia" w:eastAsia="宋体"/>
                <w:color w:val="auto"/>
                <w:highlight w:val="none"/>
                <w:lang w:eastAsia="zh-CN"/>
              </w:rPr>
            </w:pPr>
            <w:r>
              <w:rPr>
                <w:rFonts w:hint="eastAsia"/>
                <w:color w:val="auto"/>
                <w:highlight w:val="none"/>
              </w:rPr>
              <w:t>地点：</w:t>
            </w:r>
            <w:r>
              <w:rPr>
                <w:rFonts w:hint="eastAsia"/>
                <w:color w:val="auto"/>
                <w:highlight w:val="none"/>
                <w:lang w:eastAsia="zh-CN"/>
              </w:rPr>
              <w:t>安徽大别山工程咨询有限公司开标厅</w:t>
            </w:r>
            <w:r>
              <w:rPr>
                <w:rFonts w:hint="eastAsia"/>
                <w:color w:val="auto"/>
                <w:highlight w:val="none"/>
                <w:lang w:val="en-US" w:eastAsia="zh-CN"/>
              </w:rPr>
              <w:t>201室</w:t>
            </w:r>
            <w:r>
              <w:rPr>
                <w:rFonts w:hint="eastAsia"/>
                <w:color w:val="auto"/>
                <w:highlight w:val="none"/>
              </w:rPr>
              <w:t>（</w:t>
            </w:r>
            <w:r>
              <w:rPr>
                <w:rFonts w:hint="eastAsia"/>
                <w:color w:val="auto"/>
                <w:highlight w:val="none"/>
                <w:lang w:eastAsia="zh-CN"/>
              </w:rPr>
              <w:t>霍山县国投大厦</w:t>
            </w:r>
            <w:r>
              <w:rPr>
                <w:rFonts w:hint="eastAsia"/>
                <w:color w:val="auto"/>
                <w:highlight w:val="none"/>
              </w:rPr>
              <w:t>）</w:t>
            </w:r>
          </w:p>
        </w:tc>
      </w:tr>
      <w:tr w14:paraId="22443B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57A15480">
            <w:pPr>
              <w:adjustRightInd w:val="0"/>
              <w:snapToGrid w:val="0"/>
              <w:spacing w:line="31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3</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38B1446B">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rPr>
              <w:t>开标时间及地点</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39362B17">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详见采购公告。（</w:t>
            </w:r>
            <w:r>
              <w:rPr>
                <w:rFonts w:hint="eastAsia" w:ascii="宋体" w:hAnsi="宋体"/>
                <w:color w:val="auto"/>
                <w:szCs w:val="21"/>
                <w:highlight w:val="none"/>
              </w:rPr>
              <w:t>若法定代表人本人参加开标会则只需查验身份证原件；若代理人参加开标会则需查验法定代表人授权委托书原件和代理人身份证原件</w:t>
            </w:r>
            <w:r>
              <w:rPr>
                <w:rFonts w:hint="eastAsia" w:ascii="宋体" w:hAnsi="宋体"/>
                <w:color w:val="auto"/>
                <w:szCs w:val="21"/>
                <w:highlight w:val="none"/>
                <w:lang w:eastAsia="zh-CN"/>
              </w:rPr>
              <w:t>，</w:t>
            </w:r>
            <w:r>
              <w:rPr>
                <w:rFonts w:hint="eastAsia" w:ascii="宋体"/>
                <w:b/>
                <w:bCs/>
                <w:color w:val="auto"/>
                <w:szCs w:val="21"/>
                <w:highlight w:val="none"/>
              </w:rPr>
              <w:t>需在</w:t>
            </w:r>
            <w:r>
              <w:rPr>
                <w:rFonts w:hint="eastAsia" w:ascii="宋体"/>
                <w:b/>
                <w:bCs/>
                <w:color w:val="auto"/>
                <w:szCs w:val="21"/>
                <w:highlight w:val="none"/>
                <w:lang w:val="en-US" w:eastAsia="zh-CN"/>
              </w:rPr>
              <w:t>响应</w:t>
            </w:r>
            <w:r>
              <w:rPr>
                <w:rFonts w:hint="eastAsia" w:ascii="宋体"/>
                <w:b/>
                <w:bCs/>
                <w:color w:val="auto"/>
                <w:szCs w:val="21"/>
                <w:highlight w:val="none"/>
              </w:rPr>
              <w:t>文件中提供授权委托书及身份证的复印件并加盖</w:t>
            </w:r>
            <w:r>
              <w:rPr>
                <w:rFonts w:hint="eastAsia" w:ascii="宋体"/>
                <w:b/>
                <w:bCs/>
                <w:color w:val="auto"/>
                <w:szCs w:val="21"/>
                <w:highlight w:val="none"/>
                <w:lang w:eastAsia="zh-CN"/>
              </w:rPr>
              <w:t>供应商</w:t>
            </w:r>
            <w:r>
              <w:rPr>
                <w:rFonts w:hint="eastAsia" w:ascii="宋体"/>
                <w:b/>
                <w:bCs/>
                <w:color w:val="auto"/>
                <w:szCs w:val="21"/>
                <w:highlight w:val="none"/>
              </w:rPr>
              <w:t>公章，评标现场查验原件。</w:t>
            </w:r>
            <w:r>
              <w:rPr>
                <w:rFonts w:hint="eastAsia" w:ascii="宋体" w:hAnsi="宋体" w:cs="宋体"/>
                <w:b/>
                <w:bCs/>
                <w:color w:val="auto"/>
                <w:szCs w:val="21"/>
                <w:highlight w:val="none"/>
                <w:u w:val="single"/>
              </w:rPr>
              <w:t>代理人参加投标的，</w:t>
            </w:r>
            <w:r>
              <w:rPr>
                <w:rFonts w:hint="eastAsia" w:ascii="宋体" w:hAnsi="宋体" w:cs="宋体"/>
                <w:bCs/>
                <w:color w:val="auto"/>
                <w:szCs w:val="21"/>
                <w:highlight w:val="none"/>
                <w:u w:val="single"/>
              </w:rPr>
              <w:t>如开标现场其未单独提交法人授权委托书，且投标文件也未有法人授权委托书原件，其投标文件按照无效投标处理</w:t>
            </w:r>
            <w:r>
              <w:rPr>
                <w:rFonts w:hint="eastAsia" w:ascii="宋体" w:hAnsi="宋体"/>
                <w:color w:val="auto"/>
                <w:szCs w:val="21"/>
                <w:highlight w:val="none"/>
              </w:rPr>
              <w:t>。</w:t>
            </w:r>
            <w:r>
              <w:rPr>
                <w:rFonts w:hint="eastAsia" w:ascii="宋体" w:hAnsi="宋体" w:cs="宋体"/>
                <w:color w:val="auto"/>
                <w:szCs w:val="21"/>
                <w:highlight w:val="none"/>
                <w:lang w:val="en-US" w:eastAsia="zh-CN"/>
              </w:rPr>
              <w:t>）</w:t>
            </w:r>
          </w:p>
        </w:tc>
      </w:tr>
      <w:tr w14:paraId="623351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3"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2AA87616">
            <w:pPr>
              <w:adjustRightInd w:val="0"/>
              <w:snapToGrid w:val="0"/>
              <w:spacing w:line="31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7F4264AB">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lang w:eastAsia="zh-CN"/>
              </w:rPr>
              <w:t>谈判</w:t>
            </w:r>
            <w:r>
              <w:rPr>
                <w:rFonts w:hint="eastAsia" w:ascii="宋体" w:hAnsi="宋体" w:cs="宋体"/>
                <w:color w:val="auto"/>
                <w:szCs w:val="21"/>
                <w:highlight w:val="none"/>
              </w:rPr>
              <w:t>方法及标准</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409DD091">
            <w:pPr>
              <w:adjustRightInd w:val="0"/>
              <w:snapToGrid w:val="0"/>
              <w:spacing w:line="310" w:lineRule="exact"/>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详见本文件</w:t>
            </w:r>
            <w:r>
              <w:rPr>
                <w:rFonts w:hint="eastAsia" w:ascii="宋体" w:hAnsi="宋体" w:cs="宋体"/>
                <w:color w:val="auto"/>
                <w:szCs w:val="21"/>
                <w:highlight w:val="none"/>
                <w:lang w:val="en-US" w:eastAsia="zh-CN"/>
              </w:rPr>
              <w:t>第五章</w:t>
            </w:r>
          </w:p>
        </w:tc>
      </w:tr>
      <w:tr w14:paraId="63A6A2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3"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4B2AF8EB">
            <w:pPr>
              <w:adjustRightInd w:val="0"/>
              <w:snapToGrid w:val="0"/>
              <w:spacing w:line="31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42FE0E8F">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小组的组建</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22D54CAE">
            <w:pPr>
              <w:adjustRightInd w:val="0"/>
              <w:snapToGrid w:val="0"/>
              <w:spacing w:line="31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小组构成</w:t>
            </w:r>
            <w:r>
              <w:rPr>
                <w:rFonts w:hint="eastAsia" w:ascii="宋体" w:hAnsi="宋体" w:cs="宋体"/>
                <w:color w:val="auto"/>
                <w:szCs w:val="21"/>
                <w:highlight w:val="none"/>
                <w:lang w:eastAsia="zh-CN"/>
              </w:rPr>
              <w:t>：</w:t>
            </w:r>
            <w:r>
              <w:rPr>
                <w:rFonts w:hint="eastAsia" w:ascii="宋体" w:hAnsi="宋体" w:cs="宋体"/>
                <w:color w:val="auto"/>
                <w:szCs w:val="21"/>
                <w:highlight w:val="none"/>
              </w:rPr>
              <w:t>按相关法律法规执行</w:t>
            </w:r>
            <w:r>
              <w:rPr>
                <w:rFonts w:hint="eastAsia" w:ascii="宋体" w:hAnsi="宋体" w:cs="宋体"/>
                <w:color w:val="auto"/>
                <w:szCs w:val="21"/>
                <w:highlight w:val="none"/>
                <w:lang w:eastAsia="zh-CN"/>
              </w:rPr>
              <w:t>；</w:t>
            </w:r>
          </w:p>
          <w:p w14:paraId="148E6DE8">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小组确定方式</w:t>
            </w:r>
            <w:r>
              <w:rPr>
                <w:rFonts w:hint="eastAsia" w:ascii="宋体" w:hAnsi="宋体" w:cs="宋体"/>
                <w:color w:val="auto"/>
                <w:szCs w:val="21"/>
                <w:highlight w:val="none"/>
                <w:lang w:eastAsia="zh-CN"/>
              </w:rPr>
              <w:t>：</w:t>
            </w:r>
            <w:r>
              <w:rPr>
                <w:rFonts w:hint="eastAsia" w:ascii="宋体" w:hAnsi="宋体" w:cs="宋体"/>
                <w:color w:val="auto"/>
                <w:szCs w:val="21"/>
                <w:highlight w:val="none"/>
              </w:rPr>
              <w:t>随机抽取。</w:t>
            </w:r>
          </w:p>
        </w:tc>
      </w:tr>
      <w:tr w14:paraId="40483C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5"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540A6E57">
            <w:pPr>
              <w:adjustRightInd w:val="0"/>
              <w:snapToGrid w:val="0"/>
              <w:spacing w:line="31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6</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64F2E09E">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rPr>
              <w:t>是否授权</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小组确定成交单位</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697EF5DA">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rPr>
              <w:t>√是      □否</w:t>
            </w:r>
          </w:p>
        </w:tc>
      </w:tr>
      <w:tr w14:paraId="52E7D5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8"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395480C5">
            <w:pPr>
              <w:adjustRightInd w:val="0"/>
              <w:snapToGrid w:val="0"/>
              <w:spacing w:line="31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27</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1DF93156">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0" w:firstLineChars="0"/>
              <w:jc w:val="both"/>
              <w:textAlignment w:val="auto"/>
              <w:outlineLvl w:val="9"/>
              <w:rPr>
                <w:rFonts w:hint="default" w:ascii="宋体" w:hAnsi="宋体" w:eastAsia="宋体" w:cs="宋体"/>
                <w:color w:val="auto"/>
                <w:szCs w:val="21"/>
                <w:highlight w:val="none"/>
                <w:lang w:val="en-US" w:eastAsia="zh-CN"/>
              </w:rPr>
            </w:pPr>
            <w:r>
              <w:rPr>
                <w:rFonts w:hint="eastAsia" w:ascii="宋体" w:hAnsi="宋体" w:cs="宋体"/>
                <w:color w:val="auto"/>
                <w:sz w:val="21"/>
                <w:szCs w:val="21"/>
                <w:highlight w:val="none"/>
                <w:lang w:val="en-US" w:eastAsia="zh-CN"/>
              </w:rPr>
              <w:t>谈判保证金</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7054117D">
            <w:pPr>
              <w:keepNext w:val="0"/>
              <w:keepLines w:val="0"/>
              <w:pageBreakBefore w:val="0"/>
              <w:kinsoku/>
              <w:wordWrap/>
              <w:overflowPunct/>
              <w:topLinePunct w:val="0"/>
              <w:autoSpaceDE/>
              <w:autoSpaceDN/>
              <w:bidi w:val="0"/>
              <w:adjustRightInd w:val="0"/>
              <w:snapToGrid w:val="0"/>
              <w:spacing w:line="340" w:lineRule="exact"/>
              <w:ind w:right="0" w:rightChars="0"/>
              <w:textAlignment w:val="auto"/>
              <w:outlineLvl w:val="9"/>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w:t>
            </w:r>
          </w:p>
        </w:tc>
      </w:tr>
      <w:tr w14:paraId="6231C3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5"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2559F29B">
            <w:pPr>
              <w:adjustRightInd w:val="0"/>
              <w:snapToGrid w:val="0"/>
              <w:spacing w:line="31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8</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26E1F63F">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rPr>
              <w:t>履约保证金</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063DC8E6">
            <w:pPr>
              <w:widowControl/>
              <w:adjustRightInd w:val="0"/>
              <w:snapToGrid w:val="0"/>
              <w:spacing w:line="320" w:lineRule="exact"/>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履约保证金金额：50000.00元</w:t>
            </w:r>
          </w:p>
          <w:p w14:paraId="72D2F69E">
            <w:pPr>
              <w:widowControl/>
              <w:adjustRightInd w:val="0"/>
              <w:snapToGrid w:val="0"/>
              <w:spacing w:line="320" w:lineRule="exact"/>
              <w:rPr>
                <w:rFonts w:hint="default"/>
                <w:highlight w:val="none"/>
                <w:lang w:val="en-US" w:eastAsia="zh-CN"/>
              </w:rPr>
            </w:pPr>
            <w:r>
              <w:rPr>
                <w:rFonts w:hint="eastAsia" w:ascii="宋体" w:hAnsi="宋体" w:cs="宋体"/>
                <w:color w:val="auto"/>
                <w:szCs w:val="21"/>
                <w:highlight w:val="none"/>
                <w:lang w:val="en-US" w:eastAsia="zh-CN"/>
              </w:rPr>
              <w:t>履约保证金缴纳方式：银行转账或履约保函</w:t>
            </w:r>
          </w:p>
        </w:tc>
      </w:tr>
      <w:tr w14:paraId="7D153B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5"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4996FB47">
            <w:pPr>
              <w:adjustRightInd w:val="0"/>
              <w:snapToGrid w:val="0"/>
              <w:spacing w:line="31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29</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3B492D1B">
            <w:pPr>
              <w:adjustRightInd w:val="0"/>
              <w:snapToGrid w:val="0"/>
              <w:spacing w:line="310" w:lineRule="exac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质保期</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2122C486">
            <w:pPr>
              <w:adjustRightInd w:val="0"/>
              <w:snapToGrid w:val="0"/>
              <w:spacing w:line="310" w:lineRule="exac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w:t>
            </w:r>
          </w:p>
        </w:tc>
      </w:tr>
      <w:tr w14:paraId="2D9894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1ADBCDD8">
            <w:pPr>
              <w:adjustRightInd w:val="0"/>
              <w:snapToGrid w:val="0"/>
              <w:spacing w:line="31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30</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25F58071">
            <w:pPr>
              <w:adjustRightInd w:val="0"/>
              <w:snapToGrid w:val="0"/>
              <w:spacing w:line="320" w:lineRule="exact"/>
              <w:jc w:val="left"/>
              <w:rPr>
                <w:rFonts w:hint="default" w:ascii="宋体" w:hAnsi="宋体" w:eastAsia="宋体" w:cs="宋体"/>
                <w:color w:val="auto"/>
                <w:szCs w:val="21"/>
                <w:highlight w:val="none"/>
                <w:lang w:val="en-US" w:eastAsia="zh-CN"/>
              </w:rPr>
            </w:pPr>
            <w:r>
              <w:rPr>
                <w:rFonts w:hint="eastAsia" w:ascii="宋体" w:hAnsi="宋体" w:cs="宋体"/>
                <w:color w:val="auto"/>
                <w:highlight w:val="none"/>
                <w:lang w:eastAsia="zh-CN"/>
              </w:rPr>
              <w:t>采购代理服务费</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5DC49F83">
            <w:pPr>
              <w:keepNext w:val="0"/>
              <w:keepLines w:val="0"/>
              <w:pageBreakBefore w:val="0"/>
              <w:kinsoku/>
              <w:wordWrap/>
              <w:overflowPunct/>
              <w:topLinePunct w:val="0"/>
              <w:autoSpaceDE/>
              <w:autoSpaceDN/>
              <w:bidi w:val="0"/>
              <w:adjustRightInd w:val="0"/>
              <w:snapToGrid w:val="0"/>
              <w:spacing w:line="340" w:lineRule="exact"/>
              <w:ind w:right="0" w:rightChars="0"/>
              <w:textAlignment w:val="auto"/>
              <w:outlineLvl w:val="9"/>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本项目采购代理服务费由中标人（成交人）支付。根据《国家发展改革委关于进一步放开建设项目专业服务价格的通知》（发改价格【2015】299号）文件精神，现将费用标准予以告知，本项目采购代理服务费按5000.00元收取。</w:t>
            </w:r>
          </w:p>
          <w:p w14:paraId="1C438A2E">
            <w:pPr>
              <w:keepNext w:val="0"/>
              <w:keepLines w:val="0"/>
              <w:pageBreakBefore w:val="0"/>
              <w:kinsoku/>
              <w:wordWrap/>
              <w:overflowPunct/>
              <w:topLinePunct w:val="0"/>
              <w:autoSpaceDE/>
              <w:autoSpaceDN/>
              <w:bidi w:val="0"/>
              <w:adjustRightInd w:val="0"/>
              <w:snapToGrid w:val="0"/>
              <w:spacing w:line="340" w:lineRule="exact"/>
              <w:ind w:right="0" w:rightChars="0"/>
              <w:textAlignment w:val="auto"/>
              <w:outlineLvl w:val="9"/>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费用</w:t>
            </w:r>
            <w:r>
              <w:rPr>
                <w:rFonts w:hint="eastAsia" w:ascii="宋体" w:hAnsi="宋体" w:eastAsia="宋体" w:cs="宋体"/>
                <w:color w:val="auto"/>
                <w:szCs w:val="21"/>
                <w:highlight w:val="none"/>
                <w:lang w:val="en-US" w:eastAsia="zh-CN"/>
              </w:rPr>
              <w:t>缴纳账户：</w:t>
            </w:r>
          </w:p>
          <w:p w14:paraId="4EA207DB">
            <w:pPr>
              <w:keepNext w:val="0"/>
              <w:keepLines w:val="0"/>
              <w:pageBreakBefore w:val="0"/>
              <w:kinsoku/>
              <w:wordWrap/>
              <w:overflowPunct/>
              <w:topLinePunct w:val="0"/>
              <w:autoSpaceDE/>
              <w:autoSpaceDN/>
              <w:bidi w:val="0"/>
              <w:adjustRightInd w:val="0"/>
              <w:snapToGrid w:val="0"/>
              <w:spacing w:line="340" w:lineRule="exact"/>
              <w:ind w:right="0" w:rightChars="0"/>
              <w:textAlignment w:val="auto"/>
              <w:outlineLvl w:val="9"/>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户名：安徽大别山工程咨询有限公司</w:t>
            </w:r>
          </w:p>
          <w:p w14:paraId="2EAFFEC2">
            <w:pPr>
              <w:keepNext w:val="0"/>
              <w:keepLines w:val="0"/>
              <w:pageBreakBefore w:val="0"/>
              <w:kinsoku/>
              <w:wordWrap/>
              <w:overflowPunct/>
              <w:topLinePunct w:val="0"/>
              <w:autoSpaceDE/>
              <w:autoSpaceDN/>
              <w:bidi w:val="0"/>
              <w:adjustRightInd w:val="0"/>
              <w:snapToGrid w:val="0"/>
              <w:spacing w:line="340" w:lineRule="exact"/>
              <w:ind w:right="0" w:rightChars="0"/>
              <w:textAlignment w:val="auto"/>
              <w:outlineLvl w:val="9"/>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开户行：安徽霍山农村商业银行股份有限公司营业部</w:t>
            </w:r>
          </w:p>
          <w:p w14:paraId="133F60C9">
            <w:pPr>
              <w:keepNext w:val="0"/>
              <w:keepLines w:val="0"/>
              <w:pageBreakBefore w:val="0"/>
              <w:kinsoku/>
              <w:wordWrap/>
              <w:overflowPunct/>
              <w:topLinePunct w:val="0"/>
              <w:autoSpaceDE/>
              <w:autoSpaceDN/>
              <w:bidi w:val="0"/>
              <w:adjustRightInd w:val="0"/>
              <w:snapToGrid w:val="0"/>
              <w:spacing w:line="340" w:lineRule="exact"/>
              <w:ind w:right="0" w:rightChars="0"/>
              <w:textAlignment w:val="auto"/>
              <w:outlineLvl w:val="9"/>
              <w:rPr>
                <w:rFonts w:hint="eastAsia"/>
                <w:color w:val="auto"/>
                <w:highlight w:val="none"/>
                <w:lang w:eastAsia="zh-CN"/>
              </w:rPr>
            </w:pPr>
            <w:r>
              <w:rPr>
                <w:rFonts w:hint="eastAsia" w:ascii="宋体" w:hAnsi="宋体" w:eastAsia="宋体" w:cs="宋体"/>
                <w:color w:val="auto"/>
                <w:szCs w:val="21"/>
                <w:highlight w:val="none"/>
                <w:lang w:val="en-US" w:eastAsia="zh-CN"/>
              </w:rPr>
              <w:t>账号：20010048352066600000012</w:t>
            </w:r>
          </w:p>
        </w:tc>
      </w:tr>
      <w:tr w14:paraId="596BF1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519E0DDC">
            <w:pPr>
              <w:adjustRightInd w:val="0"/>
              <w:snapToGrid w:val="0"/>
              <w:spacing w:line="31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1</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315FBE85">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服务</w:t>
            </w:r>
            <w:r>
              <w:rPr>
                <w:rFonts w:hint="eastAsia" w:ascii="宋体" w:hAnsi="宋体" w:cs="宋体"/>
                <w:color w:val="auto"/>
                <w:szCs w:val="21"/>
                <w:highlight w:val="none"/>
              </w:rPr>
              <w:t>地点</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62CFB54B">
            <w:pPr>
              <w:adjustRightInd w:val="0"/>
              <w:snapToGrid w:val="0"/>
              <w:spacing w:line="310" w:lineRule="exact"/>
              <w:rPr>
                <w:rFonts w:hint="default" w:ascii="宋体" w:hAnsi="宋体" w:eastAsia="宋体" w:cs="宋体"/>
                <w:color w:val="auto"/>
                <w:szCs w:val="21"/>
                <w:highlight w:val="none"/>
                <w:lang w:val="en-US" w:eastAsia="zh-CN"/>
              </w:rPr>
            </w:pPr>
            <w:r>
              <w:rPr>
                <w:rFonts w:hint="eastAsia" w:ascii="宋体" w:hAnsi="宋体" w:cs="Times New Roman"/>
                <w:b w:val="0"/>
                <w:bCs/>
                <w:color w:val="auto"/>
                <w:kern w:val="0"/>
                <w:sz w:val="21"/>
                <w:szCs w:val="21"/>
                <w:highlight w:val="none"/>
                <w:lang w:val="en-US" w:eastAsia="zh-CN" w:bidi="ar-SA"/>
              </w:rPr>
              <w:t>采购人指定地点。</w:t>
            </w:r>
          </w:p>
        </w:tc>
      </w:tr>
      <w:tr w14:paraId="2AB86B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183057D2">
            <w:pPr>
              <w:adjustRightInd w:val="0"/>
              <w:snapToGrid w:val="0"/>
              <w:spacing w:line="31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2</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785E325B">
            <w:pPr>
              <w:adjustRightInd w:val="0"/>
              <w:snapToGrid w:val="0"/>
              <w:spacing w:line="310" w:lineRule="exac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服务期</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5C8FB434">
            <w:pPr>
              <w:tabs>
                <w:tab w:val="left" w:pos="1980"/>
              </w:tabs>
              <w:adjustRightInd w:val="0"/>
              <w:snapToGrid w:val="0"/>
              <w:spacing w:line="310" w:lineRule="exac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三年（本项目采用“1+1+1”模式，合同一年一签，年度考核合格后可续签下一年合同）。</w:t>
            </w:r>
          </w:p>
        </w:tc>
      </w:tr>
      <w:tr w14:paraId="157B89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6AE4144E">
            <w:pPr>
              <w:adjustRightInd w:val="0"/>
              <w:snapToGrid w:val="0"/>
              <w:spacing w:line="310" w:lineRule="exact"/>
              <w:jc w:val="center"/>
              <w:rPr>
                <w:rFonts w:hint="eastAsia" w:ascii="宋体" w:hAnsi="宋体" w:eastAsia="宋体" w:cs="宋体"/>
                <w:color w:val="auto"/>
                <w:szCs w:val="21"/>
                <w:highlight w:val="none"/>
                <w:lang w:eastAsia="zh-CN"/>
              </w:rPr>
            </w:pPr>
            <w:r>
              <w:rPr>
                <w:rFonts w:hint="eastAsia" w:ascii="宋体" w:hAnsi="宋体" w:cs="宋体"/>
                <w:bCs/>
                <w:color w:val="auto"/>
                <w:szCs w:val="21"/>
                <w:highlight w:val="none"/>
              </w:rPr>
              <w:t>3</w:t>
            </w:r>
            <w:r>
              <w:rPr>
                <w:rFonts w:hint="eastAsia" w:ascii="宋体" w:hAnsi="宋体" w:cs="宋体"/>
                <w:bCs/>
                <w:color w:val="auto"/>
                <w:szCs w:val="21"/>
                <w:highlight w:val="none"/>
                <w:lang w:val="en-US" w:eastAsia="zh-CN"/>
              </w:rPr>
              <w:t>3</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26D45904">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rPr>
              <w:t>签订合同地点</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70F8A80B">
            <w:pPr>
              <w:adjustRightInd w:val="0"/>
              <w:snapToGrid w:val="0"/>
              <w:spacing w:line="310" w:lineRule="exact"/>
              <w:jc w:val="left"/>
              <w:rPr>
                <w:rFonts w:hint="eastAsia" w:ascii="宋体" w:hAnsi="宋体" w:eastAsia="宋体" w:cs="宋体"/>
                <w:i w:val="0"/>
                <w:caps w:val="0"/>
                <w:color w:val="auto"/>
                <w:spacing w:val="0"/>
                <w:sz w:val="21"/>
                <w:szCs w:val="21"/>
                <w:highlight w:val="none"/>
                <w:shd w:val="clear" w:color="auto" w:fill="FFFFFF"/>
                <w:lang w:val="en-US" w:eastAsia="zh-CN"/>
              </w:rPr>
            </w:pPr>
            <w:r>
              <w:rPr>
                <w:rFonts w:hint="eastAsia" w:ascii="宋体" w:hAnsi="宋体" w:eastAsia="宋体" w:cs="宋体"/>
                <w:i w:val="0"/>
                <w:caps w:val="0"/>
                <w:color w:val="auto"/>
                <w:spacing w:val="0"/>
                <w:sz w:val="21"/>
                <w:szCs w:val="21"/>
                <w:highlight w:val="none"/>
                <w:shd w:val="clear" w:color="auto" w:fill="FFFFFF"/>
                <w:lang w:val="en-US" w:eastAsia="zh-CN"/>
              </w:rPr>
              <w:t>采购人指定地点</w:t>
            </w:r>
          </w:p>
        </w:tc>
      </w:tr>
      <w:tr w14:paraId="33501C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0CAB2BF0">
            <w:pPr>
              <w:adjustRightInd w:val="0"/>
              <w:snapToGrid w:val="0"/>
              <w:spacing w:line="310" w:lineRule="exact"/>
              <w:jc w:val="center"/>
              <w:rPr>
                <w:rFonts w:hint="eastAsia" w:ascii="宋体" w:hAnsi="宋体" w:eastAsia="宋体" w:cs="宋体"/>
                <w:bCs/>
                <w:color w:val="auto"/>
                <w:szCs w:val="21"/>
                <w:highlight w:val="none"/>
                <w:lang w:eastAsia="zh-CN"/>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4</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688CF273">
            <w:pPr>
              <w:adjustRightInd w:val="0"/>
              <w:snapToGrid w:val="0"/>
              <w:spacing w:line="310" w:lineRule="exac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付款方式</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4E108A23">
            <w:pPr>
              <w:adjustRightInd w:val="0"/>
              <w:snapToGrid w:val="0"/>
              <w:spacing w:line="310" w:lineRule="exact"/>
              <w:jc w:val="left"/>
              <w:rPr>
                <w:rFonts w:hint="default" w:ascii="宋体" w:hAnsi="宋体" w:eastAsia="宋体" w:cs="宋体"/>
                <w:i w:val="0"/>
                <w:caps w:val="0"/>
                <w:color w:val="auto"/>
                <w:spacing w:val="0"/>
                <w:sz w:val="21"/>
                <w:szCs w:val="21"/>
                <w:highlight w:val="none"/>
                <w:shd w:val="clear" w:color="auto" w:fill="FFFFFF"/>
                <w:lang w:val="en-US" w:eastAsia="zh-CN"/>
              </w:rPr>
            </w:pPr>
            <w:r>
              <w:rPr>
                <w:rFonts w:hint="eastAsia" w:ascii="宋体" w:hAnsi="宋体" w:cs="宋体"/>
                <w:i w:val="0"/>
                <w:caps w:val="0"/>
                <w:color w:val="auto"/>
                <w:spacing w:val="0"/>
                <w:sz w:val="21"/>
                <w:szCs w:val="21"/>
                <w:highlight w:val="none"/>
                <w:shd w:val="clear" w:color="auto" w:fill="FFFFFF"/>
                <w:lang w:val="en-US" w:eastAsia="zh-CN"/>
              </w:rPr>
              <w:t>成交供应商自主经营、自负盈亏，水电气及人员工资社保、食材、副食品购买、用品用具、维保维护、安全生产、健康防护等费用均由成交供应商承担，采购人不收取承包费，也不给补贴。</w:t>
            </w:r>
          </w:p>
        </w:tc>
      </w:tr>
      <w:tr w14:paraId="630097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1EA01CB1">
            <w:pPr>
              <w:adjustRightInd w:val="0"/>
              <w:snapToGrid w:val="0"/>
              <w:spacing w:line="31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5</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14CFBE5F">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lang w:eastAsia="zh-CN"/>
              </w:rPr>
              <w:t>竞争谈判</w:t>
            </w:r>
            <w:r>
              <w:rPr>
                <w:rFonts w:hint="eastAsia" w:ascii="宋体" w:hAnsi="宋体" w:cs="宋体"/>
                <w:color w:val="auto"/>
                <w:szCs w:val="21"/>
                <w:highlight w:val="none"/>
              </w:rPr>
              <w:t>文件发售方式</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3299EACE">
            <w:pPr>
              <w:adjustRightInd w:val="0"/>
              <w:snapToGrid w:val="0"/>
              <w:spacing w:line="310" w:lineRule="exact"/>
              <w:jc w:val="left"/>
              <w:rPr>
                <w:rFonts w:hint="eastAsia" w:ascii="宋体" w:hAnsi="宋体" w:cs="宋体"/>
                <w:color w:val="auto"/>
                <w:highlight w:val="none"/>
              </w:rPr>
            </w:pPr>
            <w:r>
              <w:rPr>
                <w:rFonts w:hint="eastAsia" w:ascii="宋体" w:hAnsi="宋体"/>
                <w:color w:val="auto"/>
                <w:highlight w:val="none"/>
              </w:rPr>
              <w:t>详见</w:t>
            </w:r>
            <w:r>
              <w:rPr>
                <w:rFonts w:hint="eastAsia" w:ascii="宋体" w:hAnsi="宋体"/>
                <w:color w:val="auto"/>
                <w:highlight w:val="none"/>
                <w:lang w:val="en-US" w:eastAsia="zh-CN"/>
              </w:rPr>
              <w:t>谈判</w:t>
            </w:r>
            <w:r>
              <w:rPr>
                <w:rFonts w:hint="eastAsia" w:ascii="宋体" w:hAnsi="宋体"/>
                <w:color w:val="auto"/>
                <w:highlight w:val="none"/>
              </w:rPr>
              <w:t>公告</w:t>
            </w:r>
          </w:p>
        </w:tc>
      </w:tr>
      <w:tr w14:paraId="46EF80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03AE6502">
            <w:pPr>
              <w:adjustRightInd w:val="0"/>
              <w:snapToGrid w:val="0"/>
              <w:spacing w:line="31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36</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0F84E263">
            <w:pPr>
              <w:adjustRightInd w:val="0"/>
              <w:snapToGrid w:val="0"/>
              <w:spacing w:line="310" w:lineRule="exact"/>
              <w:rPr>
                <w:rFonts w:hint="eastAsia" w:ascii="宋体" w:hAnsi="宋体" w:cs="宋体"/>
                <w:b/>
                <w:bCs/>
                <w:color w:val="auto"/>
                <w:szCs w:val="21"/>
                <w:highlight w:val="none"/>
              </w:rPr>
            </w:pPr>
            <w:r>
              <w:rPr>
                <w:rFonts w:hint="eastAsia" w:ascii="宋体" w:hAnsi="宋体" w:cs="宋体"/>
                <w:b/>
                <w:bCs/>
                <w:color w:val="auto"/>
                <w:szCs w:val="21"/>
                <w:highlight w:val="none"/>
              </w:rPr>
              <w:t>最高限价</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47D430B0">
            <w:pPr>
              <w:adjustRightInd w:val="0"/>
              <w:snapToGrid w:val="0"/>
              <w:spacing w:line="310" w:lineRule="exact"/>
              <w:jc w:val="left"/>
              <w:rPr>
                <w:rFonts w:hint="default" w:ascii="宋体" w:hAnsi="宋体" w:eastAsia="宋体" w:cs="宋体"/>
                <w:b/>
                <w:bCs/>
                <w:color w:val="auto"/>
                <w:szCs w:val="21"/>
                <w:highlight w:val="none"/>
                <w:lang w:val="en-US" w:eastAsia="zh-CN"/>
              </w:rPr>
            </w:pPr>
            <w:r>
              <w:rPr>
                <w:rFonts w:hint="eastAsia" w:ascii="宋体" w:hAnsi="宋体" w:cs="宋体"/>
                <w:i w:val="0"/>
                <w:caps w:val="0"/>
                <w:color w:val="auto"/>
                <w:spacing w:val="0"/>
                <w:sz w:val="21"/>
                <w:szCs w:val="21"/>
                <w:highlight w:val="none"/>
                <w:shd w:val="clear" w:color="auto" w:fill="FFFFFF"/>
                <w:lang w:val="en-US" w:eastAsia="zh-CN"/>
              </w:rPr>
              <w:t>详见谈判公告</w:t>
            </w:r>
          </w:p>
        </w:tc>
      </w:tr>
      <w:tr w14:paraId="6D7945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7E879D1A">
            <w:pPr>
              <w:adjustRightInd w:val="0"/>
              <w:snapToGrid w:val="0"/>
              <w:spacing w:line="310" w:lineRule="exact"/>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37</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7FD937CE">
            <w:pPr>
              <w:adjustRightInd w:val="0"/>
              <w:snapToGrid w:val="0"/>
              <w:spacing w:line="310" w:lineRule="exact"/>
              <w:rPr>
                <w:rFonts w:hint="default" w:ascii="宋体" w:hAnsi="宋体" w:eastAsia="宋体" w:cs="宋体"/>
                <w:b/>
                <w:bCs/>
                <w:color w:val="auto"/>
                <w:szCs w:val="21"/>
                <w:highlight w:val="none"/>
                <w:lang w:val="en-US" w:eastAsia="zh-CN"/>
              </w:rPr>
            </w:pPr>
            <w:r>
              <w:rPr>
                <w:rFonts w:hint="eastAsia" w:ascii="宋体" w:hAnsi="宋体" w:cs="宋体"/>
                <w:b/>
                <w:bCs/>
                <w:color w:val="auto"/>
                <w:szCs w:val="21"/>
                <w:highlight w:val="none"/>
                <w:lang w:val="en-US" w:eastAsia="zh-CN"/>
              </w:rPr>
              <w:t>注意事项</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352D0F49">
            <w:pPr>
              <w:pStyle w:val="35"/>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s="宋体"/>
                <w:i w:val="0"/>
                <w:caps w:val="0"/>
                <w:color w:val="auto"/>
                <w:spacing w:val="0"/>
                <w:sz w:val="21"/>
                <w:szCs w:val="21"/>
                <w:highlight w:val="none"/>
                <w:shd w:val="clear" w:color="auto" w:fill="FFFFFF"/>
                <w:lang w:val="en-US" w:eastAsia="zh-CN"/>
              </w:rPr>
            </w:pPr>
            <w:r>
              <w:rPr>
                <w:rFonts w:hint="eastAsia" w:ascii="Times New Roman" w:hAnsi="Times New Roman" w:eastAsia="宋体" w:cs="Times New Roman"/>
                <w:color w:val="auto"/>
                <w:kern w:val="2"/>
                <w:sz w:val="21"/>
                <w:highlight w:val="none"/>
                <w:lang w:val="en-US" w:eastAsia="zh-CN" w:bidi="ar-SA"/>
              </w:rPr>
              <w:t>投标人在响应文件递交截止时间内收到的响应文件不足2家的，或评审过程中造成流标现象的，其响应文件也不予退还给投标人。</w:t>
            </w:r>
          </w:p>
        </w:tc>
      </w:tr>
      <w:tr w14:paraId="247DDF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9472139">
            <w:pPr>
              <w:adjustRightInd w:val="0"/>
              <w:snapToGrid w:val="0"/>
              <w:spacing w:line="310" w:lineRule="exact"/>
              <w:jc w:val="center"/>
              <w:rPr>
                <w:rFonts w:hint="eastAsia" w:ascii="宋体" w:hAnsi="宋体" w:eastAsia="宋体" w:cs="宋体"/>
                <w:color w:val="auto"/>
                <w:kern w:val="2"/>
                <w:sz w:val="21"/>
                <w:szCs w:val="21"/>
                <w:highlight w:val="none"/>
                <w:lang w:val="en-US" w:eastAsia="zh-CN" w:bidi="ar-SA"/>
              </w:rPr>
            </w:pPr>
            <w:bookmarkStart w:id="26" w:name="_Toc228155793"/>
            <w:bookmarkStart w:id="27" w:name="_Toc163036384"/>
            <w:bookmarkStart w:id="28" w:name="OLE_LINK4"/>
            <w:bookmarkStart w:id="29" w:name="OLE_LINK3"/>
            <w:r>
              <w:rPr>
                <w:rFonts w:hint="eastAsia" w:ascii="宋体" w:hAnsi="宋体" w:cs="宋体"/>
                <w:color w:val="auto"/>
                <w:szCs w:val="21"/>
                <w:highlight w:val="none"/>
                <w:lang w:val="en-US" w:eastAsia="zh-CN"/>
              </w:rPr>
              <w:t>38</w:t>
            </w:r>
          </w:p>
        </w:tc>
        <w:tc>
          <w:tcPr>
            <w:tcW w:w="21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018447B">
            <w:pPr>
              <w:adjustRightInd w:val="0"/>
              <w:snapToGrid w:val="0"/>
              <w:spacing w:line="310" w:lineRule="exact"/>
              <w:rPr>
                <w:rFonts w:hint="eastAsia" w:ascii="宋体" w:hAnsi="宋体" w:eastAsia="宋体" w:cs="宋体"/>
                <w:b/>
                <w:bCs/>
                <w:color w:val="auto"/>
                <w:kern w:val="2"/>
                <w:sz w:val="21"/>
                <w:szCs w:val="21"/>
                <w:highlight w:val="none"/>
                <w:lang w:val="en-US" w:eastAsia="zh-CN" w:bidi="ar-SA"/>
              </w:rPr>
            </w:pPr>
            <w:r>
              <w:rPr>
                <w:rFonts w:hint="eastAsia" w:ascii="宋体" w:hAnsi="宋体" w:cs="宋体"/>
                <w:b/>
                <w:bCs/>
                <w:color w:val="auto"/>
                <w:szCs w:val="21"/>
                <w:highlight w:val="none"/>
                <w:lang w:val="en-US" w:eastAsia="zh-CN"/>
              </w:rPr>
              <w:t>特别提醒</w:t>
            </w:r>
          </w:p>
        </w:tc>
        <w:tc>
          <w:tcPr>
            <w:tcW w:w="70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81CAA67">
            <w:pPr>
              <w:pStyle w:val="35"/>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Times New Roman" w:hAnsi="Times New Roman" w:eastAsia="宋体" w:cs="Times New Roman"/>
                <w:color w:val="auto"/>
                <w:kern w:val="2"/>
                <w:sz w:val="21"/>
                <w:szCs w:val="28"/>
                <w:highlight w:val="none"/>
                <w:lang w:val="en-US" w:eastAsia="zh-CN" w:bidi="ar-SA"/>
              </w:rPr>
            </w:pPr>
            <w:r>
              <w:rPr>
                <w:rFonts w:hint="eastAsia" w:eastAsia="宋体" w:cs="Times New Roman"/>
                <w:b/>
                <w:bCs/>
                <w:color w:val="auto"/>
                <w:kern w:val="2"/>
                <w:sz w:val="21"/>
                <w:highlight w:val="none"/>
                <w:lang w:val="en-US" w:eastAsia="zh-CN" w:bidi="ar-SA"/>
              </w:rPr>
              <w:t>本项目不得转包和分包，一经采购人发现将扣除中标人的履约保证金。</w:t>
            </w:r>
          </w:p>
        </w:tc>
      </w:tr>
    </w:tbl>
    <w:p w14:paraId="1088725E">
      <w:pPr>
        <w:rPr>
          <w:rFonts w:hint="eastAsia"/>
          <w:highlight w:val="none"/>
        </w:rPr>
      </w:pPr>
    </w:p>
    <w:p w14:paraId="5737104F">
      <w:pPr>
        <w:pStyle w:val="6"/>
        <w:keepNext/>
        <w:keepLines/>
        <w:pageBreakBefore w:val="0"/>
        <w:widowControl w:val="0"/>
        <w:kinsoku/>
        <w:wordWrap/>
        <w:overflowPunct/>
        <w:topLinePunct w:val="0"/>
        <w:autoSpaceDE/>
        <w:autoSpaceDN/>
        <w:bidi w:val="0"/>
        <w:adjustRightInd w:val="0"/>
        <w:snapToGrid w:val="0"/>
        <w:spacing w:before="0" w:beforeLines="0" w:after="0" w:afterLines="0" w:line="480" w:lineRule="auto"/>
        <w:jc w:val="center"/>
        <w:textAlignment w:val="baseline"/>
        <w:outlineLvl w:val="1"/>
        <w:rPr>
          <w:rFonts w:hint="eastAsia" w:ascii="宋体" w:hAnsi="宋体" w:eastAsia="宋体" w:cs="宋体"/>
          <w:b/>
          <w:bCs/>
          <w:color w:val="auto"/>
          <w:kern w:val="0"/>
          <w:sz w:val="30"/>
          <w:szCs w:val="30"/>
          <w:highlight w:val="none"/>
          <w:lang w:val="zh-CN" w:eastAsia="zh-CN" w:bidi="ar-SA"/>
        </w:rPr>
      </w:pPr>
      <w:r>
        <w:rPr>
          <w:rFonts w:hint="eastAsia" w:ascii="宋体" w:hAnsi="宋体" w:eastAsia="宋体" w:cs="宋体"/>
          <w:b/>
          <w:bCs/>
          <w:color w:val="auto"/>
          <w:kern w:val="0"/>
          <w:sz w:val="30"/>
          <w:szCs w:val="30"/>
          <w:highlight w:val="none"/>
          <w:lang w:val="zh-CN" w:eastAsia="zh-CN" w:bidi="ar-SA"/>
        </w:rPr>
        <w:t>二、</w:t>
      </w:r>
      <w:bookmarkEnd w:id="26"/>
      <w:r>
        <w:rPr>
          <w:rFonts w:hint="eastAsia" w:ascii="宋体" w:hAnsi="宋体" w:eastAsia="宋体" w:cs="宋体"/>
          <w:b/>
          <w:bCs/>
          <w:color w:val="auto"/>
          <w:kern w:val="0"/>
          <w:sz w:val="30"/>
          <w:szCs w:val="30"/>
          <w:highlight w:val="none"/>
          <w:lang w:val="zh-CN" w:eastAsia="zh-CN" w:bidi="ar-SA"/>
        </w:rPr>
        <w:t>供应商须知</w:t>
      </w:r>
    </w:p>
    <w:p w14:paraId="09DB5F4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1、适用范围</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本</w:t>
      </w:r>
      <w:r>
        <w:rPr>
          <w:rFonts w:hint="eastAsia" w:ascii="宋体" w:hAnsi="宋体" w:cs="宋体"/>
          <w:color w:val="auto"/>
          <w:sz w:val="24"/>
          <w:szCs w:val="24"/>
          <w:highlight w:val="none"/>
          <w:lang w:eastAsia="zh-CN"/>
        </w:rPr>
        <w:t>竞争谈判</w:t>
      </w:r>
      <w:r>
        <w:rPr>
          <w:rFonts w:hint="eastAsia" w:ascii="宋体" w:hAnsi="宋体" w:cs="宋体"/>
          <w:color w:val="auto"/>
          <w:sz w:val="24"/>
          <w:szCs w:val="24"/>
          <w:highlight w:val="none"/>
        </w:rPr>
        <w:t>文件仅适用于本</w:t>
      </w:r>
      <w:r>
        <w:rPr>
          <w:rFonts w:hint="eastAsia" w:ascii="宋体" w:hAnsi="宋体" w:cs="宋体"/>
          <w:color w:val="auto"/>
          <w:sz w:val="24"/>
          <w:szCs w:val="24"/>
          <w:highlight w:val="none"/>
          <w:lang w:eastAsia="zh-CN"/>
        </w:rPr>
        <w:t>竞争谈判</w:t>
      </w:r>
      <w:r>
        <w:rPr>
          <w:rFonts w:hint="eastAsia" w:ascii="宋体" w:hAnsi="宋体" w:cs="宋体"/>
          <w:color w:val="auto"/>
          <w:sz w:val="24"/>
          <w:szCs w:val="24"/>
          <w:highlight w:val="none"/>
        </w:rPr>
        <w:t>文件所述的</w:t>
      </w:r>
      <w:r>
        <w:rPr>
          <w:rFonts w:hint="eastAsia" w:ascii="宋体" w:hAnsi="宋体" w:cs="宋体"/>
          <w:color w:val="auto"/>
          <w:sz w:val="24"/>
          <w:szCs w:val="24"/>
          <w:highlight w:val="none"/>
          <w:lang w:val="en-US" w:eastAsia="zh-CN"/>
        </w:rPr>
        <w:t>服务</w:t>
      </w:r>
      <w:r>
        <w:rPr>
          <w:rFonts w:hint="eastAsia" w:ascii="宋体" w:hAnsi="宋体" w:cs="宋体"/>
          <w:color w:val="auto"/>
          <w:sz w:val="24"/>
          <w:szCs w:val="24"/>
          <w:highlight w:val="none"/>
        </w:rPr>
        <w:t>项目招标。</w:t>
      </w:r>
    </w:p>
    <w:p w14:paraId="5C76E0D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2、合格的供应商</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合格的供应商应符合本</w:t>
      </w:r>
      <w:r>
        <w:rPr>
          <w:rFonts w:hint="eastAsia" w:ascii="宋体" w:hAnsi="宋体" w:cs="宋体"/>
          <w:color w:val="auto"/>
          <w:sz w:val="24"/>
          <w:szCs w:val="24"/>
          <w:highlight w:val="none"/>
          <w:lang w:eastAsia="zh-CN"/>
        </w:rPr>
        <w:t>竞争谈判</w:t>
      </w:r>
      <w:r>
        <w:rPr>
          <w:rFonts w:hint="eastAsia" w:ascii="宋体" w:hAnsi="宋体" w:cs="宋体"/>
          <w:color w:val="auto"/>
          <w:sz w:val="24"/>
          <w:szCs w:val="24"/>
          <w:highlight w:val="none"/>
        </w:rPr>
        <w:t>文件载明的</w:t>
      </w:r>
      <w:r>
        <w:rPr>
          <w:rFonts w:hint="eastAsia" w:ascii="宋体" w:hAnsi="宋体" w:cs="宋体"/>
          <w:color w:val="auto"/>
          <w:sz w:val="24"/>
          <w:szCs w:val="24"/>
          <w:highlight w:val="none"/>
          <w:lang w:eastAsia="zh-CN"/>
        </w:rPr>
        <w:t>谈判</w:t>
      </w:r>
      <w:r>
        <w:rPr>
          <w:rFonts w:hint="eastAsia"/>
          <w:color w:val="auto"/>
          <w:sz w:val="24"/>
          <w:szCs w:val="24"/>
          <w:highlight w:val="none"/>
        </w:rPr>
        <w:t>供应商资</w:t>
      </w:r>
      <w:r>
        <w:rPr>
          <w:rFonts w:hint="eastAsia" w:ascii="宋体" w:hAnsi="宋体" w:cs="宋体"/>
          <w:color w:val="auto"/>
          <w:sz w:val="24"/>
          <w:szCs w:val="24"/>
          <w:highlight w:val="none"/>
        </w:rPr>
        <w:t>格。</w:t>
      </w:r>
    </w:p>
    <w:p w14:paraId="6A4C6B1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3、</w:t>
      </w:r>
      <w:r>
        <w:rPr>
          <w:rFonts w:hint="eastAsia" w:ascii="宋体" w:hAnsi="宋体" w:cs="宋体"/>
          <w:color w:val="auto"/>
          <w:sz w:val="24"/>
          <w:szCs w:val="24"/>
          <w:highlight w:val="none"/>
          <w:lang w:val="zh-CN"/>
        </w:rPr>
        <w:t>谈判报价：谈判报价为供应商在竞争谈判文件中提出的各项支付金额的总和。包括本次谈判全部内容及人员工资、材料费、工具费、税费等所发生的</w:t>
      </w:r>
      <w:r>
        <w:rPr>
          <w:rFonts w:hint="eastAsia" w:ascii="宋体" w:hAnsi="宋体" w:eastAsia="宋体" w:cs="宋体"/>
          <w:color w:val="auto"/>
          <w:sz w:val="24"/>
          <w:szCs w:val="24"/>
          <w:highlight w:val="none"/>
          <w:lang w:val="zh-CN"/>
        </w:rPr>
        <w:t>所有费用等。</w:t>
      </w:r>
      <w:r>
        <w:rPr>
          <w:rFonts w:hint="eastAsia" w:ascii="宋体" w:hAnsi="宋体" w:eastAsia="宋体" w:cs="宋体"/>
          <w:color w:val="auto"/>
          <w:sz w:val="24"/>
          <w:szCs w:val="24"/>
          <w:highlight w:val="none"/>
          <w:lang w:val="zh-CN" w:eastAsia="zh-CN"/>
        </w:rPr>
        <w:t>谈判</w:t>
      </w:r>
      <w:r>
        <w:rPr>
          <w:rFonts w:hint="eastAsia" w:ascii="宋体" w:hAnsi="宋体" w:eastAsia="宋体" w:cs="宋体"/>
          <w:color w:val="auto"/>
          <w:sz w:val="24"/>
          <w:szCs w:val="24"/>
          <w:highlight w:val="none"/>
          <w:lang w:val="zh-CN"/>
        </w:rPr>
        <w:t>供应商不得递交两份或多份内容不同的</w:t>
      </w:r>
      <w:r>
        <w:rPr>
          <w:rFonts w:hint="eastAsia" w:ascii="宋体" w:hAnsi="宋体" w:eastAsia="宋体" w:cs="宋体"/>
          <w:color w:val="auto"/>
          <w:sz w:val="24"/>
          <w:szCs w:val="24"/>
          <w:highlight w:val="none"/>
          <w:lang w:val="zh-CN" w:eastAsia="zh-CN"/>
        </w:rPr>
        <w:t>谈判</w:t>
      </w:r>
      <w:r>
        <w:rPr>
          <w:rFonts w:hint="eastAsia" w:ascii="宋体" w:hAnsi="宋体" w:eastAsia="宋体" w:cs="宋体"/>
          <w:color w:val="auto"/>
          <w:sz w:val="24"/>
          <w:szCs w:val="24"/>
          <w:highlight w:val="none"/>
          <w:lang w:val="zh-CN"/>
        </w:rPr>
        <w:t>响应文件，或在一份</w:t>
      </w:r>
      <w:r>
        <w:rPr>
          <w:rFonts w:hint="eastAsia" w:ascii="宋体" w:hAnsi="宋体" w:eastAsia="宋体" w:cs="宋体"/>
          <w:color w:val="auto"/>
          <w:sz w:val="24"/>
          <w:szCs w:val="24"/>
          <w:highlight w:val="none"/>
          <w:lang w:val="zh-CN" w:eastAsia="zh-CN"/>
        </w:rPr>
        <w:t>谈判</w:t>
      </w:r>
      <w:r>
        <w:rPr>
          <w:rFonts w:hint="eastAsia" w:ascii="宋体" w:hAnsi="宋体" w:eastAsia="宋体" w:cs="宋体"/>
          <w:color w:val="auto"/>
          <w:sz w:val="24"/>
          <w:szCs w:val="24"/>
          <w:highlight w:val="none"/>
          <w:lang w:val="zh-CN"/>
        </w:rPr>
        <w:t>响应文件中对同一谈判项目报有两个或多个报价，且未声明哪一个有效（</w:t>
      </w:r>
      <w:r>
        <w:rPr>
          <w:rFonts w:hint="eastAsia" w:ascii="宋体" w:hAnsi="宋体" w:cs="宋体"/>
          <w:color w:val="auto"/>
          <w:sz w:val="24"/>
          <w:szCs w:val="24"/>
          <w:highlight w:val="none"/>
        </w:rPr>
        <w:t>按</w:t>
      </w:r>
      <w:r>
        <w:rPr>
          <w:rFonts w:hint="eastAsia" w:ascii="宋体" w:hAnsi="宋体" w:cs="宋体"/>
          <w:color w:val="auto"/>
          <w:sz w:val="24"/>
          <w:szCs w:val="24"/>
          <w:highlight w:val="none"/>
          <w:lang w:eastAsia="zh-CN"/>
        </w:rPr>
        <w:t>竞争谈判</w:t>
      </w:r>
      <w:r>
        <w:rPr>
          <w:rFonts w:hint="eastAsia" w:ascii="宋体" w:hAnsi="宋体" w:cs="宋体"/>
          <w:color w:val="auto"/>
          <w:sz w:val="24"/>
          <w:szCs w:val="24"/>
          <w:highlight w:val="none"/>
        </w:rPr>
        <w:t>文件规定提交</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替代方案的除外），否则将被判定为无效</w:t>
      </w:r>
      <w:r>
        <w:rPr>
          <w:rFonts w:hint="eastAsia" w:ascii="宋体" w:hAnsi="宋体" w:cs="宋体"/>
          <w:color w:val="auto"/>
          <w:sz w:val="24"/>
          <w:szCs w:val="24"/>
          <w:highlight w:val="none"/>
          <w:lang w:eastAsia="zh-CN"/>
        </w:rPr>
        <w:t>谈判（</w:t>
      </w:r>
      <w:r>
        <w:rPr>
          <w:rFonts w:hint="eastAsia" w:ascii="宋体" w:hAnsi="宋体" w:cs="宋体"/>
          <w:b/>
          <w:bCs/>
          <w:color w:val="auto"/>
          <w:sz w:val="24"/>
          <w:szCs w:val="24"/>
          <w:highlight w:val="none"/>
          <w:lang w:val="en-US" w:eastAsia="zh-CN"/>
        </w:rPr>
        <w:t>本项目无需报价，供应商自主经营、自负盈亏</w:t>
      </w:r>
      <w:r>
        <w:rPr>
          <w:rFonts w:hint="eastAsia" w:ascii="宋体" w:hAnsi="宋体" w:cs="宋体"/>
          <w:b/>
          <w:bCs/>
          <w:color w:val="auto"/>
          <w:sz w:val="24"/>
          <w:szCs w:val="24"/>
          <w:highlight w:val="none"/>
          <w:lang w:eastAsia="zh-CN"/>
        </w:rPr>
        <w:t>）</w:t>
      </w:r>
      <w:r>
        <w:rPr>
          <w:rFonts w:hint="eastAsia" w:ascii="宋体" w:hAnsi="宋体" w:cs="宋体"/>
          <w:color w:val="auto"/>
          <w:sz w:val="24"/>
          <w:szCs w:val="24"/>
          <w:highlight w:val="none"/>
        </w:rPr>
        <w:t>。</w:t>
      </w:r>
    </w:p>
    <w:p w14:paraId="7873982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4、</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费用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供应商应承担其编制</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响应文件以及递交</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响应文件所涉及的一切费用，无论</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结果如何，采购单位对上述费用不负任何责任。</w:t>
      </w:r>
    </w:p>
    <w:p w14:paraId="574A22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bCs/>
          <w:color w:val="auto"/>
          <w:sz w:val="24"/>
          <w:szCs w:val="24"/>
          <w:highlight w:val="none"/>
        </w:rPr>
      </w:pPr>
      <w:r>
        <w:rPr>
          <w:rFonts w:hint="eastAsia" w:ascii="宋体" w:hAnsi="宋体" w:cs="宋体"/>
          <w:bCs/>
          <w:color w:val="auto"/>
          <w:sz w:val="24"/>
          <w:szCs w:val="24"/>
          <w:highlight w:val="none"/>
        </w:rPr>
        <w:t>5、</w:t>
      </w:r>
      <w:r>
        <w:rPr>
          <w:rFonts w:hint="eastAsia" w:ascii="宋体" w:hAnsi="宋体" w:cs="宋体"/>
          <w:bCs/>
          <w:color w:val="auto"/>
          <w:sz w:val="24"/>
          <w:szCs w:val="24"/>
          <w:highlight w:val="none"/>
          <w:lang w:eastAsia="zh-CN"/>
        </w:rPr>
        <w:t>谈判</w:t>
      </w:r>
      <w:r>
        <w:rPr>
          <w:rFonts w:hint="eastAsia" w:ascii="宋体" w:hAnsi="宋体" w:cs="宋体"/>
          <w:bCs/>
          <w:color w:val="auto"/>
          <w:sz w:val="24"/>
          <w:szCs w:val="24"/>
          <w:highlight w:val="none"/>
        </w:rPr>
        <w:t>有效期：</w:t>
      </w:r>
      <w:r>
        <w:rPr>
          <w:rFonts w:hint="eastAsia" w:ascii="宋体" w:hAnsi="宋体" w:cs="宋体"/>
          <w:color w:val="auto"/>
          <w:kern w:val="0"/>
          <w:sz w:val="24"/>
          <w:szCs w:val="24"/>
          <w:highlight w:val="none"/>
        </w:rPr>
        <w:t>见供应商须知前附表</w:t>
      </w:r>
      <w:r>
        <w:rPr>
          <w:rFonts w:hint="eastAsia" w:ascii="宋体" w:hAnsi="宋体" w:cs="宋体"/>
          <w:bCs/>
          <w:color w:val="auto"/>
          <w:sz w:val="24"/>
          <w:szCs w:val="24"/>
          <w:highlight w:val="none"/>
        </w:rPr>
        <w:t>。</w:t>
      </w:r>
    </w:p>
    <w:p w14:paraId="46663C7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6、供应商应确保所提供的</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资料的真实性、有效性及合法性，否则，由此引起的被废标等任何责任由其自行承担。</w:t>
      </w:r>
    </w:p>
    <w:p w14:paraId="77D1750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7、为保证</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活动顺利进行，供应商应派相关技术人员进行现场答疑，授权代表必须到达</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现场。</w:t>
      </w:r>
    </w:p>
    <w:p w14:paraId="468EB9D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bCs/>
          <w:color w:val="auto"/>
          <w:sz w:val="24"/>
          <w:szCs w:val="24"/>
          <w:highlight w:val="none"/>
        </w:rPr>
      </w:pPr>
      <w:r>
        <w:rPr>
          <w:rFonts w:hint="eastAsia" w:ascii="宋体" w:hAnsi="宋体" w:cs="宋体"/>
          <w:bCs/>
          <w:color w:val="auto"/>
          <w:sz w:val="24"/>
          <w:szCs w:val="24"/>
          <w:highlight w:val="none"/>
        </w:rPr>
        <w:t>8、如果</w:t>
      </w:r>
      <w:r>
        <w:rPr>
          <w:rFonts w:hint="eastAsia" w:ascii="宋体" w:hAnsi="宋体" w:cs="宋体"/>
          <w:bCs/>
          <w:color w:val="auto"/>
          <w:sz w:val="24"/>
          <w:szCs w:val="24"/>
          <w:highlight w:val="none"/>
          <w:lang w:eastAsia="zh-CN"/>
        </w:rPr>
        <w:t>谈判</w:t>
      </w:r>
      <w:r>
        <w:rPr>
          <w:rFonts w:hint="eastAsia" w:ascii="宋体" w:hAnsi="宋体" w:cs="宋体"/>
          <w:bCs/>
          <w:color w:val="auto"/>
          <w:sz w:val="24"/>
          <w:szCs w:val="24"/>
          <w:highlight w:val="none"/>
        </w:rPr>
        <w:t>小组认为有必要，可要求供应商在指定时间内提交</w:t>
      </w:r>
      <w:r>
        <w:rPr>
          <w:rFonts w:hint="eastAsia" w:ascii="宋体" w:hAnsi="宋体" w:cs="宋体"/>
          <w:bCs/>
          <w:color w:val="auto"/>
          <w:sz w:val="24"/>
          <w:szCs w:val="24"/>
          <w:highlight w:val="none"/>
          <w:lang w:eastAsia="zh-CN"/>
        </w:rPr>
        <w:t>谈判</w:t>
      </w:r>
      <w:r>
        <w:rPr>
          <w:rFonts w:hint="eastAsia" w:ascii="宋体" w:hAnsi="宋体" w:cs="宋体"/>
          <w:bCs/>
          <w:color w:val="auto"/>
          <w:sz w:val="24"/>
          <w:szCs w:val="24"/>
          <w:highlight w:val="none"/>
        </w:rPr>
        <w:t>响应文件的补充资料或证明材料。指定时间内未能提交或提交不全，做无效标处理。</w:t>
      </w:r>
    </w:p>
    <w:p w14:paraId="02EE6D0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bCs/>
          <w:color w:val="auto"/>
          <w:sz w:val="24"/>
          <w:szCs w:val="24"/>
          <w:highlight w:val="none"/>
        </w:rPr>
      </w:pPr>
      <w:r>
        <w:rPr>
          <w:rFonts w:hint="eastAsia" w:ascii="宋体" w:hAnsi="宋体" w:cs="宋体"/>
          <w:bCs/>
          <w:color w:val="auto"/>
          <w:sz w:val="24"/>
          <w:szCs w:val="24"/>
          <w:highlight w:val="none"/>
        </w:rPr>
        <w:t>9、</w:t>
      </w:r>
      <w:r>
        <w:rPr>
          <w:rFonts w:hint="eastAsia" w:ascii="宋体" w:hAnsi="宋体" w:cs="宋体"/>
          <w:bCs/>
          <w:color w:val="auto"/>
          <w:sz w:val="24"/>
          <w:szCs w:val="24"/>
          <w:highlight w:val="none"/>
          <w:lang w:eastAsia="zh-CN"/>
        </w:rPr>
        <w:t>竞争谈判</w:t>
      </w:r>
      <w:r>
        <w:rPr>
          <w:rFonts w:hint="eastAsia" w:ascii="宋体" w:hAnsi="宋体" w:cs="宋体"/>
          <w:bCs/>
          <w:color w:val="auto"/>
          <w:sz w:val="24"/>
          <w:szCs w:val="24"/>
          <w:highlight w:val="none"/>
        </w:rPr>
        <w:t>文件中如果提供参考商标或品牌，仅作为说明并没有限制性。供应商在</w:t>
      </w:r>
      <w:r>
        <w:rPr>
          <w:rFonts w:hint="eastAsia" w:ascii="宋体" w:hAnsi="宋体" w:cs="宋体"/>
          <w:bCs/>
          <w:color w:val="auto"/>
          <w:sz w:val="24"/>
          <w:szCs w:val="24"/>
          <w:highlight w:val="none"/>
          <w:lang w:eastAsia="zh-CN"/>
        </w:rPr>
        <w:t>谈判</w:t>
      </w:r>
      <w:r>
        <w:rPr>
          <w:rFonts w:hint="eastAsia" w:ascii="宋体" w:hAnsi="宋体" w:cs="宋体"/>
          <w:bCs/>
          <w:color w:val="auto"/>
          <w:sz w:val="24"/>
          <w:szCs w:val="24"/>
          <w:highlight w:val="none"/>
        </w:rPr>
        <w:t>中若选用替代商标或品牌，应优于或相当于参考商标或品牌，否则</w:t>
      </w:r>
      <w:r>
        <w:rPr>
          <w:rFonts w:hint="eastAsia" w:ascii="宋体" w:hAnsi="宋体" w:cs="宋体"/>
          <w:bCs/>
          <w:color w:val="auto"/>
          <w:sz w:val="24"/>
          <w:szCs w:val="24"/>
          <w:highlight w:val="none"/>
          <w:lang w:eastAsia="zh-CN"/>
        </w:rPr>
        <w:t>谈判</w:t>
      </w:r>
      <w:r>
        <w:rPr>
          <w:rFonts w:hint="eastAsia" w:ascii="宋体" w:hAnsi="宋体" w:cs="宋体"/>
          <w:bCs/>
          <w:color w:val="auto"/>
          <w:sz w:val="24"/>
          <w:szCs w:val="24"/>
          <w:highlight w:val="none"/>
        </w:rPr>
        <w:t>小组有权拒绝其</w:t>
      </w:r>
      <w:r>
        <w:rPr>
          <w:rFonts w:hint="eastAsia" w:ascii="宋体" w:hAnsi="宋体" w:cs="宋体"/>
          <w:bCs/>
          <w:color w:val="auto"/>
          <w:sz w:val="24"/>
          <w:szCs w:val="24"/>
          <w:highlight w:val="none"/>
          <w:lang w:eastAsia="zh-CN"/>
        </w:rPr>
        <w:t>谈判</w:t>
      </w:r>
      <w:r>
        <w:rPr>
          <w:rFonts w:hint="eastAsia" w:ascii="宋体" w:hAnsi="宋体" w:cs="宋体"/>
          <w:bCs/>
          <w:color w:val="auto"/>
          <w:sz w:val="24"/>
          <w:szCs w:val="24"/>
          <w:highlight w:val="none"/>
        </w:rPr>
        <w:t>。</w:t>
      </w:r>
    </w:p>
    <w:p w14:paraId="632CCC9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bCs/>
          <w:color w:val="auto"/>
          <w:sz w:val="24"/>
          <w:szCs w:val="24"/>
          <w:highlight w:val="none"/>
        </w:rPr>
      </w:pPr>
      <w:r>
        <w:rPr>
          <w:rFonts w:hint="eastAsia" w:ascii="宋体" w:hAnsi="宋体" w:cs="宋体"/>
          <w:bCs/>
          <w:color w:val="auto"/>
          <w:sz w:val="24"/>
          <w:szCs w:val="24"/>
          <w:highlight w:val="none"/>
        </w:rPr>
        <w:t>10、供应商必须保证，采购人在中华人民共和国境内使用</w:t>
      </w:r>
      <w:r>
        <w:rPr>
          <w:rFonts w:hint="eastAsia" w:ascii="宋体" w:hAnsi="宋体" w:cs="宋体"/>
          <w:bCs/>
          <w:color w:val="auto"/>
          <w:sz w:val="24"/>
          <w:szCs w:val="24"/>
          <w:highlight w:val="none"/>
          <w:lang w:eastAsia="zh-CN"/>
        </w:rPr>
        <w:t>谈判</w:t>
      </w:r>
      <w:r>
        <w:rPr>
          <w:rFonts w:hint="eastAsia" w:ascii="宋体" w:hAnsi="宋体" w:cs="宋体"/>
          <w:bCs/>
          <w:color w:val="auto"/>
          <w:sz w:val="24"/>
          <w:szCs w:val="24"/>
          <w:highlight w:val="none"/>
        </w:rPr>
        <w:t>货物、资料、技术、服务或其任何一部分时，享有不受限制的无偿使用权，不会产生因第三方提出侵犯其专利权、商标权或其它知识产权而引起的法律或经济纠纷。如供应商不拥有相应的知识产权，则在</w:t>
      </w:r>
      <w:r>
        <w:rPr>
          <w:rFonts w:hint="eastAsia" w:ascii="宋体" w:hAnsi="宋体" w:cs="宋体"/>
          <w:bCs/>
          <w:color w:val="auto"/>
          <w:sz w:val="24"/>
          <w:szCs w:val="24"/>
          <w:highlight w:val="none"/>
          <w:lang w:eastAsia="zh-CN"/>
        </w:rPr>
        <w:t>谈判</w:t>
      </w:r>
      <w:r>
        <w:rPr>
          <w:rFonts w:hint="eastAsia" w:ascii="宋体" w:hAnsi="宋体" w:cs="宋体"/>
          <w:bCs/>
          <w:color w:val="auto"/>
          <w:sz w:val="24"/>
          <w:szCs w:val="24"/>
          <w:highlight w:val="none"/>
        </w:rPr>
        <w:t>报价中必须包括合法获取该知识产权的一切相关费用。</w:t>
      </w:r>
    </w:p>
    <w:p w14:paraId="58C7EFE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bCs/>
          <w:color w:val="auto"/>
          <w:sz w:val="24"/>
          <w:szCs w:val="24"/>
          <w:highlight w:val="none"/>
        </w:rPr>
        <w:t>11、</w:t>
      </w:r>
      <w:r>
        <w:rPr>
          <w:rFonts w:hint="eastAsia" w:ascii="宋体" w:hAnsi="宋体" w:cs="宋体"/>
          <w:color w:val="auto"/>
          <w:sz w:val="24"/>
          <w:szCs w:val="24"/>
          <w:highlight w:val="none"/>
        </w:rPr>
        <w:t>本项目</w:t>
      </w:r>
      <w:r>
        <w:rPr>
          <w:rFonts w:hint="eastAsia" w:ascii="宋体" w:hAnsi="宋体" w:cs="宋体"/>
          <w:color w:val="auto"/>
          <w:sz w:val="24"/>
          <w:szCs w:val="24"/>
          <w:highlight w:val="none"/>
          <w:lang w:val="en-US" w:eastAsia="zh-CN"/>
        </w:rPr>
        <w:t>不</w:t>
      </w:r>
      <w:r>
        <w:rPr>
          <w:rFonts w:hint="eastAsia" w:ascii="宋体" w:hAnsi="宋体" w:cs="宋体"/>
          <w:color w:val="auto"/>
          <w:sz w:val="24"/>
          <w:szCs w:val="24"/>
          <w:highlight w:val="none"/>
        </w:rPr>
        <w:t>接受联合体</w:t>
      </w:r>
      <w:r>
        <w:rPr>
          <w:rFonts w:hint="eastAsia" w:ascii="宋体" w:hAnsi="宋体" w:cs="宋体"/>
          <w:color w:val="auto"/>
          <w:sz w:val="24"/>
          <w:szCs w:val="24"/>
          <w:highlight w:val="none"/>
          <w:lang w:val="en-US" w:eastAsia="zh-CN"/>
        </w:rPr>
        <w:t>投标</w:t>
      </w:r>
      <w:r>
        <w:rPr>
          <w:rFonts w:hint="eastAsia" w:ascii="宋体" w:hAnsi="宋体" w:cs="宋体"/>
          <w:color w:val="auto"/>
          <w:sz w:val="24"/>
          <w:szCs w:val="24"/>
          <w:highlight w:val="none"/>
        </w:rPr>
        <w:t>。</w:t>
      </w:r>
    </w:p>
    <w:p w14:paraId="78EC65B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bCs/>
          <w:color w:val="auto"/>
          <w:sz w:val="24"/>
          <w:szCs w:val="24"/>
          <w:highlight w:val="none"/>
        </w:rPr>
      </w:pPr>
      <w:r>
        <w:rPr>
          <w:rFonts w:hint="eastAsia" w:ascii="宋体" w:hAnsi="宋体" w:cs="宋体"/>
          <w:bCs/>
          <w:color w:val="auto"/>
          <w:sz w:val="24"/>
          <w:szCs w:val="24"/>
          <w:highlight w:val="none"/>
        </w:rPr>
        <w:t>12、</w:t>
      </w:r>
      <w:r>
        <w:rPr>
          <w:rFonts w:hint="eastAsia" w:ascii="宋体" w:hAnsi="宋体" w:cs="宋体"/>
          <w:color w:val="auto"/>
          <w:sz w:val="24"/>
          <w:szCs w:val="24"/>
          <w:highlight w:val="none"/>
        </w:rPr>
        <w:t>本项目</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报价采用的币种为</w:t>
      </w:r>
      <w:r>
        <w:rPr>
          <w:rFonts w:hint="eastAsia" w:ascii="宋体" w:hAnsi="宋体" w:cs="宋体"/>
          <w:color w:val="auto"/>
          <w:sz w:val="24"/>
          <w:szCs w:val="24"/>
          <w:highlight w:val="none"/>
          <w:u w:val="single"/>
        </w:rPr>
        <w:t xml:space="preserve"> 人民币 </w:t>
      </w:r>
      <w:r>
        <w:rPr>
          <w:rFonts w:hint="eastAsia" w:ascii="宋体" w:hAnsi="宋体" w:cs="宋体"/>
          <w:color w:val="auto"/>
          <w:sz w:val="24"/>
          <w:szCs w:val="24"/>
          <w:highlight w:val="none"/>
        </w:rPr>
        <w:t>。</w:t>
      </w:r>
    </w:p>
    <w:p w14:paraId="03787D0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13、</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响应文件和与</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有关的所有文件均应使用</w:t>
      </w:r>
      <w:r>
        <w:rPr>
          <w:rFonts w:hint="eastAsia" w:ascii="宋体" w:hAnsi="宋体" w:cs="宋体"/>
          <w:color w:val="auto"/>
          <w:sz w:val="24"/>
          <w:szCs w:val="24"/>
          <w:highlight w:val="none"/>
          <w:u w:val="single"/>
        </w:rPr>
        <w:t xml:space="preserve"> 汉语 </w:t>
      </w:r>
      <w:r>
        <w:rPr>
          <w:rFonts w:hint="eastAsia" w:ascii="宋体" w:hAnsi="宋体" w:cs="宋体"/>
          <w:color w:val="auto"/>
          <w:sz w:val="24"/>
          <w:szCs w:val="24"/>
          <w:highlight w:val="none"/>
        </w:rPr>
        <w:t>。</w:t>
      </w:r>
    </w:p>
    <w:p w14:paraId="7BCC596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14、除另有规定外，</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响应文件使用的</w:t>
      </w:r>
      <w:r>
        <w:rPr>
          <w:rFonts w:hint="eastAsia" w:ascii="宋体" w:hAnsi="宋体" w:cs="宋体"/>
          <w:color w:val="auto"/>
          <w:sz w:val="24"/>
          <w:szCs w:val="24"/>
          <w:highlight w:val="none"/>
          <w:lang w:val="en-US" w:eastAsia="zh-CN"/>
        </w:rPr>
        <w:t>度</w:t>
      </w:r>
      <w:r>
        <w:rPr>
          <w:rFonts w:hint="eastAsia" w:ascii="宋体" w:hAnsi="宋体" w:cs="宋体"/>
          <w:color w:val="auto"/>
          <w:sz w:val="24"/>
          <w:szCs w:val="24"/>
          <w:highlight w:val="none"/>
        </w:rPr>
        <w:t>量衡单位，均采用</w:t>
      </w:r>
      <w:r>
        <w:rPr>
          <w:rFonts w:hint="eastAsia" w:ascii="宋体" w:hAnsi="宋体" w:cs="宋体"/>
          <w:color w:val="auto"/>
          <w:sz w:val="24"/>
          <w:szCs w:val="24"/>
          <w:highlight w:val="none"/>
          <w:u w:val="single"/>
        </w:rPr>
        <w:t>中华人民共和国法定</w:t>
      </w:r>
      <w:r>
        <w:rPr>
          <w:rFonts w:hint="eastAsia" w:ascii="宋体" w:hAnsi="宋体" w:cs="宋体"/>
          <w:color w:val="auto"/>
          <w:sz w:val="24"/>
          <w:szCs w:val="24"/>
          <w:highlight w:val="none"/>
        </w:rPr>
        <w:t>计量单位。</w:t>
      </w:r>
    </w:p>
    <w:p w14:paraId="683B5FF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bCs/>
          <w:color w:val="auto"/>
          <w:sz w:val="24"/>
          <w:szCs w:val="24"/>
          <w:highlight w:val="none"/>
        </w:rPr>
      </w:pPr>
      <w:r>
        <w:rPr>
          <w:rFonts w:hint="eastAsia" w:ascii="宋体" w:hAnsi="宋体" w:cs="宋体"/>
          <w:bCs/>
          <w:color w:val="auto"/>
          <w:sz w:val="24"/>
          <w:szCs w:val="24"/>
          <w:highlight w:val="none"/>
        </w:rPr>
        <w:t>15、</w:t>
      </w:r>
      <w:r>
        <w:rPr>
          <w:rFonts w:hint="eastAsia" w:ascii="宋体" w:hAnsi="宋体" w:cs="宋体"/>
          <w:bCs/>
          <w:color w:val="auto"/>
          <w:sz w:val="24"/>
          <w:szCs w:val="24"/>
          <w:highlight w:val="none"/>
          <w:lang w:eastAsia="zh-CN"/>
        </w:rPr>
        <w:t>本公司</w:t>
      </w:r>
      <w:r>
        <w:rPr>
          <w:rFonts w:hint="eastAsia" w:ascii="宋体" w:hAnsi="宋体" w:cs="宋体"/>
          <w:bCs/>
          <w:color w:val="auto"/>
          <w:sz w:val="24"/>
          <w:szCs w:val="24"/>
          <w:highlight w:val="none"/>
        </w:rPr>
        <w:t>一律不予退还供应商的</w:t>
      </w:r>
      <w:r>
        <w:rPr>
          <w:rFonts w:hint="eastAsia" w:ascii="宋体" w:hAnsi="宋体" w:cs="宋体"/>
          <w:bCs/>
          <w:color w:val="auto"/>
          <w:sz w:val="24"/>
          <w:szCs w:val="24"/>
          <w:highlight w:val="none"/>
          <w:lang w:eastAsia="zh-CN"/>
        </w:rPr>
        <w:t>谈判</w:t>
      </w:r>
      <w:r>
        <w:rPr>
          <w:rFonts w:hint="eastAsia" w:ascii="宋体" w:hAnsi="宋体" w:cs="宋体"/>
          <w:bCs/>
          <w:color w:val="auto"/>
          <w:sz w:val="24"/>
          <w:szCs w:val="24"/>
          <w:highlight w:val="none"/>
        </w:rPr>
        <w:t>响应文件。</w:t>
      </w:r>
    </w:p>
    <w:p w14:paraId="088CE81C">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cs="宋体"/>
          <w:b/>
          <w:bCs w:val="0"/>
          <w:color w:val="auto"/>
          <w:sz w:val="24"/>
          <w:szCs w:val="24"/>
          <w:highlight w:val="none"/>
        </w:rPr>
      </w:pPr>
      <w:r>
        <w:rPr>
          <w:rFonts w:hint="eastAsia" w:ascii="宋体" w:hAnsi="宋体" w:cs="宋体"/>
          <w:b/>
          <w:bCs w:val="0"/>
          <w:color w:val="auto"/>
          <w:sz w:val="24"/>
          <w:szCs w:val="24"/>
          <w:highlight w:val="none"/>
        </w:rPr>
        <w:t>16、与本次招标活动相关的信息，将在</w:t>
      </w:r>
      <w:r>
        <w:rPr>
          <w:rFonts w:hint="eastAsia" w:ascii="宋体" w:hAnsi="宋体" w:cs="宋体"/>
          <w:b/>
          <w:bCs w:val="0"/>
          <w:color w:val="auto"/>
          <w:sz w:val="24"/>
          <w:szCs w:val="24"/>
          <w:highlight w:val="none"/>
          <w:lang w:eastAsia="zh-CN"/>
        </w:rPr>
        <w:t>安徽霍山国有资产投资控股集团有限公司</w:t>
      </w:r>
      <w:r>
        <w:rPr>
          <w:rFonts w:hint="eastAsia" w:ascii="宋体" w:hAnsi="宋体" w:cs="宋体"/>
          <w:b/>
          <w:bCs w:val="0"/>
          <w:color w:val="auto"/>
          <w:sz w:val="24"/>
          <w:szCs w:val="24"/>
          <w:highlight w:val="none"/>
        </w:rPr>
        <w:t>（</w:t>
      </w:r>
      <w:r>
        <w:rPr>
          <w:rFonts w:hint="eastAsia" w:ascii="宋体" w:hAnsi="宋体" w:cs="宋体"/>
          <w:b/>
          <w:bCs w:val="0"/>
          <w:color w:val="auto"/>
          <w:sz w:val="24"/>
          <w:szCs w:val="24"/>
          <w:highlight w:val="none"/>
          <w:lang w:eastAsia="zh-CN"/>
        </w:rPr>
        <w:t>http://www.ahdmig.cn/</w:t>
      </w:r>
      <w:r>
        <w:rPr>
          <w:rFonts w:hint="eastAsia" w:ascii="宋体" w:hAnsi="宋体" w:cs="宋体"/>
          <w:b/>
          <w:bCs w:val="0"/>
          <w:color w:val="auto"/>
          <w:sz w:val="24"/>
          <w:szCs w:val="24"/>
          <w:highlight w:val="none"/>
        </w:rPr>
        <w:t>）上及时发布。供应商对本须知如有不清楚之处，请在递交</w:t>
      </w:r>
      <w:r>
        <w:rPr>
          <w:rFonts w:hint="eastAsia" w:ascii="宋体" w:hAnsi="宋体" w:cs="宋体"/>
          <w:b/>
          <w:bCs w:val="0"/>
          <w:color w:val="auto"/>
          <w:sz w:val="24"/>
          <w:szCs w:val="24"/>
          <w:highlight w:val="none"/>
          <w:lang w:val="en-US" w:eastAsia="zh-CN"/>
        </w:rPr>
        <w:t>响应</w:t>
      </w:r>
      <w:r>
        <w:rPr>
          <w:rFonts w:hint="eastAsia" w:ascii="宋体" w:hAnsi="宋体" w:cs="宋体"/>
          <w:b/>
          <w:bCs w:val="0"/>
          <w:color w:val="auto"/>
          <w:sz w:val="24"/>
          <w:szCs w:val="24"/>
          <w:highlight w:val="none"/>
        </w:rPr>
        <w:t>文件截止时间</w:t>
      </w:r>
      <w:r>
        <w:rPr>
          <w:rFonts w:hint="eastAsia" w:ascii="宋体" w:hAnsi="宋体" w:cs="宋体"/>
          <w:b/>
          <w:bCs w:val="0"/>
          <w:color w:val="auto"/>
          <w:sz w:val="24"/>
          <w:szCs w:val="24"/>
          <w:highlight w:val="none"/>
          <w:lang w:val="en-US" w:eastAsia="zh-CN"/>
        </w:rPr>
        <w:t>2日</w:t>
      </w:r>
      <w:r>
        <w:rPr>
          <w:rFonts w:hint="eastAsia" w:ascii="宋体" w:hAnsi="宋体" w:cs="宋体"/>
          <w:b/>
          <w:bCs w:val="0"/>
          <w:color w:val="auto"/>
          <w:sz w:val="24"/>
          <w:szCs w:val="24"/>
          <w:highlight w:val="none"/>
        </w:rPr>
        <w:t>前，以书面形式告知采购人</w:t>
      </w:r>
      <w:r>
        <w:rPr>
          <w:rFonts w:hint="eastAsia" w:ascii="宋体" w:hAnsi="宋体" w:cs="宋体"/>
          <w:b/>
          <w:bCs w:val="0"/>
          <w:color w:val="auto"/>
          <w:sz w:val="24"/>
          <w:szCs w:val="24"/>
          <w:highlight w:val="none"/>
          <w:lang w:val="en-US" w:eastAsia="zh-CN"/>
        </w:rPr>
        <w:t>或</w:t>
      </w:r>
      <w:r>
        <w:rPr>
          <w:rFonts w:hint="eastAsia" w:ascii="宋体" w:hAnsi="宋体" w:cs="宋体"/>
          <w:b/>
          <w:bCs w:val="0"/>
          <w:color w:val="auto"/>
          <w:sz w:val="24"/>
          <w:szCs w:val="24"/>
          <w:highlight w:val="none"/>
          <w:lang w:eastAsia="zh-CN"/>
        </w:rPr>
        <w:t>安徽大别山工程咨询有限公司</w:t>
      </w:r>
      <w:r>
        <w:rPr>
          <w:rFonts w:hint="eastAsia" w:ascii="宋体" w:hAnsi="宋体" w:cs="宋体"/>
          <w:b/>
          <w:bCs w:val="0"/>
          <w:color w:val="auto"/>
          <w:sz w:val="24"/>
          <w:szCs w:val="24"/>
          <w:highlight w:val="none"/>
        </w:rPr>
        <w:t>并说明原因，逾期不予受理。</w:t>
      </w:r>
    </w:p>
    <w:p w14:paraId="346EBEB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b/>
          <w:bCs/>
          <w:color w:val="auto"/>
          <w:sz w:val="24"/>
          <w:szCs w:val="24"/>
          <w:highlight w:val="none"/>
        </w:rPr>
      </w:pPr>
      <w:r>
        <w:rPr>
          <w:rFonts w:hint="eastAsia" w:ascii="宋体" w:hAnsi="宋体" w:cs="宋体"/>
          <w:bCs/>
          <w:color w:val="auto"/>
          <w:sz w:val="24"/>
          <w:szCs w:val="24"/>
          <w:highlight w:val="none"/>
        </w:rPr>
        <w:t>17、本</w:t>
      </w:r>
      <w:r>
        <w:rPr>
          <w:rFonts w:hint="eastAsia" w:ascii="宋体" w:hAnsi="宋体" w:cs="宋体"/>
          <w:bCs/>
          <w:color w:val="auto"/>
          <w:sz w:val="24"/>
          <w:szCs w:val="24"/>
          <w:highlight w:val="none"/>
          <w:lang w:eastAsia="zh-CN"/>
        </w:rPr>
        <w:t>竞争谈判</w:t>
      </w:r>
      <w:r>
        <w:rPr>
          <w:rFonts w:hint="eastAsia" w:ascii="宋体" w:hAnsi="宋体" w:cs="宋体"/>
          <w:bCs/>
          <w:color w:val="auto"/>
          <w:sz w:val="24"/>
          <w:szCs w:val="24"/>
          <w:highlight w:val="none"/>
        </w:rPr>
        <w:t>文件的解释权属于采购人</w:t>
      </w:r>
      <w:r>
        <w:rPr>
          <w:rFonts w:hint="eastAsia" w:ascii="宋体" w:hAnsi="宋体" w:cs="宋体"/>
          <w:bCs/>
          <w:color w:val="auto"/>
          <w:sz w:val="24"/>
          <w:szCs w:val="24"/>
          <w:highlight w:val="none"/>
          <w:lang w:val="en-US" w:eastAsia="zh-CN"/>
        </w:rPr>
        <w:t>和</w:t>
      </w:r>
      <w:r>
        <w:rPr>
          <w:rFonts w:hint="eastAsia" w:ascii="宋体" w:hAnsi="宋体" w:cs="宋体"/>
          <w:bCs/>
          <w:color w:val="auto"/>
          <w:sz w:val="24"/>
          <w:szCs w:val="24"/>
          <w:highlight w:val="none"/>
          <w:lang w:eastAsia="zh-CN"/>
        </w:rPr>
        <w:t>安徽大别山工程咨询有限公司</w:t>
      </w:r>
      <w:r>
        <w:rPr>
          <w:rFonts w:hint="eastAsia" w:ascii="宋体" w:hAnsi="宋体" w:cs="宋体"/>
          <w:bCs/>
          <w:color w:val="auto"/>
          <w:sz w:val="24"/>
          <w:szCs w:val="24"/>
          <w:highlight w:val="none"/>
        </w:rPr>
        <w:t>。</w:t>
      </w:r>
    </w:p>
    <w:bookmarkEnd w:id="27"/>
    <w:bookmarkEnd w:id="28"/>
    <w:bookmarkEnd w:id="29"/>
    <w:p w14:paraId="38C598FE">
      <w:pPr>
        <w:pStyle w:val="6"/>
        <w:keepNext/>
        <w:keepLines/>
        <w:pageBreakBefore w:val="0"/>
        <w:widowControl w:val="0"/>
        <w:kinsoku/>
        <w:wordWrap/>
        <w:overflowPunct/>
        <w:topLinePunct w:val="0"/>
        <w:autoSpaceDE/>
        <w:autoSpaceDN/>
        <w:bidi w:val="0"/>
        <w:adjustRightInd w:val="0"/>
        <w:snapToGrid w:val="0"/>
        <w:spacing w:before="0" w:beforeLines="0" w:after="0" w:afterLines="0" w:line="480" w:lineRule="auto"/>
        <w:jc w:val="center"/>
        <w:textAlignment w:val="baseline"/>
        <w:outlineLvl w:val="1"/>
        <w:rPr>
          <w:rFonts w:hint="eastAsia" w:ascii="宋体" w:hAnsi="宋体" w:eastAsia="宋体" w:cs="宋体"/>
          <w:b/>
          <w:bCs/>
          <w:color w:val="auto"/>
          <w:kern w:val="0"/>
          <w:sz w:val="30"/>
          <w:szCs w:val="30"/>
          <w:highlight w:val="none"/>
          <w:lang w:val="zh-CN" w:eastAsia="zh-CN" w:bidi="ar-SA"/>
        </w:rPr>
      </w:pPr>
      <w:r>
        <w:rPr>
          <w:rFonts w:hint="eastAsia" w:ascii="宋体" w:hAnsi="宋体" w:eastAsia="宋体" w:cs="宋体"/>
          <w:b/>
          <w:bCs/>
          <w:color w:val="auto"/>
          <w:kern w:val="0"/>
          <w:sz w:val="30"/>
          <w:szCs w:val="30"/>
          <w:highlight w:val="none"/>
          <w:lang w:val="en-US" w:eastAsia="zh-CN" w:bidi="ar-SA"/>
        </w:rPr>
        <w:t>三、</w:t>
      </w:r>
      <w:r>
        <w:rPr>
          <w:rFonts w:hint="eastAsia" w:ascii="宋体" w:hAnsi="宋体" w:eastAsia="宋体" w:cs="宋体"/>
          <w:b/>
          <w:bCs/>
          <w:color w:val="auto"/>
          <w:kern w:val="0"/>
          <w:sz w:val="30"/>
          <w:szCs w:val="30"/>
          <w:highlight w:val="none"/>
          <w:lang w:val="zh-CN" w:eastAsia="zh-CN" w:bidi="ar-SA"/>
        </w:rPr>
        <w:t>竞争谈判文件内容、澄清及修改</w:t>
      </w:r>
    </w:p>
    <w:p w14:paraId="42E4DE5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eastAsia="zh-CN"/>
        </w:rPr>
        <w:t>竞争谈判</w:t>
      </w:r>
      <w:r>
        <w:rPr>
          <w:rFonts w:hint="eastAsia" w:ascii="宋体" w:hAnsi="宋体" w:cs="宋体"/>
          <w:color w:val="auto"/>
          <w:sz w:val="24"/>
          <w:szCs w:val="24"/>
          <w:highlight w:val="none"/>
        </w:rPr>
        <w:t>文件的组成</w:t>
      </w:r>
    </w:p>
    <w:p w14:paraId="5A30400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eastAsia="zh-CN"/>
        </w:rPr>
        <w:t>竞争谈判</w:t>
      </w:r>
      <w:r>
        <w:rPr>
          <w:rFonts w:hint="eastAsia" w:ascii="宋体" w:hAnsi="宋体" w:cs="宋体"/>
          <w:color w:val="auto"/>
          <w:sz w:val="24"/>
          <w:szCs w:val="24"/>
          <w:highlight w:val="none"/>
        </w:rPr>
        <w:t>文件包括本章第3条发出的修改澄清通知。</w:t>
      </w:r>
    </w:p>
    <w:p w14:paraId="33373FF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（2）供应商应认真审阅</w:t>
      </w:r>
      <w:r>
        <w:rPr>
          <w:rFonts w:hint="eastAsia" w:ascii="宋体" w:hAnsi="宋体" w:cs="宋体"/>
          <w:color w:val="auto"/>
          <w:sz w:val="24"/>
          <w:szCs w:val="24"/>
          <w:highlight w:val="none"/>
          <w:lang w:eastAsia="zh-CN"/>
        </w:rPr>
        <w:t>竞争谈判</w:t>
      </w:r>
      <w:r>
        <w:rPr>
          <w:rFonts w:hint="eastAsia" w:ascii="宋体" w:hAnsi="宋体" w:cs="宋体"/>
          <w:color w:val="auto"/>
          <w:sz w:val="24"/>
          <w:szCs w:val="24"/>
          <w:highlight w:val="none"/>
        </w:rPr>
        <w:t>文件所有的内容，如果供应商的</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响应文件不能实质性地响应</w:t>
      </w:r>
      <w:r>
        <w:rPr>
          <w:rFonts w:hint="eastAsia" w:ascii="宋体" w:hAnsi="宋体" w:cs="宋体"/>
          <w:color w:val="auto"/>
          <w:sz w:val="24"/>
          <w:szCs w:val="24"/>
          <w:highlight w:val="none"/>
          <w:lang w:eastAsia="zh-CN"/>
        </w:rPr>
        <w:t>竞争谈判</w:t>
      </w:r>
      <w:r>
        <w:rPr>
          <w:rFonts w:hint="eastAsia" w:ascii="宋体" w:hAnsi="宋体" w:cs="宋体"/>
          <w:color w:val="auto"/>
          <w:sz w:val="24"/>
          <w:szCs w:val="24"/>
          <w:highlight w:val="none"/>
        </w:rPr>
        <w:t>文件要求，将作废标处理。</w:t>
      </w:r>
    </w:p>
    <w:p w14:paraId="56FF07B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eastAsia="zh-CN"/>
        </w:rPr>
        <w:t>竞争谈判</w:t>
      </w:r>
      <w:r>
        <w:rPr>
          <w:rFonts w:hint="eastAsia" w:ascii="宋体" w:hAnsi="宋体" w:cs="宋体"/>
          <w:color w:val="auto"/>
          <w:sz w:val="24"/>
          <w:szCs w:val="24"/>
          <w:highlight w:val="none"/>
        </w:rPr>
        <w:t>文件的澄清</w:t>
      </w:r>
    </w:p>
    <w:p w14:paraId="4FD672A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（1）要求澄清</w:t>
      </w:r>
      <w:r>
        <w:rPr>
          <w:rFonts w:hint="eastAsia" w:ascii="宋体" w:hAnsi="宋体" w:cs="宋体"/>
          <w:color w:val="auto"/>
          <w:sz w:val="24"/>
          <w:szCs w:val="24"/>
          <w:highlight w:val="none"/>
          <w:lang w:eastAsia="zh-CN"/>
        </w:rPr>
        <w:t>竞争谈判</w:t>
      </w:r>
      <w:r>
        <w:rPr>
          <w:rFonts w:hint="eastAsia" w:ascii="宋体" w:hAnsi="宋体" w:cs="宋体"/>
          <w:color w:val="auto"/>
          <w:sz w:val="24"/>
          <w:szCs w:val="24"/>
          <w:highlight w:val="none"/>
        </w:rPr>
        <w:t>文件的供应商，最迟应在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截止日期前</w:t>
      </w:r>
      <w:r>
        <w:rPr>
          <w:rFonts w:hint="eastAsia" w:ascii="宋体" w:hAnsi="宋体" w:cs="宋体"/>
          <w:color w:val="auto"/>
          <w:sz w:val="24"/>
          <w:szCs w:val="24"/>
          <w:highlight w:val="none"/>
          <w:lang w:val="en-US" w:eastAsia="zh-CN"/>
        </w:rPr>
        <w:t>2日</w:t>
      </w:r>
      <w:r>
        <w:rPr>
          <w:rFonts w:hint="eastAsia" w:ascii="宋体" w:hAnsi="宋体" w:cs="宋体"/>
          <w:color w:val="auto"/>
          <w:sz w:val="24"/>
          <w:szCs w:val="24"/>
          <w:highlight w:val="none"/>
        </w:rPr>
        <w:t>以书面或传真的方式向采购人提出要求澄清的问题。采购人在不迟于</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截止日前</w:t>
      </w:r>
      <w:r>
        <w:rPr>
          <w:rFonts w:hint="eastAsia" w:ascii="宋体" w:hAnsi="宋体" w:cs="宋体"/>
          <w:color w:val="auto"/>
          <w:sz w:val="24"/>
          <w:szCs w:val="24"/>
          <w:highlight w:val="none"/>
          <w:lang w:val="en-US" w:eastAsia="zh-CN"/>
        </w:rPr>
        <w:t>1日</w:t>
      </w:r>
      <w:r>
        <w:rPr>
          <w:rFonts w:hint="eastAsia" w:ascii="宋体" w:hAnsi="宋体" w:cs="宋体"/>
          <w:color w:val="auto"/>
          <w:sz w:val="24"/>
          <w:szCs w:val="24"/>
          <w:highlight w:val="none"/>
        </w:rPr>
        <w:t>以书面形式予以解答，此书面答复（包括对询问的解释，但不说明询问来源）将以补充书面文件形式在</w:t>
      </w:r>
      <w:r>
        <w:rPr>
          <w:rFonts w:hint="eastAsia" w:ascii="宋体" w:hAnsi="宋体" w:cs="宋体"/>
          <w:color w:val="auto"/>
          <w:sz w:val="24"/>
          <w:szCs w:val="24"/>
          <w:highlight w:val="none"/>
          <w:lang w:eastAsia="zh-CN"/>
        </w:rPr>
        <w:t>安徽霍山国有资产投资控股集团有限公司</w:t>
      </w:r>
      <w:r>
        <w:rPr>
          <w:rFonts w:hint="eastAsia" w:ascii="宋体" w:hAnsi="宋体" w:cs="宋体"/>
          <w:color w:val="auto"/>
          <w:sz w:val="24"/>
          <w:szCs w:val="24"/>
          <w:highlight w:val="none"/>
        </w:rPr>
        <w:t>（</w:t>
      </w:r>
      <w:r>
        <w:rPr>
          <w:rFonts w:hint="eastAsia" w:ascii="宋体" w:hAnsi="宋体" w:cs="宋体"/>
          <w:color w:val="auto"/>
          <w:sz w:val="24"/>
          <w:szCs w:val="24"/>
          <w:highlight w:val="none"/>
          <w:lang w:eastAsia="zh-CN"/>
        </w:rPr>
        <w:t>http://www.ahdmig.cn/</w:t>
      </w:r>
      <w:r>
        <w:rPr>
          <w:rFonts w:hint="eastAsia" w:ascii="宋体" w:hAnsi="宋体" w:cs="宋体"/>
          <w:color w:val="auto"/>
          <w:sz w:val="24"/>
          <w:szCs w:val="24"/>
          <w:highlight w:val="none"/>
        </w:rPr>
        <w:t>）上及时发布，由此而产生的对</w:t>
      </w:r>
      <w:r>
        <w:rPr>
          <w:rFonts w:hint="eastAsia" w:ascii="宋体" w:hAnsi="宋体" w:cs="宋体"/>
          <w:color w:val="auto"/>
          <w:sz w:val="24"/>
          <w:szCs w:val="24"/>
          <w:highlight w:val="none"/>
          <w:lang w:eastAsia="zh-CN"/>
        </w:rPr>
        <w:t>竞争谈判</w:t>
      </w:r>
      <w:r>
        <w:rPr>
          <w:rFonts w:hint="eastAsia" w:ascii="宋体" w:hAnsi="宋体" w:cs="宋体"/>
          <w:color w:val="auto"/>
          <w:sz w:val="24"/>
          <w:szCs w:val="24"/>
          <w:highlight w:val="none"/>
        </w:rPr>
        <w:t>文件内容的修改，将均在网上发布。</w:t>
      </w:r>
    </w:p>
    <w:p w14:paraId="3964F16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（2）供应商对采购人提供的</w:t>
      </w:r>
      <w:r>
        <w:rPr>
          <w:rFonts w:hint="eastAsia" w:ascii="宋体" w:hAnsi="宋体" w:cs="宋体"/>
          <w:color w:val="auto"/>
          <w:sz w:val="24"/>
          <w:szCs w:val="24"/>
          <w:highlight w:val="none"/>
          <w:lang w:eastAsia="zh-CN"/>
        </w:rPr>
        <w:t>竞争谈判</w:t>
      </w:r>
      <w:r>
        <w:rPr>
          <w:rFonts w:hint="eastAsia" w:ascii="宋体" w:hAnsi="宋体" w:cs="宋体"/>
          <w:color w:val="auto"/>
          <w:sz w:val="24"/>
          <w:szCs w:val="24"/>
          <w:highlight w:val="none"/>
        </w:rPr>
        <w:t>文件所做的推证、解释和结论，采购人概不负责，供应商由于对</w:t>
      </w:r>
      <w:r>
        <w:rPr>
          <w:rFonts w:hint="eastAsia" w:ascii="宋体" w:hAnsi="宋体" w:cs="宋体"/>
          <w:color w:val="auto"/>
          <w:sz w:val="24"/>
          <w:szCs w:val="24"/>
          <w:highlight w:val="none"/>
          <w:lang w:eastAsia="zh-CN"/>
        </w:rPr>
        <w:t>竞争谈判</w:t>
      </w:r>
      <w:r>
        <w:rPr>
          <w:rFonts w:hint="eastAsia" w:ascii="宋体" w:hAnsi="宋体" w:cs="宋体"/>
          <w:color w:val="auto"/>
          <w:sz w:val="24"/>
          <w:szCs w:val="24"/>
          <w:highlight w:val="none"/>
        </w:rPr>
        <w:t>文件的任何推证和误解以及</w:t>
      </w:r>
      <w:r>
        <w:rPr>
          <w:rFonts w:hint="eastAsia" w:ascii="宋体" w:hAnsi="宋体" w:cs="宋体"/>
          <w:color w:val="auto"/>
          <w:sz w:val="24"/>
          <w:szCs w:val="24"/>
          <w:highlight w:val="none"/>
          <w:lang w:eastAsia="zh-CN"/>
        </w:rPr>
        <w:t>竞争谈判</w:t>
      </w:r>
      <w:r>
        <w:rPr>
          <w:rFonts w:hint="eastAsia" w:ascii="宋体" w:hAnsi="宋体" w:cs="宋体"/>
          <w:color w:val="auto"/>
          <w:sz w:val="24"/>
          <w:szCs w:val="24"/>
          <w:highlight w:val="none"/>
        </w:rPr>
        <w:t>文件对有关问题的口头解释所造成的后果，均由供应商自负。供应商应认真检查</w:t>
      </w:r>
      <w:r>
        <w:rPr>
          <w:rFonts w:hint="eastAsia" w:ascii="宋体" w:hAnsi="宋体" w:cs="宋体"/>
          <w:color w:val="auto"/>
          <w:sz w:val="24"/>
          <w:szCs w:val="24"/>
          <w:highlight w:val="none"/>
          <w:lang w:eastAsia="zh-CN"/>
        </w:rPr>
        <w:t>竞争谈判</w:t>
      </w:r>
      <w:r>
        <w:rPr>
          <w:rFonts w:hint="eastAsia" w:ascii="宋体" w:hAnsi="宋体" w:cs="宋体"/>
          <w:color w:val="auto"/>
          <w:sz w:val="24"/>
          <w:szCs w:val="24"/>
          <w:highlight w:val="none"/>
        </w:rPr>
        <w:t>文件是否齐全，如有遗漏，请于3日内向</w:t>
      </w:r>
      <w:r>
        <w:rPr>
          <w:rFonts w:hint="eastAsia" w:ascii="宋体" w:hAnsi="宋体" w:cs="宋体"/>
          <w:color w:val="auto"/>
          <w:sz w:val="24"/>
          <w:szCs w:val="24"/>
          <w:highlight w:val="none"/>
          <w:lang w:val="en-US" w:eastAsia="zh-CN"/>
        </w:rPr>
        <w:t>本公司</w:t>
      </w:r>
      <w:r>
        <w:rPr>
          <w:rFonts w:hint="eastAsia" w:ascii="宋体" w:hAnsi="宋体" w:cs="宋体"/>
          <w:color w:val="auto"/>
          <w:sz w:val="24"/>
          <w:szCs w:val="24"/>
          <w:highlight w:val="none"/>
        </w:rPr>
        <w:t>索取，否则责任自负。</w:t>
      </w:r>
    </w:p>
    <w:p w14:paraId="7AB84B0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3、</w:t>
      </w:r>
      <w:r>
        <w:rPr>
          <w:rFonts w:hint="eastAsia" w:ascii="宋体" w:hAnsi="宋体" w:cs="宋体"/>
          <w:color w:val="auto"/>
          <w:sz w:val="24"/>
          <w:szCs w:val="24"/>
          <w:highlight w:val="none"/>
          <w:lang w:eastAsia="zh-CN"/>
        </w:rPr>
        <w:t>竞争谈判</w:t>
      </w:r>
      <w:r>
        <w:rPr>
          <w:rFonts w:hint="eastAsia" w:ascii="宋体" w:hAnsi="宋体" w:cs="宋体"/>
          <w:color w:val="auto"/>
          <w:sz w:val="24"/>
          <w:szCs w:val="24"/>
          <w:highlight w:val="none"/>
        </w:rPr>
        <w:t>文件的修改</w:t>
      </w:r>
    </w:p>
    <w:p w14:paraId="7A3646A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截止日期</w:t>
      </w:r>
      <w:r>
        <w:rPr>
          <w:rFonts w:hint="eastAsia" w:ascii="宋体" w:hAnsi="宋体" w:cs="宋体"/>
          <w:color w:val="auto"/>
          <w:sz w:val="24"/>
          <w:szCs w:val="24"/>
          <w:highlight w:val="none"/>
          <w:lang w:val="en-US" w:eastAsia="zh-CN"/>
        </w:rPr>
        <w:t>1日</w:t>
      </w:r>
      <w:r>
        <w:rPr>
          <w:rFonts w:hint="eastAsia" w:ascii="宋体" w:hAnsi="宋体" w:cs="宋体"/>
          <w:color w:val="auto"/>
          <w:sz w:val="24"/>
          <w:szCs w:val="24"/>
          <w:highlight w:val="none"/>
        </w:rPr>
        <w:t>前，采购人可以以网站发布更正通知的方式修改</w:t>
      </w:r>
      <w:r>
        <w:rPr>
          <w:rFonts w:hint="eastAsia" w:ascii="宋体" w:hAnsi="宋体" w:cs="宋体"/>
          <w:color w:val="auto"/>
          <w:sz w:val="24"/>
          <w:szCs w:val="24"/>
          <w:highlight w:val="none"/>
          <w:lang w:eastAsia="zh-CN"/>
        </w:rPr>
        <w:t>竞争谈判</w:t>
      </w:r>
      <w:r>
        <w:rPr>
          <w:rFonts w:hint="eastAsia" w:ascii="宋体" w:hAnsi="宋体" w:cs="宋体"/>
          <w:color w:val="auto"/>
          <w:sz w:val="24"/>
          <w:szCs w:val="24"/>
          <w:highlight w:val="none"/>
        </w:rPr>
        <w:t>文件，修改通知作为</w:t>
      </w:r>
      <w:r>
        <w:rPr>
          <w:rFonts w:hint="eastAsia" w:ascii="宋体" w:hAnsi="宋体" w:cs="宋体"/>
          <w:color w:val="auto"/>
          <w:sz w:val="24"/>
          <w:szCs w:val="24"/>
          <w:highlight w:val="none"/>
          <w:lang w:eastAsia="zh-CN"/>
        </w:rPr>
        <w:t>竞争谈判</w:t>
      </w:r>
      <w:r>
        <w:rPr>
          <w:rFonts w:hint="eastAsia" w:ascii="宋体" w:hAnsi="宋体" w:cs="宋体"/>
          <w:color w:val="auto"/>
          <w:sz w:val="24"/>
          <w:szCs w:val="24"/>
          <w:highlight w:val="none"/>
        </w:rPr>
        <w:t>文件的组成部分，对供应商有同等约束作用。</w:t>
      </w:r>
    </w:p>
    <w:p w14:paraId="2898462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（2）供应商在收到</w:t>
      </w:r>
      <w:r>
        <w:rPr>
          <w:rFonts w:hint="eastAsia" w:ascii="宋体" w:hAnsi="宋体" w:cs="宋体"/>
          <w:color w:val="auto"/>
          <w:sz w:val="24"/>
          <w:szCs w:val="24"/>
          <w:highlight w:val="none"/>
          <w:lang w:eastAsia="zh-CN"/>
        </w:rPr>
        <w:t>竞争谈判</w:t>
      </w:r>
      <w:r>
        <w:rPr>
          <w:rFonts w:hint="eastAsia" w:ascii="宋体" w:hAnsi="宋体" w:cs="宋体"/>
          <w:color w:val="auto"/>
          <w:sz w:val="24"/>
          <w:szCs w:val="24"/>
          <w:highlight w:val="none"/>
        </w:rPr>
        <w:t>文件修改通知后24小时内，应以电话、电报、电传或传真等形式告知</w:t>
      </w:r>
      <w:r>
        <w:rPr>
          <w:rFonts w:hint="eastAsia" w:ascii="宋体" w:hAnsi="宋体" w:cs="宋体"/>
          <w:color w:val="auto"/>
          <w:sz w:val="24"/>
          <w:szCs w:val="24"/>
          <w:highlight w:val="none"/>
          <w:lang w:eastAsia="zh-CN"/>
        </w:rPr>
        <w:t>本公司</w:t>
      </w:r>
      <w:r>
        <w:rPr>
          <w:rFonts w:hint="eastAsia" w:ascii="宋体" w:hAnsi="宋体" w:cs="宋体"/>
          <w:color w:val="auto"/>
          <w:sz w:val="24"/>
          <w:szCs w:val="24"/>
          <w:highlight w:val="none"/>
        </w:rPr>
        <w:t>予以确认。</w:t>
      </w:r>
    </w:p>
    <w:p w14:paraId="3739279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（3）为使供应商有合理的时间将修改通知内容考虑进去，采购人可以酌情延长递交</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响应文件的截止日期，具体时间将在修改通知中写明。当</w:t>
      </w:r>
      <w:r>
        <w:rPr>
          <w:rFonts w:hint="eastAsia" w:ascii="宋体" w:hAnsi="宋体" w:cs="宋体"/>
          <w:color w:val="auto"/>
          <w:sz w:val="24"/>
          <w:szCs w:val="24"/>
          <w:highlight w:val="none"/>
          <w:lang w:eastAsia="zh-CN"/>
        </w:rPr>
        <w:t>竞争谈判</w:t>
      </w:r>
      <w:r>
        <w:rPr>
          <w:rFonts w:hint="eastAsia" w:ascii="宋体" w:hAnsi="宋体" w:cs="宋体"/>
          <w:color w:val="auto"/>
          <w:sz w:val="24"/>
          <w:szCs w:val="24"/>
          <w:highlight w:val="none"/>
        </w:rPr>
        <w:t>文件、修改通知内容相互矛盾时，以最后发出的书面通知为准。</w:t>
      </w:r>
    </w:p>
    <w:p w14:paraId="17CF29D7">
      <w:pPr>
        <w:pStyle w:val="6"/>
        <w:keepNext/>
        <w:keepLines/>
        <w:pageBreakBefore w:val="0"/>
        <w:widowControl w:val="0"/>
        <w:kinsoku/>
        <w:wordWrap/>
        <w:overflowPunct/>
        <w:topLinePunct w:val="0"/>
        <w:autoSpaceDE/>
        <w:autoSpaceDN/>
        <w:bidi w:val="0"/>
        <w:adjustRightInd w:val="0"/>
        <w:snapToGrid w:val="0"/>
        <w:spacing w:before="0" w:beforeLines="0" w:after="0" w:afterLines="0" w:line="480" w:lineRule="auto"/>
        <w:jc w:val="center"/>
        <w:textAlignment w:val="baseline"/>
        <w:outlineLvl w:val="1"/>
        <w:rPr>
          <w:rFonts w:hint="eastAsia" w:ascii="宋体" w:hAnsi="宋体" w:eastAsia="宋体" w:cs="宋体"/>
          <w:b/>
          <w:bCs/>
          <w:color w:val="auto"/>
          <w:kern w:val="0"/>
          <w:sz w:val="30"/>
          <w:szCs w:val="30"/>
          <w:highlight w:val="none"/>
          <w:lang w:val="zh-CN" w:eastAsia="zh-CN" w:bidi="ar-SA"/>
        </w:rPr>
      </w:pPr>
      <w:r>
        <w:rPr>
          <w:rFonts w:hint="eastAsia" w:ascii="宋体" w:hAnsi="宋体" w:eastAsia="宋体" w:cs="宋体"/>
          <w:b/>
          <w:bCs/>
          <w:color w:val="auto"/>
          <w:kern w:val="0"/>
          <w:sz w:val="30"/>
          <w:szCs w:val="30"/>
          <w:highlight w:val="none"/>
          <w:lang w:val="zh-CN" w:eastAsia="zh-CN" w:bidi="ar-SA"/>
        </w:rPr>
        <w:t>四、谈判响应文件的编制</w:t>
      </w:r>
    </w:p>
    <w:p w14:paraId="3F642B8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响应文件是对</w:t>
      </w:r>
      <w:r>
        <w:rPr>
          <w:rFonts w:hint="eastAsia" w:ascii="宋体" w:hAnsi="宋体" w:cs="宋体"/>
          <w:color w:val="auto"/>
          <w:sz w:val="24"/>
          <w:szCs w:val="24"/>
          <w:highlight w:val="none"/>
          <w:lang w:eastAsia="zh-CN"/>
        </w:rPr>
        <w:t>竞争谈判</w:t>
      </w:r>
      <w:r>
        <w:rPr>
          <w:rFonts w:hint="eastAsia" w:ascii="宋体" w:hAnsi="宋体" w:cs="宋体"/>
          <w:color w:val="auto"/>
          <w:sz w:val="24"/>
          <w:szCs w:val="24"/>
          <w:highlight w:val="none"/>
        </w:rPr>
        <w:t>文件实质性响应的承诺文件。</w:t>
      </w:r>
    </w:p>
    <w:p w14:paraId="6D22C86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响应文件的份数和签署</w:t>
      </w:r>
    </w:p>
    <w:p w14:paraId="335F745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b/>
          <w:color w:val="auto"/>
          <w:kern w:val="0"/>
          <w:sz w:val="24"/>
          <w:szCs w:val="24"/>
          <w:highlight w:val="none"/>
        </w:rPr>
      </w:pPr>
      <w:r>
        <w:rPr>
          <w:rFonts w:hint="eastAsia" w:ascii="宋体" w:hAnsi="宋体" w:cs="宋体"/>
          <w:color w:val="auto"/>
          <w:sz w:val="24"/>
          <w:szCs w:val="24"/>
          <w:highlight w:val="none"/>
        </w:rPr>
        <w:t>（1）</w:t>
      </w:r>
      <w:r>
        <w:rPr>
          <w:rFonts w:hint="eastAsia" w:ascii="宋体" w:hAnsi="宋体" w:cs="宋体"/>
          <w:b/>
          <w:color w:val="auto"/>
          <w:kern w:val="0"/>
          <w:sz w:val="24"/>
          <w:szCs w:val="24"/>
          <w:highlight w:val="none"/>
        </w:rPr>
        <w:t>供应商应按本</w:t>
      </w:r>
      <w:r>
        <w:rPr>
          <w:rFonts w:hint="eastAsia" w:ascii="宋体" w:hAnsi="宋体" w:cs="宋体"/>
          <w:b/>
          <w:color w:val="auto"/>
          <w:kern w:val="0"/>
          <w:sz w:val="24"/>
          <w:szCs w:val="24"/>
          <w:highlight w:val="none"/>
          <w:lang w:eastAsia="zh-CN"/>
        </w:rPr>
        <w:t>竞争谈判</w:t>
      </w:r>
      <w:r>
        <w:rPr>
          <w:rFonts w:hint="eastAsia" w:ascii="宋体" w:hAnsi="宋体" w:cs="宋体"/>
          <w:b/>
          <w:color w:val="auto"/>
          <w:kern w:val="0"/>
          <w:sz w:val="24"/>
          <w:szCs w:val="24"/>
          <w:highlight w:val="none"/>
        </w:rPr>
        <w:t>文件的规定，向采购单位提交</w:t>
      </w:r>
      <w:r>
        <w:rPr>
          <w:rFonts w:hint="eastAsia" w:ascii="宋体" w:hAnsi="宋体" w:cs="宋体"/>
          <w:b/>
          <w:color w:val="auto"/>
          <w:kern w:val="0"/>
          <w:sz w:val="24"/>
          <w:szCs w:val="24"/>
          <w:highlight w:val="none"/>
          <w:lang w:eastAsia="zh-CN"/>
        </w:rPr>
        <w:t>谈判</w:t>
      </w:r>
      <w:r>
        <w:rPr>
          <w:rFonts w:hint="eastAsia" w:ascii="宋体" w:hAnsi="宋体" w:cs="宋体"/>
          <w:b/>
          <w:color w:val="auto"/>
          <w:kern w:val="0"/>
          <w:sz w:val="24"/>
          <w:szCs w:val="24"/>
          <w:highlight w:val="none"/>
        </w:rPr>
        <w:t>响应文件，其中壹份正本，贰份副本。并在封</w:t>
      </w:r>
      <w:r>
        <w:rPr>
          <w:rFonts w:hint="eastAsia" w:ascii="宋体" w:hAnsi="宋体" w:cs="宋体"/>
          <w:b/>
          <w:color w:val="auto"/>
          <w:kern w:val="0"/>
          <w:sz w:val="24"/>
          <w:szCs w:val="24"/>
          <w:highlight w:val="none"/>
          <w:lang w:val="en-US" w:eastAsia="zh-CN"/>
        </w:rPr>
        <w:t>面</w:t>
      </w:r>
      <w:r>
        <w:rPr>
          <w:rFonts w:hint="eastAsia" w:ascii="宋体" w:hAnsi="宋体" w:cs="宋体"/>
          <w:b/>
          <w:color w:val="auto"/>
          <w:kern w:val="0"/>
          <w:sz w:val="24"/>
          <w:szCs w:val="24"/>
          <w:highlight w:val="none"/>
        </w:rPr>
        <w:t>上注明“正本”或“副本”字样，当正本与副本有不一致时，以正本为准。</w:t>
      </w:r>
    </w:p>
    <w:p w14:paraId="5A90193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响应文件正、副本均使用A4纸统一装订，且均应使用不能擦去的墨水书写或打印，按前附表要求盖章、签字。</w:t>
      </w:r>
    </w:p>
    <w:p w14:paraId="289BEDD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b/>
          <w:bCs/>
          <w:color w:val="auto"/>
          <w:sz w:val="24"/>
          <w:szCs w:val="24"/>
          <w:highlight w:val="none"/>
        </w:rPr>
      </w:pPr>
      <w:r>
        <w:rPr>
          <w:rFonts w:hint="eastAsia" w:ascii="宋体" w:hAnsi="宋体" w:cs="宋体"/>
          <w:color w:val="auto"/>
          <w:sz w:val="24"/>
          <w:szCs w:val="24"/>
          <w:highlight w:val="none"/>
        </w:rPr>
        <w:t>（3）全套</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响应文件应无修改和行间插字，除非这些修改是根据“</w:t>
      </w:r>
      <w:r>
        <w:rPr>
          <w:rFonts w:hint="eastAsia" w:ascii="宋体" w:hAnsi="宋体" w:cs="宋体"/>
          <w:color w:val="auto"/>
          <w:sz w:val="24"/>
          <w:szCs w:val="24"/>
          <w:highlight w:val="none"/>
          <w:lang w:eastAsia="zh-CN"/>
        </w:rPr>
        <w:t>竞争谈判</w:t>
      </w:r>
      <w:r>
        <w:rPr>
          <w:rFonts w:hint="eastAsia" w:ascii="宋体" w:hAnsi="宋体" w:cs="宋体"/>
          <w:color w:val="auto"/>
          <w:sz w:val="24"/>
          <w:szCs w:val="24"/>
          <w:highlight w:val="none"/>
        </w:rPr>
        <w:t>文件修改通知”的要求进行的，或者是供应商明显笔误必须修改的。不论何种原因造成的涂改、插字和删除，都应由</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响应文件签署人加盖印鉴。</w:t>
      </w:r>
    </w:p>
    <w:p w14:paraId="1B8B2D49">
      <w:pPr>
        <w:pStyle w:val="6"/>
        <w:keepNext/>
        <w:keepLines/>
        <w:pageBreakBefore w:val="0"/>
        <w:widowControl w:val="0"/>
        <w:kinsoku/>
        <w:wordWrap/>
        <w:overflowPunct/>
        <w:topLinePunct w:val="0"/>
        <w:autoSpaceDE/>
        <w:autoSpaceDN/>
        <w:bidi w:val="0"/>
        <w:adjustRightInd w:val="0"/>
        <w:snapToGrid w:val="0"/>
        <w:spacing w:before="0" w:beforeLines="0" w:after="0" w:afterLines="0" w:line="480" w:lineRule="auto"/>
        <w:jc w:val="center"/>
        <w:textAlignment w:val="baseline"/>
        <w:outlineLvl w:val="1"/>
        <w:rPr>
          <w:rFonts w:hint="eastAsia" w:ascii="宋体" w:hAnsi="宋体" w:eastAsia="宋体" w:cs="宋体"/>
          <w:b/>
          <w:bCs/>
          <w:color w:val="auto"/>
          <w:kern w:val="0"/>
          <w:sz w:val="30"/>
          <w:szCs w:val="30"/>
          <w:highlight w:val="none"/>
          <w:lang w:val="zh-CN" w:eastAsia="zh-CN" w:bidi="ar-SA"/>
        </w:rPr>
      </w:pPr>
      <w:r>
        <w:rPr>
          <w:rFonts w:hint="eastAsia" w:ascii="宋体" w:hAnsi="宋体" w:eastAsia="宋体" w:cs="宋体"/>
          <w:b/>
          <w:bCs/>
          <w:color w:val="auto"/>
          <w:kern w:val="0"/>
          <w:sz w:val="30"/>
          <w:szCs w:val="30"/>
          <w:highlight w:val="none"/>
          <w:lang w:val="zh-CN" w:eastAsia="zh-CN" w:bidi="ar-SA"/>
        </w:rPr>
        <w:t>五、谈判响应文件的递交</w:t>
      </w:r>
    </w:p>
    <w:p w14:paraId="325DE9F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响应文件的密封与标志</w:t>
      </w:r>
    </w:p>
    <w:p w14:paraId="6BE8887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谈判响应文件所有正、副本均应密封在一个文件袋中，并在封套上加盖供应商公章，封套上应写明：“</w:t>
      </w:r>
      <w:r>
        <w:rPr>
          <w:rFonts w:hint="eastAsia" w:ascii="宋体" w:hAnsi="宋体" w:cs="宋体"/>
          <w:color w:val="auto"/>
          <w:sz w:val="24"/>
          <w:szCs w:val="24"/>
          <w:highlight w:val="none"/>
          <w:u w:val="single"/>
        </w:rPr>
        <w:t>（采购项目名称）</w:t>
      </w:r>
      <w:r>
        <w:rPr>
          <w:rFonts w:hint="eastAsia" w:ascii="宋体" w:hAnsi="宋体" w:cs="宋体"/>
          <w:color w:val="auto"/>
          <w:sz w:val="24"/>
          <w:szCs w:val="24"/>
          <w:highlight w:val="none"/>
        </w:rPr>
        <w:t>谈判响应文件、</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月</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日</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时</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分前不得开启”字样。</w:t>
      </w:r>
    </w:p>
    <w:p w14:paraId="040F169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供应商未按要求密封响应文件的，自行承担响应文件遗失、提前解封等责任。</w:t>
      </w:r>
    </w:p>
    <w:p w14:paraId="5C59F6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截止期</w:t>
      </w:r>
    </w:p>
    <w:p w14:paraId="32D02DC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（1）供应商应在</w:t>
      </w:r>
      <w:r>
        <w:rPr>
          <w:rFonts w:hint="eastAsia" w:ascii="宋体" w:hAnsi="宋体" w:cs="宋体"/>
          <w:color w:val="auto"/>
          <w:kern w:val="0"/>
          <w:sz w:val="24"/>
          <w:szCs w:val="24"/>
          <w:highlight w:val="none"/>
          <w:lang w:eastAsia="zh-CN"/>
        </w:rPr>
        <w:t>谈判</w:t>
      </w:r>
      <w:r>
        <w:rPr>
          <w:rFonts w:hint="eastAsia" w:ascii="宋体" w:hAnsi="宋体" w:cs="宋体"/>
          <w:color w:val="auto"/>
          <w:kern w:val="0"/>
          <w:sz w:val="24"/>
          <w:szCs w:val="24"/>
          <w:highlight w:val="none"/>
        </w:rPr>
        <w:t>须知中规定的时间之前将</w:t>
      </w:r>
      <w:r>
        <w:rPr>
          <w:rFonts w:hint="eastAsia" w:ascii="宋体" w:hAnsi="宋体" w:cs="宋体"/>
          <w:color w:val="auto"/>
          <w:kern w:val="0"/>
          <w:sz w:val="24"/>
          <w:szCs w:val="24"/>
          <w:highlight w:val="none"/>
          <w:lang w:eastAsia="zh-CN"/>
        </w:rPr>
        <w:t>谈判</w:t>
      </w:r>
      <w:r>
        <w:rPr>
          <w:rFonts w:hint="eastAsia" w:ascii="宋体" w:hAnsi="宋体" w:cs="宋体"/>
          <w:color w:val="auto"/>
          <w:kern w:val="0"/>
          <w:sz w:val="24"/>
          <w:szCs w:val="24"/>
          <w:highlight w:val="none"/>
        </w:rPr>
        <w:t>响应文件递交到指定地点。采购单位在接到</w:t>
      </w:r>
      <w:r>
        <w:rPr>
          <w:rFonts w:hint="eastAsia" w:ascii="宋体" w:hAnsi="宋体" w:cs="宋体"/>
          <w:color w:val="auto"/>
          <w:kern w:val="0"/>
          <w:sz w:val="24"/>
          <w:szCs w:val="24"/>
          <w:highlight w:val="none"/>
          <w:lang w:eastAsia="zh-CN"/>
        </w:rPr>
        <w:t>谈判</w:t>
      </w:r>
      <w:r>
        <w:rPr>
          <w:rFonts w:hint="eastAsia" w:ascii="宋体" w:hAnsi="宋体" w:cs="宋体"/>
          <w:color w:val="auto"/>
          <w:kern w:val="0"/>
          <w:sz w:val="24"/>
          <w:szCs w:val="24"/>
          <w:highlight w:val="none"/>
        </w:rPr>
        <w:t>响应文件时将注明收到的日期和时间。</w:t>
      </w:r>
    </w:p>
    <w:p w14:paraId="771F471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（2）超过</w:t>
      </w:r>
      <w:r>
        <w:rPr>
          <w:rFonts w:hint="eastAsia" w:ascii="宋体" w:hAnsi="宋体" w:cs="宋体"/>
          <w:color w:val="auto"/>
          <w:kern w:val="0"/>
          <w:sz w:val="24"/>
          <w:szCs w:val="24"/>
          <w:highlight w:val="none"/>
          <w:lang w:eastAsia="zh-CN"/>
        </w:rPr>
        <w:t>谈判</w:t>
      </w:r>
      <w:r>
        <w:rPr>
          <w:rFonts w:hint="eastAsia" w:ascii="宋体" w:hAnsi="宋体" w:cs="宋体"/>
          <w:color w:val="auto"/>
          <w:kern w:val="0"/>
          <w:sz w:val="24"/>
          <w:szCs w:val="24"/>
          <w:highlight w:val="none"/>
        </w:rPr>
        <w:t>截止期送达的</w:t>
      </w:r>
      <w:r>
        <w:rPr>
          <w:rFonts w:hint="eastAsia" w:ascii="宋体" w:hAnsi="宋体" w:cs="宋体"/>
          <w:color w:val="auto"/>
          <w:kern w:val="0"/>
          <w:sz w:val="24"/>
          <w:szCs w:val="24"/>
          <w:highlight w:val="none"/>
          <w:lang w:eastAsia="zh-CN"/>
        </w:rPr>
        <w:t>谈判</w:t>
      </w:r>
      <w:r>
        <w:rPr>
          <w:rFonts w:hint="eastAsia" w:ascii="宋体" w:hAnsi="宋体" w:cs="宋体"/>
          <w:color w:val="auto"/>
          <w:kern w:val="0"/>
          <w:sz w:val="24"/>
          <w:szCs w:val="24"/>
          <w:highlight w:val="none"/>
        </w:rPr>
        <w:t>响应文件将被拒绝并原封退给供应商。</w:t>
      </w:r>
    </w:p>
    <w:p w14:paraId="75A09A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3、</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响应文件的修改与撤回</w:t>
      </w:r>
    </w:p>
    <w:p w14:paraId="4C059B2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（1）供应商可以在递交</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响应文件以后，在规定的</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截止期之前，以书面形式向采购单位递交修改或撤回其</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响应文件的通知。在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截止期以后，不得更改</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w:t>
      </w:r>
    </w:p>
    <w:p w14:paraId="27023B2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（2）供应商的修改或撤回通知，应按本文件的要求编制、密封、标志和递交（密封袋上应标明“修改”或“撤回”字样）。</w:t>
      </w:r>
    </w:p>
    <w:p w14:paraId="4732EF0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（3）在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有效期内，供应商不得撤销</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响应文件，否则其</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保证金</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若有</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不予退还。</w:t>
      </w:r>
    </w:p>
    <w:p w14:paraId="7D4483A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4、</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保证金</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若有</w:t>
      </w:r>
      <w:r>
        <w:rPr>
          <w:rFonts w:hint="eastAsia" w:ascii="宋体" w:hAnsi="宋体" w:cs="宋体"/>
          <w:color w:val="auto"/>
          <w:sz w:val="24"/>
          <w:szCs w:val="24"/>
          <w:highlight w:val="none"/>
          <w:lang w:eastAsia="zh-CN"/>
        </w:rPr>
        <w:t>）</w:t>
      </w:r>
    </w:p>
    <w:p w14:paraId="7E8F17F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前，供应商应向</w:t>
      </w:r>
      <w:r>
        <w:rPr>
          <w:rFonts w:hint="eastAsia" w:ascii="宋体" w:hAnsi="宋体" w:cs="宋体"/>
          <w:color w:val="auto"/>
          <w:sz w:val="24"/>
          <w:szCs w:val="24"/>
          <w:highlight w:val="none"/>
          <w:lang w:eastAsia="zh-CN"/>
        </w:rPr>
        <w:t>本公司</w:t>
      </w:r>
      <w:r>
        <w:rPr>
          <w:rFonts w:hint="eastAsia" w:ascii="宋体" w:hAnsi="宋体" w:cs="宋体"/>
          <w:color w:val="auto"/>
          <w:sz w:val="24"/>
          <w:szCs w:val="24"/>
          <w:highlight w:val="none"/>
        </w:rPr>
        <w:t>提交供应商须知前附表规定金额的</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保证金，作为</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的一部分。</w:t>
      </w:r>
    </w:p>
    <w:p w14:paraId="471B178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（2）在评审时，对于未按要求提交</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保证金的</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，将被视为非响应性</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而导致</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无效。</w:t>
      </w:r>
    </w:p>
    <w:p w14:paraId="4B28957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（3）</w:t>
      </w:r>
      <w:r>
        <w:rPr>
          <w:rFonts w:hint="eastAsia" w:ascii="宋体" w:hAnsi="宋体" w:cs="宋体"/>
          <w:bCs/>
          <w:color w:val="auto"/>
          <w:kern w:val="0"/>
          <w:sz w:val="24"/>
          <w:szCs w:val="24"/>
          <w:highlight w:val="none"/>
          <w:lang w:val="zh-CN"/>
        </w:rPr>
        <w:t>成交单位的保证金在缴纳代理服务费后，退至其账户；未成交单位（含成交备选单位）的谈判保证金在确定成交单位后5个工作日内退其单位账户。</w:t>
      </w:r>
    </w:p>
    <w:p w14:paraId="68798294">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cs="宋体"/>
          <w:color w:val="auto"/>
          <w:sz w:val="24"/>
          <w:szCs w:val="24"/>
          <w:highlight w:val="none"/>
        </w:rPr>
      </w:pPr>
      <w:r>
        <w:rPr>
          <w:rFonts w:hint="eastAsia" w:ascii="宋体" w:hAnsi="宋体" w:cs="宋体"/>
          <w:b/>
          <w:bCs/>
          <w:color w:val="auto"/>
          <w:sz w:val="24"/>
          <w:szCs w:val="24"/>
          <w:highlight w:val="none"/>
        </w:rPr>
        <w:t>5、</w:t>
      </w:r>
      <w:r>
        <w:rPr>
          <w:rFonts w:hint="eastAsia" w:ascii="宋体" w:hAnsi="宋体" w:cs="宋体"/>
          <w:b/>
          <w:color w:val="auto"/>
          <w:sz w:val="24"/>
          <w:szCs w:val="24"/>
          <w:highlight w:val="none"/>
        </w:rPr>
        <w:t>发生下列情况之一时，</w:t>
      </w:r>
      <w:r>
        <w:rPr>
          <w:rFonts w:hint="eastAsia" w:ascii="宋体" w:hAnsi="宋体" w:cs="宋体"/>
          <w:b/>
          <w:color w:val="auto"/>
          <w:sz w:val="24"/>
          <w:szCs w:val="24"/>
          <w:highlight w:val="none"/>
          <w:lang w:eastAsia="zh-CN"/>
        </w:rPr>
        <w:t>谈判</w:t>
      </w:r>
      <w:r>
        <w:rPr>
          <w:rFonts w:hint="eastAsia" w:ascii="宋体" w:hAnsi="宋体" w:cs="宋体"/>
          <w:b/>
          <w:color w:val="auto"/>
          <w:sz w:val="24"/>
          <w:szCs w:val="24"/>
          <w:highlight w:val="none"/>
        </w:rPr>
        <w:t>保证金</w:t>
      </w:r>
      <w:r>
        <w:rPr>
          <w:rFonts w:hint="eastAsia" w:ascii="宋体" w:hAnsi="宋体" w:cs="宋体"/>
          <w:b/>
          <w:color w:val="auto"/>
          <w:sz w:val="24"/>
          <w:szCs w:val="24"/>
          <w:highlight w:val="none"/>
          <w:lang w:eastAsia="zh-CN"/>
        </w:rPr>
        <w:t>（</w:t>
      </w:r>
      <w:r>
        <w:rPr>
          <w:rFonts w:hint="eastAsia" w:ascii="宋体" w:hAnsi="宋体" w:cs="宋体"/>
          <w:b/>
          <w:color w:val="auto"/>
          <w:sz w:val="24"/>
          <w:szCs w:val="24"/>
          <w:highlight w:val="none"/>
          <w:lang w:val="en-US" w:eastAsia="zh-CN"/>
        </w:rPr>
        <w:t>若有</w:t>
      </w:r>
      <w:r>
        <w:rPr>
          <w:rFonts w:hint="eastAsia" w:ascii="宋体" w:hAnsi="宋体" w:cs="宋体"/>
          <w:b/>
          <w:color w:val="auto"/>
          <w:sz w:val="24"/>
          <w:szCs w:val="24"/>
          <w:highlight w:val="none"/>
          <w:lang w:eastAsia="zh-CN"/>
        </w:rPr>
        <w:t>）</w:t>
      </w:r>
      <w:r>
        <w:rPr>
          <w:rFonts w:hint="eastAsia" w:ascii="宋体" w:hAnsi="宋体" w:cs="宋体"/>
          <w:b/>
          <w:color w:val="auto"/>
          <w:sz w:val="24"/>
          <w:szCs w:val="24"/>
          <w:highlight w:val="none"/>
        </w:rPr>
        <w:t>将不予退还：</w:t>
      </w:r>
    </w:p>
    <w:p w14:paraId="7D80B19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（1）供应商</w:t>
      </w:r>
      <w:r>
        <w:rPr>
          <w:rFonts w:hint="eastAsia" w:ascii="宋体" w:hAnsi="宋体" w:cs="宋体"/>
          <w:color w:val="auto"/>
          <w:kern w:val="10"/>
          <w:sz w:val="24"/>
          <w:szCs w:val="24"/>
          <w:highlight w:val="none"/>
        </w:rPr>
        <w:t>在提交</w:t>
      </w:r>
      <w:r>
        <w:rPr>
          <w:rFonts w:hint="eastAsia" w:ascii="宋体" w:hAnsi="宋体" w:cs="宋体"/>
          <w:color w:val="auto"/>
          <w:kern w:val="10"/>
          <w:sz w:val="24"/>
          <w:szCs w:val="24"/>
          <w:highlight w:val="none"/>
          <w:lang w:eastAsia="zh-CN"/>
        </w:rPr>
        <w:t>谈判</w:t>
      </w:r>
      <w:r>
        <w:rPr>
          <w:rFonts w:hint="eastAsia" w:ascii="宋体" w:hAnsi="宋体" w:cs="宋体"/>
          <w:color w:val="auto"/>
          <w:kern w:val="10"/>
          <w:sz w:val="24"/>
          <w:szCs w:val="24"/>
          <w:highlight w:val="none"/>
        </w:rPr>
        <w:t>担保后不参加</w:t>
      </w:r>
      <w:r>
        <w:rPr>
          <w:rFonts w:hint="eastAsia" w:ascii="宋体" w:hAnsi="宋体" w:cs="宋体"/>
          <w:color w:val="auto"/>
          <w:kern w:val="10"/>
          <w:sz w:val="24"/>
          <w:szCs w:val="24"/>
          <w:highlight w:val="none"/>
          <w:lang w:eastAsia="zh-CN"/>
        </w:rPr>
        <w:t>谈判</w:t>
      </w:r>
      <w:r>
        <w:rPr>
          <w:rFonts w:hint="eastAsia" w:ascii="宋体" w:hAnsi="宋体" w:cs="宋体"/>
          <w:color w:val="auto"/>
          <w:sz w:val="24"/>
          <w:szCs w:val="24"/>
          <w:highlight w:val="none"/>
        </w:rPr>
        <w:t>或在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有效期内撤销</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响应文件的；</w:t>
      </w:r>
    </w:p>
    <w:p w14:paraId="7F00AFC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（2）成交人未能在规定期限内按照</w:t>
      </w:r>
      <w:r>
        <w:rPr>
          <w:rFonts w:hint="eastAsia" w:ascii="宋体" w:hAnsi="宋体" w:cs="宋体"/>
          <w:color w:val="auto"/>
          <w:sz w:val="24"/>
          <w:szCs w:val="24"/>
          <w:highlight w:val="none"/>
          <w:lang w:eastAsia="zh-CN"/>
        </w:rPr>
        <w:t>竞争谈判</w:t>
      </w:r>
      <w:r>
        <w:rPr>
          <w:rFonts w:hint="eastAsia" w:ascii="宋体" w:hAnsi="宋体" w:cs="宋体"/>
          <w:color w:val="auto"/>
          <w:sz w:val="24"/>
          <w:szCs w:val="24"/>
          <w:highlight w:val="none"/>
        </w:rPr>
        <w:t>文件内容提交履约担保或签订合同协议的；</w:t>
      </w:r>
    </w:p>
    <w:p w14:paraId="3E70A18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（3）成交人因自身原</w:t>
      </w:r>
      <w:r>
        <w:rPr>
          <w:rFonts w:hint="eastAsia" w:ascii="宋体" w:hAnsi="宋体" w:cs="宋体"/>
          <w:color w:val="auto"/>
          <w:sz w:val="24"/>
          <w:szCs w:val="24"/>
          <w:highlight w:val="none"/>
          <w:lang w:val="en-US" w:eastAsia="zh-CN"/>
        </w:rPr>
        <w:t>因</w:t>
      </w:r>
      <w:r>
        <w:rPr>
          <w:rFonts w:hint="eastAsia" w:ascii="宋体" w:hAnsi="宋体" w:cs="宋体"/>
          <w:color w:val="auto"/>
          <w:sz w:val="24"/>
          <w:szCs w:val="24"/>
          <w:highlight w:val="none"/>
        </w:rPr>
        <w:t>放弃成交资格的；</w:t>
      </w:r>
    </w:p>
    <w:p w14:paraId="6F0D427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b/>
          <w:bCs/>
          <w:color w:val="auto"/>
          <w:sz w:val="24"/>
          <w:szCs w:val="24"/>
          <w:highlight w:val="none"/>
        </w:rPr>
      </w:pPr>
      <w:r>
        <w:rPr>
          <w:rFonts w:hint="eastAsia" w:ascii="宋体" w:hAnsi="宋体" w:cs="宋体"/>
          <w:color w:val="auto"/>
          <w:sz w:val="24"/>
          <w:szCs w:val="24"/>
          <w:highlight w:val="none"/>
        </w:rPr>
        <w:t>（4）供应商在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活动中存在违规和违法行为的。</w:t>
      </w:r>
    </w:p>
    <w:p w14:paraId="09FD2439">
      <w:pPr>
        <w:pStyle w:val="6"/>
        <w:keepNext/>
        <w:keepLines/>
        <w:pageBreakBefore w:val="0"/>
        <w:widowControl w:val="0"/>
        <w:kinsoku/>
        <w:wordWrap/>
        <w:overflowPunct/>
        <w:topLinePunct w:val="0"/>
        <w:autoSpaceDE/>
        <w:autoSpaceDN/>
        <w:bidi w:val="0"/>
        <w:adjustRightInd w:val="0"/>
        <w:snapToGrid w:val="0"/>
        <w:spacing w:before="0" w:beforeLines="0" w:after="0" w:afterLines="0" w:line="480" w:lineRule="auto"/>
        <w:jc w:val="center"/>
        <w:textAlignment w:val="baseline"/>
        <w:outlineLvl w:val="1"/>
        <w:rPr>
          <w:rFonts w:hint="eastAsia" w:ascii="宋体" w:hAnsi="宋体" w:eastAsia="宋体" w:cs="宋体"/>
          <w:b/>
          <w:bCs/>
          <w:color w:val="auto"/>
          <w:kern w:val="0"/>
          <w:sz w:val="30"/>
          <w:szCs w:val="30"/>
          <w:highlight w:val="none"/>
          <w:lang w:val="zh-CN" w:eastAsia="zh-CN" w:bidi="ar-SA"/>
        </w:rPr>
      </w:pPr>
      <w:r>
        <w:rPr>
          <w:rFonts w:hint="eastAsia" w:ascii="宋体" w:hAnsi="宋体" w:eastAsia="宋体" w:cs="宋体"/>
          <w:b/>
          <w:bCs/>
          <w:color w:val="auto"/>
          <w:kern w:val="0"/>
          <w:sz w:val="30"/>
          <w:szCs w:val="30"/>
          <w:highlight w:val="none"/>
          <w:lang w:val="zh-CN" w:eastAsia="zh-CN" w:bidi="ar-SA"/>
        </w:rPr>
        <w:t>六</w:t>
      </w:r>
      <w:bookmarkStart w:id="30" w:name="_Toc15950"/>
      <w:bookmarkStart w:id="31" w:name="_Toc13583"/>
      <w:r>
        <w:rPr>
          <w:rFonts w:hint="eastAsia" w:ascii="宋体" w:hAnsi="宋体" w:eastAsia="宋体" w:cs="宋体"/>
          <w:b/>
          <w:bCs/>
          <w:color w:val="auto"/>
          <w:kern w:val="0"/>
          <w:sz w:val="30"/>
          <w:szCs w:val="30"/>
          <w:highlight w:val="none"/>
          <w:lang w:val="zh-CN" w:eastAsia="zh-CN" w:bidi="ar-SA"/>
        </w:rPr>
        <w:t>、谈判程序</w:t>
      </w:r>
      <w:bookmarkEnd w:id="30"/>
      <w:bookmarkEnd w:id="31"/>
    </w:p>
    <w:p w14:paraId="6FA8BDBE">
      <w:pPr>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人员是按规定组成的三人或三人以上的</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w:t>
      </w:r>
    </w:p>
    <w:p w14:paraId="48C276C7">
      <w:pPr>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2、在掌握了供应商的基本情况后，</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小组将按</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现场签到顺序，与供应商分别进行</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w:t>
      </w:r>
    </w:p>
    <w:p w14:paraId="6D3CFB8A">
      <w:pPr>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是分别单独进行的。供应商不得与其他参与</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的供应商相互串通；</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小组也不得将与某一供应商的</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情况向其他供应商及其关系人透露。</w:t>
      </w:r>
    </w:p>
    <w:p w14:paraId="6A6C64C4">
      <w:pPr>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采用一轮</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、两轮报价的方式进行。但最终采取多少轮</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，由</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小组视情况而定。</w:t>
      </w:r>
    </w:p>
    <w:p w14:paraId="538D4F40">
      <w:pPr>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结束后，</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小组将要求所有符合条件的供应商在规定的时间内进行最后的报价。</w:t>
      </w:r>
    </w:p>
    <w:p w14:paraId="5B3EC95C">
      <w:pPr>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6、供应商必须在规定的时间内将自己在</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中作出的澄清、变动以及最终的报价，经法定代表人或被授权代表签字后，以书面的方式提交给</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w:t>
      </w:r>
    </w:p>
    <w:p w14:paraId="1EDCC117">
      <w:pPr>
        <w:pStyle w:val="6"/>
        <w:keepNext/>
        <w:keepLines/>
        <w:pageBreakBefore w:val="0"/>
        <w:widowControl w:val="0"/>
        <w:kinsoku/>
        <w:wordWrap/>
        <w:overflowPunct/>
        <w:topLinePunct w:val="0"/>
        <w:autoSpaceDE/>
        <w:autoSpaceDN/>
        <w:bidi w:val="0"/>
        <w:adjustRightInd w:val="0"/>
        <w:snapToGrid w:val="0"/>
        <w:spacing w:before="0" w:beforeLines="0" w:after="0" w:afterLines="0" w:line="480" w:lineRule="auto"/>
        <w:jc w:val="center"/>
        <w:textAlignment w:val="baseline"/>
        <w:outlineLvl w:val="1"/>
        <w:rPr>
          <w:rFonts w:hint="eastAsia" w:ascii="宋体" w:hAnsi="宋体" w:eastAsia="宋体" w:cs="宋体"/>
          <w:b/>
          <w:bCs/>
          <w:color w:val="auto"/>
          <w:kern w:val="0"/>
          <w:sz w:val="30"/>
          <w:szCs w:val="30"/>
          <w:highlight w:val="none"/>
          <w:lang w:val="zh-CN" w:eastAsia="zh-CN" w:bidi="ar-SA"/>
        </w:rPr>
      </w:pPr>
      <w:bookmarkStart w:id="32" w:name="_Toc7501"/>
      <w:bookmarkStart w:id="33" w:name="_Toc636"/>
      <w:r>
        <w:rPr>
          <w:rFonts w:hint="eastAsia" w:ascii="宋体" w:hAnsi="宋体" w:eastAsia="宋体" w:cs="宋体"/>
          <w:b/>
          <w:bCs/>
          <w:color w:val="auto"/>
          <w:kern w:val="0"/>
          <w:sz w:val="30"/>
          <w:szCs w:val="30"/>
          <w:highlight w:val="none"/>
          <w:lang w:val="en-US" w:eastAsia="zh-CN" w:bidi="ar-SA"/>
        </w:rPr>
        <w:t>七</w:t>
      </w:r>
      <w:r>
        <w:rPr>
          <w:rFonts w:hint="eastAsia" w:ascii="宋体" w:hAnsi="宋体" w:eastAsia="宋体" w:cs="宋体"/>
          <w:b/>
          <w:bCs/>
          <w:color w:val="auto"/>
          <w:kern w:val="0"/>
          <w:sz w:val="30"/>
          <w:szCs w:val="30"/>
          <w:highlight w:val="none"/>
          <w:lang w:val="zh-CN" w:eastAsia="zh-CN" w:bidi="ar-SA"/>
        </w:rPr>
        <w:t>、评审及异常情况处理</w:t>
      </w:r>
      <w:bookmarkEnd w:id="32"/>
      <w:bookmarkEnd w:id="33"/>
    </w:p>
    <w:p w14:paraId="0D80FF3D">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bookmarkStart w:id="34" w:name="_Toc3702"/>
      <w:bookmarkStart w:id="35" w:name="_Toc5003"/>
      <w:r>
        <w:rPr>
          <w:rFonts w:hint="eastAsia" w:ascii="宋体" w:hAnsi="宋体" w:eastAsia="宋体" w:cs="宋体"/>
          <w:color w:val="auto"/>
          <w:sz w:val="24"/>
          <w:szCs w:val="24"/>
          <w:highlight w:val="none"/>
        </w:rPr>
        <w:t>1、谈判小组将遵循公平、公正的原则，对供应商最终提交的确认价进行综合评审，根据符合采购需求、质量和服务相等且报价最低的原则推荐出成交供应商。如果最后一轮报价出现多家供应商报价相同时，谈判小组将采取抽签的方式确定成交候选人</w:t>
      </w:r>
      <w:r>
        <w:rPr>
          <w:rFonts w:hint="eastAsia" w:ascii="宋体" w:hAnsi="宋体" w:cs="宋体"/>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本项目无需报价，供应商自主经营、自负盈亏</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w:t>
      </w:r>
      <w:bookmarkStart w:id="63" w:name="_GoBack"/>
      <w:bookmarkEnd w:id="63"/>
    </w:p>
    <w:p w14:paraId="066939F5">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2、谈判时出现以下情况之一的，将予以废标：</w:t>
      </w:r>
    </w:p>
    <w:p w14:paraId="52AC911F">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（1）符合专业条件的供应商或者对采购文件作实质性响应的供应商不足三家的；</w:t>
      </w:r>
    </w:p>
    <w:p w14:paraId="5A2B1EA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注：采用竞争谈判采购方式采购下在采购过程中符合要求的供应商只有2的，竞争谈判采购活动可以继续进行，符合要求的供应商只有1家的，经采购人同意可转为</w:t>
      </w:r>
      <w:r>
        <w:rPr>
          <w:rFonts w:hint="eastAsia" w:ascii="宋体" w:hAnsi="宋体" w:eastAsia="宋体" w:cs="宋体"/>
          <w:color w:val="auto"/>
          <w:sz w:val="24"/>
          <w:szCs w:val="24"/>
          <w:highlight w:val="none"/>
          <w:lang w:val="en-US" w:eastAsia="zh-CN"/>
        </w:rPr>
        <w:t>单源直接采购</w:t>
      </w:r>
      <w:r>
        <w:rPr>
          <w:rFonts w:hint="eastAsia" w:ascii="宋体" w:hAnsi="宋体" w:eastAsia="宋体" w:cs="宋体"/>
          <w:color w:val="auto"/>
          <w:sz w:val="24"/>
          <w:szCs w:val="24"/>
          <w:highlight w:val="none"/>
        </w:rPr>
        <w:t>。</w:t>
      </w:r>
    </w:p>
    <w:p w14:paraId="79DC4835">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（2）供应商的报价均超过了采购预算，经过多轮谈判仍不能降到预算内、且采购人不能支付的；</w:t>
      </w:r>
    </w:p>
    <w:p w14:paraId="1952910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（3）经过谈判，供应商所提供的货物服务仍无法满足谈判文件实质性要求、影响工作的；</w:t>
      </w:r>
    </w:p>
    <w:p w14:paraId="053A914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（4）出现影响采购公正的违法、违规行为的；</w:t>
      </w:r>
    </w:p>
    <w:p w14:paraId="3F723865">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（5）因重大变故，采购任务取消的。</w:t>
      </w:r>
    </w:p>
    <w:p w14:paraId="1C05B613">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3、重新组织谈判，采购单位将通过安徽霍山国有资产投资控股集团有限公司（</w:t>
      </w:r>
      <w:r>
        <w:rPr>
          <w:rFonts w:hint="eastAsia" w:ascii="宋体" w:hAnsi="宋体" w:cs="宋体"/>
          <w:color w:val="auto"/>
          <w:sz w:val="24"/>
          <w:szCs w:val="24"/>
          <w:highlight w:val="none"/>
          <w:lang w:eastAsia="zh-CN"/>
        </w:rPr>
        <w:t>http://www.ahdmig.cn/</w:t>
      </w:r>
      <w:r>
        <w:rPr>
          <w:rFonts w:hint="eastAsia" w:ascii="宋体" w:hAnsi="宋体" w:eastAsia="宋体" w:cs="宋体"/>
          <w:color w:val="auto"/>
          <w:sz w:val="24"/>
          <w:szCs w:val="24"/>
          <w:highlight w:val="none"/>
        </w:rPr>
        <w:t>）“招标采购”栏目进行公告。</w:t>
      </w:r>
    </w:p>
    <w:p w14:paraId="243903E5">
      <w:pPr>
        <w:pStyle w:val="6"/>
        <w:keepNext/>
        <w:keepLines/>
        <w:pageBreakBefore w:val="0"/>
        <w:widowControl w:val="0"/>
        <w:kinsoku/>
        <w:wordWrap/>
        <w:overflowPunct/>
        <w:topLinePunct w:val="0"/>
        <w:autoSpaceDE/>
        <w:autoSpaceDN/>
        <w:bidi w:val="0"/>
        <w:adjustRightInd w:val="0"/>
        <w:snapToGrid w:val="0"/>
        <w:spacing w:before="0" w:after="0" w:line="480" w:lineRule="auto"/>
        <w:jc w:val="center"/>
        <w:textAlignment w:val="baseline"/>
        <w:outlineLvl w:val="1"/>
        <w:rPr>
          <w:rFonts w:hint="eastAsia" w:ascii="宋体" w:hAnsi="宋体" w:eastAsia="宋体" w:cs="宋体"/>
          <w:b/>
          <w:bCs/>
          <w:color w:val="auto"/>
          <w:kern w:val="0"/>
          <w:sz w:val="30"/>
          <w:szCs w:val="30"/>
          <w:highlight w:val="none"/>
          <w:lang w:val="zh-CN" w:eastAsia="zh-CN" w:bidi="ar-SA"/>
        </w:rPr>
      </w:pPr>
      <w:r>
        <w:rPr>
          <w:rFonts w:hint="eastAsia" w:ascii="宋体" w:hAnsi="宋体" w:eastAsia="宋体" w:cs="宋体"/>
          <w:b/>
          <w:bCs/>
          <w:color w:val="auto"/>
          <w:kern w:val="0"/>
          <w:sz w:val="30"/>
          <w:szCs w:val="30"/>
          <w:highlight w:val="none"/>
          <w:lang w:val="en-US" w:eastAsia="zh-CN" w:bidi="ar-SA"/>
        </w:rPr>
        <w:t>八</w:t>
      </w:r>
      <w:r>
        <w:rPr>
          <w:rFonts w:hint="eastAsia" w:ascii="宋体" w:hAnsi="宋体" w:eastAsia="宋体" w:cs="宋体"/>
          <w:b/>
          <w:bCs/>
          <w:color w:val="auto"/>
          <w:kern w:val="0"/>
          <w:sz w:val="30"/>
          <w:szCs w:val="30"/>
          <w:highlight w:val="none"/>
          <w:lang w:val="zh-CN" w:eastAsia="zh-CN" w:bidi="ar-SA"/>
        </w:rPr>
        <w:t>、报价响应及答疑</w:t>
      </w:r>
      <w:bookmarkEnd w:id="34"/>
      <w:bookmarkEnd w:id="35"/>
    </w:p>
    <w:p w14:paraId="031D2C5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1、响应报价应含有所投</w:t>
      </w:r>
      <w:r>
        <w:rPr>
          <w:rFonts w:hint="eastAsia" w:ascii="宋体" w:hAnsi="宋体" w:eastAsia="宋体" w:cs="宋体"/>
          <w:color w:val="auto"/>
          <w:sz w:val="24"/>
          <w:szCs w:val="24"/>
          <w:highlight w:val="none"/>
          <w:lang w:val="en-US" w:eastAsia="zh-CN"/>
        </w:rPr>
        <w:t>供货</w:t>
      </w:r>
      <w:r>
        <w:rPr>
          <w:rFonts w:hint="eastAsia" w:ascii="宋体" w:hAnsi="宋体" w:eastAsia="宋体" w:cs="宋体"/>
          <w:color w:val="auto"/>
          <w:sz w:val="24"/>
          <w:szCs w:val="24"/>
          <w:highlight w:val="none"/>
          <w:lang w:eastAsia="zh-CN"/>
        </w:rPr>
        <w:t>各</w:t>
      </w:r>
      <w:r>
        <w:rPr>
          <w:rFonts w:hint="eastAsia" w:ascii="宋体" w:hAnsi="宋体" w:eastAsia="宋体" w:cs="宋体"/>
          <w:color w:val="auto"/>
          <w:sz w:val="24"/>
          <w:szCs w:val="24"/>
          <w:highlight w:val="none"/>
        </w:rPr>
        <w:t>环节所发生的一切费用。响应报价为供应商在响应文件中提出的各项支付金额的总和。</w:t>
      </w:r>
    </w:p>
    <w:p w14:paraId="2D2090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如有需要，</w:t>
      </w:r>
      <w:r>
        <w:rPr>
          <w:rFonts w:hint="eastAsia" w:ascii="宋体" w:hAnsi="宋体" w:eastAsia="宋体" w:cs="宋体"/>
          <w:color w:val="auto"/>
          <w:sz w:val="24"/>
          <w:szCs w:val="24"/>
          <w:highlight w:val="none"/>
        </w:rPr>
        <w:t>供应商应自行对</w:t>
      </w:r>
      <w:r>
        <w:rPr>
          <w:rFonts w:hint="eastAsia" w:ascii="宋体" w:hAnsi="宋体" w:eastAsia="宋体" w:cs="宋体"/>
          <w:color w:val="auto"/>
          <w:sz w:val="24"/>
          <w:szCs w:val="24"/>
          <w:highlight w:val="none"/>
          <w:lang w:val="en-US" w:eastAsia="zh-CN"/>
        </w:rPr>
        <w:t>供货</w:t>
      </w:r>
      <w:r>
        <w:rPr>
          <w:rFonts w:hint="eastAsia" w:ascii="宋体" w:hAnsi="宋体" w:eastAsia="宋体" w:cs="宋体"/>
          <w:color w:val="auto"/>
          <w:sz w:val="24"/>
          <w:szCs w:val="24"/>
          <w:highlight w:val="none"/>
        </w:rPr>
        <w:t>现场和周围环境进行勘察，以获取编制响应文件和签署合同所需的资料。勘察现场所发生的费用由供应商</w:t>
      </w:r>
      <w:r>
        <w:rPr>
          <w:rFonts w:hint="eastAsia" w:ascii="宋体" w:hAnsi="宋体" w:eastAsia="宋体" w:cs="宋体"/>
          <w:color w:val="auto"/>
          <w:sz w:val="24"/>
          <w:szCs w:val="24"/>
          <w:highlight w:val="none"/>
          <w:lang w:eastAsia="zh-CN"/>
        </w:rPr>
        <w:t>自行</w:t>
      </w:r>
      <w:r>
        <w:rPr>
          <w:rFonts w:hint="eastAsia" w:ascii="宋体" w:hAnsi="宋体" w:eastAsia="宋体" w:cs="宋体"/>
          <w:color w:val="auto"/>
          <w:sz w:val="24"/>
          <w:szCs w:val="24"/>
          <w:highlight w:val="none"/>
        </w:rPr>
        <w:t>承担。采购人向供应商提供的有关</w:t>
      </w:r>
      <w:r>
        <w:rPr>
          <w:rFonts w:hint="eastAsia" w:ascii="宋体" w:hAnsi="宋体" w:eastAsia="宋体" w:cs="宋体"/>
          <w:color w:val="auto"/>
          <w:sz w:val="24"/>
          <w:szCs w:val="24"/>
          <w:highlight w:val="none"/>
          <w:lang w:val="en-US" w:eastAsia="zh-CN"/>
        </w:rPr>
        <w:t>供货</w:t>
      </w:r>
      <w:r>
        <w:rPr>
          <w:rFonts w:hint="eastAsia" w:ascii="宋体" w:hAnsi="宋体" w:eastAsia="宋体" w:cs="宋体"/>
          <w:color w:val="auto"/>
          <w:sz w:val="24"/>
          <w:szCs w:val="24"/>
          <w:highlight w:val="none"/>
        </w:rPr>
        <w:t>现场的资料和数据，是采购人现有的能使供应商利用的资料。采购人对供应商由此而做出的推论、理解和结论概不负责。供应商因自身原因未到现场实地踏勘的，成交后签订合同时和履约过程中，不得以不完全了解现场情况为由，提出任何形式的增加合同外</w:t>
      </w:r>
      <w:r>
        <w:rPr>
          <w:rFonts w:hint="eastAsia" w:ascii="宋体" w:hAnsi="宋体" w:eastAsia="宋体" w:cs="宋体"/>
          <w:color w:val="auto"/>
          <w:sz w:val="24"/>
          <w:szCs w:val="24"/>
          <w:highlight w:val="none"/>
          <w:lang w:eastAsia="zh-CN"/>
        </w:rPr>
        <w:t>费用</w:t>
      </w:r>
      <w:r>
        <w:rPr>
          <w:rFonts w:hint="eastAsia" w:ascii="宋体" w:hAnsi="宋体" w:eastAsia="宋体" w:cs="宋体"/>
          <w:color w:val="auto"/>
          <w:sz w:val="24"/>
          <w:szCs w:val="24"/>
          <w:highlight w:val="none"/>
        </w:rPr>
        <w:t>或索赔的要求。</w:t>
      </w:r>
    </w:p>
    <w:p w14:paraId="5361BE1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、供应商如果对</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文件的其他任何内容有相关疑问，可以网上形式</w:t>
      </w:r>
      <w:r>
        <w:rPr>
          <w:rFonts w:hint="eastAsia" w:ascii="宋体" w:hAnsi="宋体" w:cs="宋体"/>
          <w:color w:val="auto"/>
          <w:sz w:val="24"/>
          <w:szCs w:val="24"/>
          <w:highlight w:val="none"/>
        </w:rPr>
        <w:t>编辑word或</w:t>
      </w:r>
      <w:r>
        <w:rPr>
          <w:rFonts w:hint="eastAsia" w:ascii="宋体" w:hAnsi="宋体" w:cs="宋体"/>
          <w:color w:val="auto"/>
          <w:sz w:val="24"/>
          <w:szCs w:val="24"/>
          <w:highlight w:val="none"/>
          <w:lang w:val="en-US" w:eastAsia="zh-CN"/>
        </w:rPr>
        <w:t>PDF</w:t>
      </w:r>
      <w:r>
        <w:rPr>
          <w:rFonts w:hint="eastAsia" w:ascii="宋体" w:hAnsi="宋体" w:cs="宋体"/>
          <w:color w:val="auto"/>
          <w:sz w:val="24"/>
          <w:szCs w:val="24"/>
          <w:highlight w:val="none"/>
        </w:rPr>
        <w:t>模式发送至</w:t>
      </w:r>
      <w:r>
        <w:rPr>
          <w:rFonts w:hint="eastAsia" w:ascii="宋体" w:hAnsi="宋体" w:cs="宋体"/>
          <w:color w:val="auto"/>
          <w:sz w:val="24"/>
          <w:szCs w:val="24"/>
          <w:highlight w:val="none"/>
          <w:lang w:val="en-US" w:eastAsia="zh-CN"/>
        </w:rPr>
        <w:t>2628963924</w:t>
      </w:r>
      <w:r>
        <w:rPr>
          <w:rFonts w:hint="eastAsia" w:ascii="宋体" w:hAnsi="宋体" w:cs="宋体"/>
          <w:color w:val="auto"/>
          <w:sz w:val="24"/>
          <w:szCs w:val="24"/>
          <w:highlight w:val="none"/>
        </w:rPr>
        <w:t>@qq.com邮箱</w:t>
      </w:r>
      <w:r>
        <w:rPr>
          <w:rFonts w:hint="eastAsia" w:ascii="宋体" w:hAnsi="宋体" w:eastAsia="宋体" w:cs="宋体"/>
          <w:color w:val="auto"/>
          <w:sz w:val="24"/>
          <w:szCs w:val="24"/>
          <w:highlight w:val="none"/>
        </w:rPr>
        <w:t>提出。</w:t>
      </w:r>
    </w:p>
    <w:p w14:paraId="290BFE6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请供应商及时通过</w:t>
      </w:r>
      <w:r>
        <w:rPr>
          <w:rFonts w:hint="eastAsia" w:ascii="宋体" w:hAnsi="宋体" w:eastAsia="宋体" w:cs="宋体"/>
          <w:color w:val="auto"/>
          <w:sz w:val="24"/>
          <w:szCs w:val="24"/>
          <w:highlight w:val="none"/>
          <w:lang w:eastAsia="zh-CN"/>
        </w:rPr>
        <w:t>安徽霍山国有资产投资控股集团有限公司</w:t>
      </w:r>
      <w:r>
        <w:rPr>
          <w:rFonts w:hint="eastAsia" w:ascii="宋体" w:hAnsi="宋体" w:eastAsia="宋体" w:cs="宋体"/>
          <w:color w:val="auto"/>
          <w:sz w:val="24"/>
          <w:szCs w:val="24"/>
          <w:highlight w:val="none"/>
        </w:rPr>
        <w:t>网站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补充</w:t>
      </w:r>
      <w:r>
        <w:rPr>
          <w:rFonts w:hint="eastAsia" w:ascii="宋体" w:hAnsi="宋体" w:eastAsia="宋体" w:cs="宋体"/>
          <w:color w:val="auto"/>
          <w:sz w:val="24"/>
          <w:szCs w:val="24"/>
          <w:highlight w:val="none"/>
        </w:rPr>
        <w:t>公告</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栏目</w:t>
      </w:r>
      <w:r>
        <w:rPr>
          <w:rFonts w:hint="eastAsia" w:ascii="宋体" w:hAnsi="宋体" w:eastAsia="宋体" w:cs="宋体"/>
          <w:color w:val="auto"/>
          <w:sz w:val="24"/>
          <w:szCs w:val="24"/>
          <w:highlight w:val="none"/>
          <w:lang w:val="en-US" w:eastAsia="zh-CN"/>
        </w:rPr>
        <w:t>及时</w:t>
      </w:r>
      <w:r>
        <w:rPr>
          <w:rFonts w:hint="eastAsia" w:ascii="宋体" w:hAnsi="宋体" w:eastAsia="宋体" w:cs="宋体"/>
          <w:color w:val="auto"/>
          <w:sz w:val="24"/>
          <w:szCs w:val="24"/>
          <w:highlight w:val="none"/>
        </w:rPr>
        <w:t>查看答疑文件。</w:t>
      </w:r>
    </w:p>
    <w:p w14:paraId="53874A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、供应商应确保其所提供的响应资料的真实性、有效性及合法性，否则，由此引起的任何责任由其自行承担。</w:t>
      </w:r>
    </w:p>
    <w:p w14:paraId="5AF902C5">
      <w:pPr>
        <w:pStyle w:val="6"/>
        <w:keepNext/>
        <w:keepLines/>
        <w:pageBreakBefore w:val="0"/>
        <w:widowControl w:val="0"/>
        <w:kinsoku/>
        <w:wordWrap/>
        <w:overflowPunct/>
        <w:topLinePunct w:val="0"/>
        <w:autoSpaceDE/>
        <w:autoSpaceDN/>
        <w:bidi w:val="0"/>
        <w:adjustRightInd w:val="0"/>
        <w:snapToGrid w:val="0"/>
        <w:spacing w:before="0" w:after="0" w:line="480" w:lineRule="auto"/>
        <w:jc w:val="center"/>
        <w:textAlignment w:val="baseline"/>
        <w:outlineLvl w:val="1"/>
        <w:rPr>
          <w:rFonts w:hint="eastAsia" w:ascii="宋体" w:hAnsi="宋体" w:eastAsia="宋体" w:cs="宋体"/>
          <w:b/>
          <w:bCs/>
          <w:color w:val="auto"/>
          <w:kern w:val="0"/>
          <w:sz w:val="30"/>
          <w:szCs w:val="30"/>
          <w:highlight w:val="none"/>
          <w:lang w:val="zh-CN" w:eastAsia="zh-CN" w:bidi="ar-SA"/>
        </w:rPr>
      </w:pPr>
      <w:bookmarkStart w:id="36" w:name="_Toc15038"/>
      <w:bookmarkStart w:id="37" w:name="_Toc6858"/>
      <w:r>
        <w:rPr>
          <w:rFonts w:hint="eastAsia" w:ascii="宋体" w:hAnsi="宋体" w:eastAsia="宋体" w:cs="宋体"/>
          <w:b/>
          <w:bCs/>
          <w:color w:val="auto"/>
          <w:kern w:val="0"/>
          <w:sz w:val="30"/>
          <w:szCs w:val="30"/>
          <w:highlight w:val="none"/>
          <w:lang w:val="en-US" w:eastAsia="zh-CN" w:bidi="ar-SA"/>
        </w:rPr>
        <w:t>九</w:t>
      </w:r>
      <w:r>
        <w:rPr>
          <w:rFonts w:hint="eastAsia" w:ascii="宋体" w:hAnsi="宋体" w:eastAsia="宋体" w:cs="宋体"/>
          <w:b/>
          <w:bCs/>
          <w:color w:val="auto"/>
          <w:kern w:val="0"/>
          <w:sz w:val="30"/>
          <w:szCs w:val="30"/>
          <w:highlight w:val="none"/>
          <w:lang w:val="zh-CN" w:eastAsia="zh-CN" w:bidi="ar-SA"/>
        </w:rPr>
        <w:t>、合同的签订</w:t>
      </w:r>
      <w:bookmarkEnd w:id="36"/>
      <w:bookmarkEnd w:id="37"/>
    </w:p>
    <w:p w14:paraId="24DB5E9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1、质疑期内如未接到供应商的质疑和投诉，将向成交供应商发出成交通知书。</w:t>
      </w:r>
    </w:p>
    <w:p w14:paraId="71E3CF7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2、成交供应商在</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通知书发出后30日内与采购单位签订合同。采购文件、</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供应商的</w:t>
      </w:r>
      <w:r>
        <w:rPr>
          <w:rFonts w:hint="eastAsia" w:ascii="宋体" w:hAnsi="宋体" w:eastAsia="宋体" w:cs="宋体"/>
          <w:color w:val="auto"/>
          <w:sz w:val="24"/>
          <w:szCs w:val="24"/>
          <w:highlight w:val="none"/>
          <w:lang w:eastAsia="zh-CN"/>
        </w:rPr>
        <w:t>响应</w:t>
      </w:r>
      <w:r>
        <w:rPr>
          <w:rFonts w:hint="eastAsia" w:ascii="宋体" w:hAnsi="宋体" w:eastAsia="宋体" w:cs="宋体"/>
          <w:color w:val="auto"/>
          <w:sz w:val="24"/>
          <w:szCs w:val="24"/>
          <w:highlight w:val="none"/>
        </w:rPr>
        <w:t>文件及澄清文件等，均作为合同的附件。</w:t>
      </w:r>
    </w:p>
    <w:p w14:paraId="799D5DD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3、采购单位在签订合同时，可以在不改变合同其他条款的前提下变更采购数量，但变更的金额不得超过成交总价的10%。</w:t>
      </w:r>
    </w:p>
    <w:p w14:paraId="2C23326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4、成交供应商因不可抗力或者自身原因不能在规定的时间内与采购人签订采购合同，采购人可以与排在成交供应商后第一位的候选供应商签订采购合同，以此类推或重新组织采购。</w:t>
      </w:r>
    </w:p>
    <w:p w14:paraId="1D8D7BEA">
      <w:pPr>
        <w:pStyle w:val="6"/>
        <w:keepNext/>
        <w:keepLines/>
        <w:pageBreakBefore w:val="0"/>
        <w:widowControl w:val="0"/>
        <w:kinsoku/>
        <w:wordWrap/>
        <w:overflowPunct/>
        <w:topLinePunct w:val="0"/>
        <w:autoSpaceDE/>
        <w:autoSpaceDN/>
        <w:bidi w:val="0"/>
        <w:adjustRightInd w:val="0"/>
        <w:snapToGrid w:val="0"/>
        <w:spacing w:before="0" w:after="0" w:line="480" w:lineRule="auto"/>
        <w:jc w:val="center"/>
        <w:textAlignment w:val="baseline"/>
        <w:outlineLvl w:val="1"/>
        <w:rPr>
          <w:rFonts w:hint="eastAsia" w:ascii="宋体" w:hAnsi="宋体" w:eastAsia="宋体" w:cs="宋体"/>
          <w:b/>
          <w:bCs/>
          <w:color w:val="auto"/>
          <w:kern w:val="0"/>
          <w:sz w:val="30"/>
          <w:szCs w:val="30"/>
          <w:highlight w:val="none"/>
          <w:lang w:val="zh-CN" w:eastAsia="zh-CN" w:bidi="ar-SA"/>
        </w:rPr>
      </w:pPr>
      <w:bookmarkStart w:id="38" w:name="_Toc8827"/>
      <w:bookmarkStart w:id="39" w:name="_Toc30736"/>
      <w:r>
        <w:rPr>
          <w:rFonts w:hint="eastAsia" w:ascii="宋体" w:hAnsi="宋体" w:eastAsia="宋体" w:cs="宋体"/>
          <w:b/>
          <w:bCs/>
          <w:color w:val="auto"/>
          <w:kern w:val="0"/>
          <w:sz w:val="30"/>
          <w:szCs w:val="30"/>
          <w:highlight w:val="none"/>
          <w:lang w:val="en-US" w:eastAsia="zh-CN" w:bidi="ar-SA"/>
        </w:rPr>
        <w:t>十</w:t>
      </w:r>
      <w:r>
        <w:rPr>
          <w:rFonts w:hint="eastAsia" w:ascii="宋体" w:hAnsi="宋体" w:eastAsia="宋体" w:cs="宋体"/>
          <w:b/>
          <w:bCs/>
          <w:color w:val="auto"/>
          <w:kern w:val="0"/>
          <w:sz w:val="30"/>
          <w:szCs w:val="30"/>
          <w:highlight w:val="none"/>
          <w:lang w:val="zh-CN" w:eastAsia="zh-CN" w:bidi="ar-SA"/>
        </w:rPr>
        <w:t>、澄清及变更</w:t>
      </w:r>
      <w:bookmarkEnd w:id="38"/>
      <w:bookmarkEnd w:id="39"/>
    </w:p>
    <w:p w14:paraId="5E76A44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谈判文件如有澄清及变更，将以网上公告形式发布，发布网址为安徽霍山国有资产投资控股集团有限公司（</w:t>
      </w:r>
      <w:r>
        <w:rPr>
          <w:rFonts w:hint="eastAsia" w:ascii="宋体" w:hAnsi="宋体" w:cs="宋体"/>
          <w:color w:val="auto"/>
          <w:sz w:val="24"/>
          <w:szCs w:val="24"/>
          <w:highlight w:val="none"/>
          <w:lang w:eastAsia="zh-CN"/>
        </w:rPr>
        <w:t>http://www.ahdmig.cn/</w:t>
      </w:r>
      <w:r>
        <w:rPr>
          <w:rFonts w:hint="eastAsia" w:ascii="宋体" w:hAnsi="宋体" w:eastAsia="宋体" w:cs="宋体"/>
          <w:color w:val="auto"/>
          <w:sz w:val="24"/>
          <w:szCs w:val="24"/>
          <w:highlight w:val="none"/>
          <w:lang w:eastAsia="zh-CN"/>
        </w:rPr>
        <w:t>），请供应商及时关注。</w:t>
      </w:r>
    </w:p>
    <w:p w14:paraId="5032AC04">
      <w:pPr>
        <w:pStyle w:val="6"/>
        <w:keepNext/>
        <w:keepLines/>
        <w:pageBreakBefore w:val="0"/>
        <w:widowControl w:val="0"/>
        <w:kinsoku/>
        <w:wordWrap/>
        <w:overflowPunct/>
        <w:topLinePunct w:val="0"/>
        <w:autoSpaceDE/>
        <w:autoSpaceDN/>
        <w:bidi w:val="0"/>
        <w:adjustRightInd w:val="0"/>
        <w:snapToGrid w:val="0"/>
        <w:spacing w:before="0" w:after="0" w:line="480" w:lineRule="auto"/>
        <w:jc w:val="center"/>
        <w:textAlignment w:val="baseline"/>
        <w:outlineLvl w:val="1"/>
        <w:rPr>
          <w:rFonts w:hint="default" w:ascii="宋体" w:hAnsi="宋体" w:eastAsia="宋体" w:cs="宋体"/>
          <w:b/>
          <w:bCs/>
          <w:color w:val="auto"/>
          <w:kern w:val="0"/>
          <w:sz w:val="30"/>
          <w:szCs w:val="30"/>
          <w:highlight w:val="none"/>
          <w:lang w:val="en-US" w:eastAsia="zh-CN" w:bidi="ar-SA"/>
        </w:rPr>
      </w:pPr>
      <w:bookmarkStart w:id="40" w:name="_Toc30024"/>
      <w:bookmarkStart w:id="41" w:name="_Toc3341"/>
      <w:r>
        <w:rPr>
          <w:rFonts w:hint="eastAsia" w:ascii="宋体" w:hAnsi="宋体" w:eastAsia="宋体" w:cs="宋体"/>
          <w:b/>
          <w:bCs/>
          <w:color w:val="auto"/>
          <w:kern w:val="0"/>
          <w:sz w:val="30"/>
          <w:szCs w:val="30"/>
          <w:highlight w:val="none"/>
          <w:lang w:val="en-US" w:eastAsia="zh-CN" w:bidi="ar-SA"/>
        </w:rPr>
        <w:t>十一</w:t>
      </w:r>
      <w:r>
        <w:rPr>
          <w:rFonts w:hint="eastAsia" w:ascii="宋体" w:hAnsi="宋体" w:eastAsia="宋体" w:cs="宋体"/>
          <w:b/>
          <w:bCs/>
          <w:color w:val="auto"/>
          <w:kern w:val="0"/>
          <w:sz w:val="30"/>
          <w:szCs w:val="30"/>
          <w:highlight w:val="none"/>
          <w:lang w:val="zh-CN" w:eastAsia="zh-CN" w:bidi="ar-SA"/>
        </w:rPr>
        <w:t>、</w:t>
      </w:r>
      <w:r>
        <w:rPr>
          <w:rFonts w:hint="eastAsia" w:ascii="宋体" w:hAnsi="宋体" w:eastAsia="宋体" w:cs="宋体"/>
          <w:b/>
          <w:bCs/>
          <w:color w:val="auto"/>
          <w:kern w:val="0"/>
          <w:sz w:val="30"/>
          <w:szCs w:val="30"/>
          <w:highlight w:val="none"/>
          <w:lang w:val="en-US" w:eastAsia="zh-CN" w:bidi="ar-SA"/>
        </w:rPr>
        <w:t>验收</w:t>
      </w:r>
      <w:bookmarkEnd w:id="40"/>
      <w:bookmarkEnd w:id="41"/>
      <w:r>
        <w:rPr>
          <w:rFonts w:hint="eastAsia" w:ascii="宋体" w:hAnsi="宋体" w:eastAsia="宋体" w:cs="宋体"/>
          <w:b/>
          <w:bCs/>
          <w:color w:val="auto"/>
          <w:kern w:val="0"/>
          <w:sz w:val="30"/>
          <w:szCs w:val="30"/>
          <w:highlight w:val="none"/>
          <w:lang w:val="en-US" w:eastAsia="zh-CN" w:bidi="ar-SA"/>
        </w:rPr>
        <w:t>与支付</w:t>
      </w:r>
    </w:p>
    <w:p w14:paraId="48FBACA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采购人验收时，应成立（由合同双方、资产管理人、技术人员、纪检等相关人员组成）验收小组，明确责任，严格依照采购文件、成交通知书、采购合同及相关验收规范进行核对、验收，形成验收结论，并出具书面验收报告。</w:t>
      </w:r>
    </w:p>
    <w:p w14:paraId="4EC65EC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2、涉及安全、消防、环保等其他需要由质检或行业主管部门进行验收的项目，必须邀请相关部门或相关专家参与验收。</w:t>
      </w:r>
    </w:p>
    <w:p w14:paraId="4D5932E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3、支付按照采购人与供应商签订合同执行。</w:t>
      </w:r>
    </w:p>
    <w:p w14:paraId="59122072">
      <w:pPr>
        <w:pStyle w:val="6"/>
        <w:keepNext/>
        <w:keepLines/>
        <w:pageBreakBefore w:val="0"/>
        <w:widowControl w:val="0"/>
        <w:kinsoku/>
        <w:wordWrap/>
        <w:overflowPunct/>
        <w:topLinePunct w:val="0"/>
        <w:autoSpaceDE/>
        <w:autoSpaceDN/>
        <w:bidi w:val="0"/>
        <w:adjustRightInd w:val="0"/>
        <w:snapToGrid w:val="0"/>
        <w:spacing w:before="0" w:after="0" w:line="480" w:lineRule="auto"/>
        <w:jc w:val="center"/>
        <w:textAlignment w:val="baseline"/>
        <w:outlineLvl w:val="1"/>
        <w:rPr>
          <w:rFonts w:hint="eastAsia" w:ascii="宋体" w:hAnsi="宋体" w:eastAsia="宋体" w:cs="宋体"/>
          <w:b/>
          <w:bCs/>
          <w:color w:val="auto"/>
          <w:kern w:val="0"/>
          <w:sz w:val="30"/>
          <w:szCs w:val="30"/>
          <w:highlight w:val="none"/>
          <w:lang w:val="en-US" w:eastAsia="zh-CN" w:bidi="ar-SA"/>
        </w:rPr>
      </w:pPr>
      <w:bookmarkStart w:id="42" w:name="_Toc11013"/>
      <w:bookmarkStart w:id="43" w:name="_Toc31380"/>
      <w:r>
        <w:rPr>
          <w:rFonts w:hint="eastAsia" w:ascii="宋体" w:hAnsi="宋体" w:eastAsia="宋体" w:cs="宋体"/>
          <w:b/>
          <w:bCs/>
          <w:color w:val="auto"/>
          <w:kern w:val="0"/>
          <w:sz w:val="30"/>
          <w:szCs w:val="30"/>
          <w:highlight w:val="none"/>
          <w:lang w:val="en-US" w:eastAsia="zh-CN" w:bidi="ar-SA"/>
        </w:rPr>
        <w:t>十二</w:t>
      </w:r>
      <w:r>
        <w:rPr>
          <w:rFonts w:hint="eastAsia" w:ascii="宋体" w:hAnsi="宋体" w:eastAsia="宋体" w:cs="宋体"/>
          <w:b/>
          <w:bCs/>
          <w:color w:val="auto"/>
          <w:kern w:val="0"/>
          <w:sz w:val="30"/>
          <w:szCs w:val="30"/>
          <w:highlight w:val="none"/>
          <w:lang w:val="zh-CN" w:eastAsia="zh-CN" w:bidi="ar-SA"/>
        </w:rPr>
        <w:t>、</w:t>
      </w:r>
      <w:r>
        <w:rPr>
          <w:rFonts w:hint="eastAsia" w:ascii="宋体" w:hAnsi="宋体" w:eastAsia="宋体" w:cs="宋体"/>
          <w:b/>
          <w:bCs/>
          <w:color w:val="auto"/>
          <w:kern w:val="0"/>
          <w:sz w:val="30"/>
          <w:szCs w:val="30"/>
          <w:highlight w:val="none"/>
          <w:lang w:val="en-US" w:eastAsia="zh-CN" w:bidi="ar-SA"/>
        </w:rPr>
        <w:t>质疑</w:t>
      </w:r>
      <w:bookmarkEnd w:id="42"/>
      <w:bookmarkEnd w:id="43"/>
      <w:r>
        <w:rPr>
          <w:rFonts w:hint="eastAsia" w:ascii="宋体" w:hAnsi="宋体" w:eastAsia="宋体" w:cs="宋体"/>
          <w:b/>
          <w:bCs/>
          <w:color w:val="auto"/>
          <w:kern w:val="0"/>
          <w:sz w:val="30"/>
          <w:szCs w:val="30"/>
          <w:highlight w:val="none"/>
          <w:lang w:val="en-US" w:eastAsia="zh-CN" w:bidi="ar-SA"/>
        </w:rPr>
        <w:t>和投诉</w:t>
      </w:r>
    </w:p>
    <w:p w14:paraId="24965D6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bookmarkStart w:id="44" w:name="_Toc489602835"/>
      <w:bookmarkStart w:id="45" w:name="_Toc489602770"/>
      <w:bookmarkStart w:id="46" w:name="_Toc489602801"/>
      <w:r>
        <w:rPr>
          <w:rFonts w:hint="eastAsia" w:ascii="宋体" w:hAnsi="宋体" w:eastAsia="宋体" w:cs="宋体"/>
          <w:color w:val="auto"/>
          <w:sz w:val="24"/>
          <w:szCs w:val="24"/>
          <w:highlight w:val="none"/>
          <w:lang w:eastAsia="zh-CN"/>
        </w:rPr>
        <w:t>1、质疑人认为成交结果使自己的权益受到损害的，可以向采购人及采购代理机构提出质疑。质疑实行实名制，应当有具体的事项及根据，不得进行虚假、恶意质疑，扰乱公共资源交易活动的正常工作秩序。</w:t>
      </w:r>
    </w:p>
    <w:p w14:paraId="7B5A94C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2、质疑应在规定时限内提出：</w:t>
      </w:r>
    </w:p>
    <w:p w14:paraId="1D71682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对采购成交结果的质疑，应在成交结果公布之日起七个工作日内提出。</w:t>
      </w:r>
    </w:p>
    <w:p w14:paraId="6EFB7F8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3、质疑应以书面形式实名提出，书面质疑材料应当包括以下内容：</w:t>
      </w:r>
    </w:p>
    <w:p w14:paraId="48A398B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3.1质疑人的名称、地址、有效联系方式；</w:t>
      </w:r>
    </w:p>
    <w:p w14:paraId="1A81A33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3.2项目名称、项目编号、包别号（如有）；</w:t>
      </w:r>
    </w:p>
    <w:p w14:paraId="1F35287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3.3被质疑人名称；</w:t>
      </w:r>
    </w:p>
    <w:p w14:paraId="636CD17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3.4具体的质疑事项、基本事实及必要的证明材料；</w:t>
      </w:r>
    </w:p>
    <w:p w14:paraId="40DAE06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3.5明确的请求及主张；</w:t>
      </w:r>
    </w:p>
    <w:p w14:paraId="49A3A1E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3.6提起质疑的日期。</w:t>
      </w:r>
    </w:p>
    <w:p w14:paraId="1E1C9AF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质疑人为法人或者其他组织的，应当由法定代表人或其委托代理人（需有委托授权书）签字并加盖公章。</w:t>
      </w:r>
    </w:p>
    <w:p w14:paraId="40EAED1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质疑人需要修改、补充质疑材料的，应当在质疑期内提交修改或补充材料。</w:t>
      </w:r>
    </w:p>
    <w:p w14:paraId="22DEE34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4、有下列情形之一的，不予受理：</w:t>
      </w:r>
    </w:p>
    <w:p w14:paraId="564DE09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4.1提起质疑的主体不是参与该采购项目活动的供应商；</w:t>
      </w:r>
    </w:p>
    <w:p w14:paraId="0916B57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4.2提起质疑的时间超过规定时限的；</w:t>
      </w:r>
    </w:p>
    <w:p w14:paraId="0F1D5EA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4.3质疑材料不完整的；</w:t>
      </w:r>
    </w:p>
    <w:p w14:paraId="086364D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4.4质疑事项含有主观猜测等内容且未提供有效线索、难以查证的；</w:t>
      </w:r>
    </w:p>
    <w:p w14:paraId="4EA975F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4.5对其他谈判供应商的响应文件详细内容质疑，无法提供合法来源渠道的；</w:t>
      </w:r>
    </w:p>
    <w:p w14:paraId="1EE40FE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4.6质疑事项已进入投诉处理、行政复议或行政诉讼程序的。</w:t>
      </w:r>
    </w:p>
    <w:p w14:paraId="0D1B94D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5、经审查符合质疑条件的，自收到质疑之日起即为受理。采购人及采购代理机构将在质疑受理后7个工作日内作出答复或相关处理决定，并以书面形式通知质疑人，答复的内容不得涉及商业秘密。</w:t>
      </w:r>
    </w:p>
    <w:p w14:paraId="55EC8B3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6、质疑人在答复期满前撤回质疑的，应由法定代表人或授权代表人签字确认，即终止质疑处理程序。质疑人不得以同一理由再次提出质疑。</w:t>
      </w:r>
    </w:p>
    <w:p w14:paraId="234E5E3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质疑人对质疑答复不满意或采购人及采购代理机构未在规定时间内做出答复的，可以在规定期限内向</w:t>
      </w:r>
      <w:r>
        <w:rPr>
          <w:rFonts w:hint="eastAsia" w:ascii="宋体" w:hAnsi="宋体" w:eastAsia="宋体" w:cs="宋体"/>
          <w:color w:val="auto"/>
          <w:sz w:val="24"/>
          <w:szCs w:val="24"/>
          <w:highlight w:val="none"/>
          <w:lang w:val="en-US" w:eastAsia="zh-CN"/>
        </w:rPr>
        <w:t>监督部门</w:t>
      </w:r>
      <w:r>
        <w:rPr>
          <w:rFonts w:hint="eastAsia" w:ascii="宋体" w:hAnsi="宋体" w:eastAsia="宋体" w:cs="宋体"/>
          <w:color w:val="auto"/>
          <w:sz w:val="24"/>
          <w:szCs w:val="24"/>
          <w:highlight w:val="none"/>
          <w:lang w:eastAsia="zh-CN"/>
        </w:rPr>
        <w:t>提起投诉。</w:t>
      </w:r>
    </w:p>
    <w:p w14:paraId="624A8A7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质疑人应在答复期满后十五个工作日内提起投诉。</w:t>
      </w:r>
    </w:p>
    <w:p w14:paraId="31C8A06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7、质疑人有下列情形之一的，属于虚假、恶意质疑，将报主管部门予以处理。</w:t>
      </w:r>
    </w:p>
    <w:p w14:paraId="505E997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7.1一年内三次以上质疑均查无实据的；</w:t>
      </w:r>
    </w:p>
    <w:p w14:paraId="53D46B5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7.2捏造事实恶意诬陷他人、有意提供虚假质疑材料的或者通过非法手段获取材料的。</w:t>
      </w:r>
    </w:p>
    <w:bookmarkEnd w:id="44"/>
    <w:bookmarkEnd w:id="45"/>
    <w:bookmarkEnd w:id="46"/>
    <w:p w14:paraId="1CDA228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zh-CN" w:eastAsia="zh-CN"/>
        </w:rPr>
      </w:pPr>
      <w:bookmarkStart w:id="47" w:name="_Toc27648"/>
      <w:bookmarkStart w:id="48" w:name="_Toc23250"/>
      <w:bookmarkStart w:id="49" w:name="_Toc21436"/>
    </w:p>
    <w:p w14:paraId="6658928C">
      <w:pPr>
        <w:rPr>
          <w:rFonts w:hint="eastAsia" w:ascii="宋体" w:hAnsi="宋体" w:eastAsia="宋体" w:cs="宋体"/>
          <w:b/>
          <w:bCs/>
          <w:caps/>
          <w:color w:val="auto"/>
          <w:kern w:val="2"/>
          <w:sz w:val="30"/>
          <w:szCs w:val="30"/>
          <w:highlight w:val="none"/>
          <w:lang w:val="zh-CN" w:eastAsia="zh-CN" w:bidi="ar-SA"/>
        </w:rPr>
      </w:pPr>
      <w:bookmarkStart w:id="50" w:name="_Toc29273"/>
      <w:r>
        <w:rPr>
          <w:rFonts w:hint="eastAsia" w:ascii="宋体" w:hAnsi="宋体" w:eastAsia="宋体" w:cs="宋体"/>
          <w:b/>
          <w:bCs/>
          <w:caps/>
          <w:color w:val="auto"/>
          <w:kern w:val="2"/>
          <w:sz w:val="30"/>
          <w:szCs w:val="30"/>
          <w:highlight w:val="none"/>
          <w:lang w:val="zh-CN" w:eastAsia="zh-CN" w:bidi="ar-SA"/>
        </w:rPr>
        <w:br w:type="page"/>
      </w:r>
    </w:p>
    <w:p w14:paraId="63D50CE8">
      <w:pPr>
        <w:pStyle w:val="5"/>
        <w:keepNext/>
        <w:keepLines/>
        <w:pageBreakBefore w:val="0"/>
        <w:widowControl w:val="0"/>
        <w:kinsoku/>
        <w:wordWrap/>
        <w:overflowPunct/>
        <w:topLinePunct w:val="0"/>
        <w:autoSpaceDE/>
        <w:autoSpaceDN/>
        <w:bidi w:val="0"/>
        <w:adjustRightInd w:val="0"/>
        <w:snapToGrid/>
        <w:spacing w:line="480" w:lineRule="auto"/>
        <w:ind w:left="0" w:leftChars="0" w:firstLine="0" w:firstLineChars="0"/>
        <w:jc w:val="center"/>
        <w:textAlignment w:val="baseline"/>
        <w:outlineLvl w:val="0"/>
        <w:rPr>
          <w:rFonts w:hint="eastAsia" w:ascii="宋体" w:hAnsi="宋体" w:eastAsia="宋体" w:cs="宋体"/>
          <w:b/>
          <w:bCs/>
          <w:color w:val="auto"/>
          <w:sz w:val="30"/>
          <w:szCs w:val="30"/>
          <w:highlight w:val="none"/>
        </w:rPr>
      </w:pPr>
      <w:bookmarkStart w:id="51" w:name="_Toc18907"/>
      <w:r>
        <w:rPr>
          <w:rFonts w:hint="eastAsia" w:ascii="宋体" w:hAnsi="宋体" w:eastAsia="宋体" w:cs="宋体"/>
          <w:b/>
          <w:bCs/>
          <w:caps/>
          <w:color w:val="auto"/>
          <w:kern w:val="2"/>
          <w:sz w:val="30"/>
          <w:szCs w:val="30"/>
          <w:highlight w:val="none"/>
          <w:lang w:val="zh-CN" w:eastAsia="zh-CN" w:bidi="ar-SA"/>
        </w:rPr>
        <w:t>第</w:t>
      </w:r>
      <w:r>
        <w:rPr>
          <w:rFonts w:hint="eastAsia" w:ascii="宋体" w:hAnsi="宋体" w:eastAsia="宋体" w:cs="宋体"/>
          <w:b/>
          <w:bCs/>
          <w:caps/>
          <w:color w:val="auto"/>
          <w:kern w:val="2"/>
          <w:sz w:val="30"/>
          <w:szCs w:val="30"/>
          <w:highlight w:val="none"/>
          <w:lang w:val="en-US" w:eastAsia="zh-CN" w:bidi="ar-SA"/>
        </w:rPr>
        <w:t>三</w:t>
      </w:r>
      <w:r>
        <w:rPr>
          <w:rFonts w:hint="eastAsia" w:ascii="宋体" w:hAnsi="宋体" w:eastAsia="宋体" w:cs="宋体"/>
          <w:b/>
          <w:bCs/>
          <w:caps/>
          <w:color w:val="auto"/>
          <w:kern w:val="2"/>
          <w:sz w:val="30"/>
          <w:szCs w:val="30"/>
          <w:highlight w:val="none"/>
          <w:lang w:val="zh-CN" w:eastAsia="zh-CN" w:bidi="ar-SA"/>
        </w:rPr>
        <w:t>章</w:t>
      </w:r>
      <w:r>
        <w:rPr>
          <w:rFonts w:hint="eastAsia" w:ascii="宋体" w:hAnsi="宋体" w:eastAsia="宋体" w:cs="宋体"/>
          <w:b/>
          <w:bCs/>
          <w:caps/>
          <w:color w:val="auto"/>
          <w:kern w:val="2"/>
          <w:sz w:val="30"/>
          <w:szCs w:val="30"/>
          <w:highlight w:val="none"/>
          <w:lang w:val="en-US" w:eastAsia="zh-CN" w:bidi="ar-SA"/>
        </w:rPr>
        <w:t xml:space="preserve">  </w:t>
      </w:r>
      <w:r>
        <w:rPr>
          <w:rFonts w:hint="eastAsia" w:ascii="宋体" w:hAnsi="宋体" w:eastAsia="宋体" w:cs="宋体"/>
          <w:b/>
          <w:bCs/>
          <w:color w:val="auto"/>
          <w:sz w:val="30"/>
          <w:szCs w:val="30"/>
          <w:highlight w:val="none"/>
        </w:rPr>
        <w:t>采购合同</w:t>
      </w:r>
      <w:bookmarkEnd w:id="47"/>
      <w:bookmarkEnd w:id="48"/>
      <w:bookmarkEnd w:id="50"/>
      <w:bookmarkEnd w:id="51"/>
    </w:p>
    <w:p w14:paraId="2ED6BB81">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cs="宋体"/>
          <w:caps/>
          <w:color w:val="auto"/>
          <w:kern w:val="2"/>
          <w:sz w:val="24"/>
          <w:szCs w:val="24"/>
          <w:highlight w:val="none"/>
          <w:lang w:val="zh-CN"/>
        </w:rPr>
      </w:pPr>
      <w:r>
        <w:rPr>
          <w:rFonts w:hint="eastAsia" w:ascii="宋体" w:hAnsi="宋体" w:cs="宋体"/>
          <w:color w:val="auto"/>
          <w:sz w:val="24"/>
          <w:szCs w:val="24"/>
          <w:highlight w:val="none"/>
        </w:rPr>
        <w:t>（采购人与成交供应商自行协商拟定</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但不得违背采购文件实质性条款</w:t>
      </w:r>
      <w:r>
        <w:rPr>
          <w:rFonts w:hint="eastAsia" w:ascii="宋体" w:hAnsi="宋体" w:cs="宋体"/>
          <w:color w:val="auto"/>
          <w:sz w:val="24"/>
          <w:szCs w:val="24"/>
          <w:highlight w:val="none"/>
        </w:rPr>
        <w:t>）</w:t>
      </w:r>
      <w:bookmarkEnd w:id="49"/>
    </w:p>
    <w:p w14:paraId="33C85059">
      <w:pPr>
        <w:numPr>
          <w:ilvl w:val="0"/>
          <w:numId w:val="0"/>
        </w:numPr>
        <w:adjustRightInd w:val="0"/>
        <w:snapToGrid w:val="0"/>
        <w:spacing w:before="156" w:beforeLines="50" w:after="156" w:afterLines="50" w:line="440" w:lineRule="exact"/>
        <w:jc w:val="both"/>
        <w:outlineLvl w:val="9"/>
        <w:rPr>
          <w:rFonts w:hint="eastAsia" w:ascii="宋体" w:hAnsi="宋体" w:cs="宋体"/>
          <w:caps/>
          <w:color w:val="auto"/>
          <w:kern w:val="2"/>
          <w:sz w:val="30"/>
          <w:szCs w:val="30"/>
          <w:highlight w:val="none"/>
          <w:lang w:val="en-US" w:eastAsia="zh-CN"/>
        </w:rPr>
      </w:pPr>
    </w:p>
    <w:p w14:paraId="66406922">
      <w:pPr>
        <w:rPr>
          <w:rFonts w:hint="eastAsia" w:ascii="宋体" w:hAnsi="宋体" w:cs="宋体"/>
          <w:caps/>
          <w:color w:val="auto"/>
          <w:kern w:val="2"/>
          <w:sz w:val="30"/>
          <w:szCs w:val="30"/>
          <w:highlight w:val="none"/>
          <w:lang w:val="en-US" w:eastAsia="zh-CN"/>
        </w:rPr>
      </w:pPr>
      <w:r>
        <w:rPr>
          <w:rFonts w:hint="eastAsia" w:ascii="宋体" w:hAnsi="宋体" w:cs="宋体"/>
          <w:caps/>
          <w:color w:val="auto"/>
          <w:kern w:val="2"/>
          <w:sz w:val="30"/>
          <w:szCs w:val="30"/>
          <w:highlight w:val="none"/>
          <w:lang w:val="en-US" w:eastAsia="zh-CN"/>
        </w:rPr>
        <w:br w:type="page"/>
      </w:r>
    </w:p>
    <w:p w14:paraId="758AD293">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auto"/>
        <w:jc w:val="center"/>
        <w:textAlignment w:val="auto"/>
        <w:outlineLvl w:val="0"/>
        <w:rPr>
          <w:rFonts w:hint="eastAsia" w:eastAsia="宋体"/>
          <w:sz w:val="32"/>
          <w:szCs w:val="32"/>
          <w:highlight w:val="none"/>
          <w:lang w:val="en-US" w:eastAsia="zh-CN"/>
        </w:rPr>
      </w:pPr>
      <w:bookmarkStart w:id="52" w:name="_Toc11986"/>
      <w:bookmarkStart w:id="53" w:name="_Toc7975"/>
      <w:r>
        <w:rPr>
          <w:rFonts w:hint="eastAsia" w:ascii="宋体" w:hAnsi="宋体" w:eastAsia="宋体" w:cs="宋体"/>
          <w:b/>
          <w:bCs/>
          <w:caps/>
          <w:color w:val="auto"/>
          <w:kern w:val="2"/>
          <w:sz w:val="32"/>
          <w:szCs w:val="32"/>
          <w:highlight w:val="none"/>
          <w:lang w:val="zh-CN" w:eastAsia="zh-CN" w:bidi="ar-SA"/>
        </w:rPr>
        <w:t>第</w:t>
      </w:r>
      <w:r>
        <w:rPr>
          <w:rFonts w:hint="eastAsia" w:ascii="宋体" w:hAnsi="宋体" w:cs="宋体"/>
          <w:b/>
          <w:bCs/>
          <w:caps/>
          <w:color w:val="auto"/>
          <w:kern w:val="2"/>
          <w:sz w:val="32"/>
          <w:szCs w:val="32"/>
          <w:highlight w:val="none"/>
          <w:lang w:val="en-US" w:eastAsia="zh-CN" w:bidi="ar-SA"/>
        </w:rPr>
        <w:t>四</w:t>
      </w:r>
      <w:r>
        <w:rPr>
          <w:rFonts w:hint="eastAsia" w:ascii="宋体" w:hAnsi="宋体" w:eastAsia="宋体" w:cs="宋体"/>
          <w:b/>
          <w:bCs/>
          <w:caps/>
          <w:color w:val="auto"/>
          <w:kern w:val="2"/>
          <w:sz w:val="32"/>
          <w:szCs w:val="32"/>
          <w:highlight w:val="none"/>
          <w:lang w:val="zh-CN" w:eastAsia="zh-CN" w:bidi="ar-SA"/>
        </w:rPr>
        <w:t>章</w:t>
      </w:r>
      <w:r>
        <w:rPr>
          <w:rFonts w:hint="eastAsia" w:ascii="宋体" w:hAnsi="宋体" w:eastAsia="宋体" w:cs="宋体"/>
          <w:b/>
          <w:bCs/>
          <w:caps/>
          <w:color w:val="auto"/>
          <w:kern w:val="2"/>
          <w:sz w:val="32"/>
          <w:szCs w:val="32"/>
          <w:highlight w:val="none"/>
          <w:lang w:val="en-US" w:eastAsia="zh-CN" w:bidi="ar-SA"/>
        </w:rPr>
        <w:t xml:space="preserve">  </w:t>
      </w:r>
      <w:r>
        <w:rPr>
          <w:rFonts w:hint="eastAsia" w:ascii="宋体" w:hAnsi="宋体" w:eastAsia="宋体" w:cs="宋体"/>
          <w:b/>
          <w:bCs/>
          <w:color w:val="auto"/>
          <w:sz w:val="32"/>
          <w:szCs w:val="32"/>
          <w:highlight w:val="none"/>
        </w:rPr>
        <w:t>采购</w:t>
      </w:r>
      <w:r>
        <w:rPr>
          <w:rFonts w:hint="eastAsia" w:ascii="宋体" w:hAnsi="宋体" w:cs="宋体"/>
          <w:b/>
          <w:bCs/>
          <w:color w:val="auto"/>
          <w:sz w:val="32"/>
          <w:szCs w:val="32"/>
          <w:highlight w:val="none"/>
          <w:lang w:val="en-US" w:eastAsia="zh-CN"/>
        </w:rPr>
        <w:t>需求</w:t>
      </w:r>
      <w:bookmarkEnd w:id="52"/>
      <w:bookmarkEnd w:id="53"/>
    </w:p>
    <w:p w14:paraId="55F9087C">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一、食堂基本情况和服务外包要求</w:t>
      </w:r>
    </w:p>
    <w:p w14:paraId="33F3EC37">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1、</w:t>
      </w:r>
      <w:r>
        <w:rPr>
          <w:rFonts w:hint="eastAsia" w:ascii="宋体" w:hAnsi="宋体" w:eastAsia="宋体" w:cs="宋体"/>
          <w:spacing w:val="3"/>
          <w:sz w:val="24"/>
          <w:szCs w:val="24"/>
          <w:highlight w:val="none"/>
          <w:lang w:val="en-US" w:eastAsia="zh-CN"/>
        </w:rPr>
        <w:t>采购人将集团食堂经营管理对外发包，选择一家餐饮企业负责经营管理，成交供应商自主经营、自负盈亏。</w:t>
      </w:r>
    </w:p>
    <w:p w14:paraId="47BE37DA">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2、职工餐厅要求成交供应商</w:t>
      </w:r>
      <w:r>
        <w:rPr>
          <w:rFonts w:hint="eastAsia" w:ascii="宋体" w:hAnsi="宋体" w:cs="宋体"/>
          <w:spacing w:val="3"/>
          <w:sz w:val="24"/>
          <w:szCs w:val="24"/>
          <w:highlight w:val="none"/>
          <w:lang w:val="en-US" w:eastAsia="zh-CN"/>
        </w:rPr>
        <w:t>自主</w:t>
      </w:r>
      <w:r>
        <w:rPr>
          <w:rFonts w:hint="eastAsia" w:ascii="宋体" w:hAnsi="宋体" w:eastAsia="宋体" w:cs="宋体"/>
          <w:spacing w:val="3"/>
          <w:sz w:val="24"/>
          <w:szCs w:val="24"/>
          <w:highlight w:val="none"/>
        </w:rPr>
        <w:t>经营，使用新鲜食材，充分保障职工就餐需求，就餐形式为自助餐、包厢消费等形式，自助</w:t>
      </w:r>
      <w:r>
        <w:rPr>
          <w:rFonts w:hint="eastAsia" w:ascii="宋体" w:hAnsi="宋体" w:cs="宋体"/>
          <w:spacing w:val="3"/>
          <w:sz w:val="24"/>
          <w:szCs w:val="24"/>
          <w:highlight w:val="none"/>
          <w:lang w:val="en-US" w:eastAsia="zh-CN"/>
        </w:rPr>
        <w:t>午</w:t>
      </w:r>
      <w:r>
        <w:rPr>
          <w:rFonts w:hint="eastAsia" w:ascii="宋体" w:hAnsi="宋体" w:eastAsia="宋体" w:cs="宋体"/>
          <w:spacing w:val="3"/>
          <w:sz w:val="24"/>
          <w:szCs w:val="24"/>
          <w:highlight w:val="none"/>
        </w:rPr>
        <w:t>餐采取固定价格（12元/人</w:t>
      </w:r>
      <w:r>
        <w:rPr>
          <w:rFonts w:hint="eastAsia" w:ascii="宋体" w:hAnsi="宋体" w:cs="宋体"/>
          <w:spacing w:val="3"/>
          <w:sz w:val="24"/>
          <w:szCs w:val="24"/>
          <w:highlight w:val="none"/>
          <w:lang w:val="en-US" w:eastAsia="zh-CN"/>
        </w:rPr>
        <w:t>∙</w:t>
      </w:r>
      <w:r>
        <w:rPr>
          <w:rFonts w:hint="eastAsia" w:ascii="宋体" w:hAnsi="宋体" w:eastAsia="宋体" w:cs="宋体"/>
          <w:spacing w:val="3"/>
          <w:sz w:val="24"/>
          <w:szCs w:val="24"/>
          <w:highlight w:val="none"/>
        </w:rPr>
        <w:t>餐）、</w:t>
      </w:r>
      <w:r>
        <w:rPr>
          <w:rFonts w:hint="eastAsia" w:ascii="宋体" w:hAnsi="宋体" w:cs="宋体"/>
          <w:spacing w:val="3"/>
          <w:sz w:val="24"/>
          <w:szCs w:val="24"/>
          <w:highlight w:val="none"/>
          <w:lang w:val="en-US" w:eastAsia="zh-CN"/>
        </w:rPr>
        <w:t>不低于</w:t>
      </w:r>
      <w:r>
        <w:rPr>
          <w:rFonts w:hint="eastAsia" w:ascii="宋体" w:hAnsi="宋体" w:eastAsia="宋体" w:cs="宋体"/>
          <w:spacing w:val="3"/>
          <w:sz w:val="24"/>
          <w:szCs w:val="24"/>
          <w:highlight w:val="none"/>
        </w:rPr>
        <w:t>四菜一汤、提供副食水果的方式，包厢消费必须优先满足采购人需求。若发生成交供应商未按要求或未按投标文件执行，采购人可</w:t>
      </w:r>
      <w:r>
        <w:rPr>
          <w:rFonts w:hint="eastAsia" w:ascii="宋体" w:hAnsi="宋体" w:cs="宋体"/>
          <w:spacing w:val="3"/>
          <w:sz w:val="24"/>
          <w:szCs w:val="24"/>
          <w:highlight w:val="none"/>
          <w:lang w:val="en-US" w:eastAsia="zh-CN"/>
        </w:rPr>
        <w:t>终</w:t>
      </w:r>
      <w:r>
        <w:rPr>
          <w:rFonts w:hint="eastAsia" w:ascii="宋体" w:hAnsi="宋体" w:eastAsia="宋体" w:cs="宋体"/>
          <w:spacing w:val="3"/>
          <w:sz w:val="24"/>
          <w:szCs w:val="24"/>
          <w:highlight w:val="none"/>
        </w:rPr>
        <w:t>止合同。</w:t>
      </w:r>
    </w:p>
    <w:p w14:paraId="66111237">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default" w:ascii="宋体" w:hAnsi="宋体" w:cs="宋体"/>
          <w:spacing w:val="3"/>
          <w:sz w:val="24"/>
          <w:szCs w:val="24"/>
          <w:highlight w:val="none"/>
          <w:lang w:val="en-US" w:eastAsia="zh-CN"/>
        </w:rPr>
      </w:pPr>
      <w:r>
        <w:rPr>
          <w:rFonts w:hint="eastAsia" w:ascii="宋体" w:hAnsi="宋体" w:cs="宋体"/>
          <w:spacing w:val="3"/>
          <w:sz w:val="24"/>
          <w:szCs w:val="24"/>
          <w:highlight w:val="none"/>
          <w:lang w:val="en-US" w:eastAsia="zh-CN"/>
        </w:rPr>
        <w:t>注：自助午餐12元/人∙餐为现行标准，采购人后期可根据实际情况进行调整。</w:t>
      </w:r>
    </w:p>
    <w:p w14:paraId="1C42DD5D">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二、有关费用及其他要求</w:t>
      </w:r>
    </w:p>
    <w:p w14:paraId="23833346">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1、成交供应商每月水电费按2000元交至采购人指定账户，燃气费由成交供应商自行支付。</w:t>
      </w:r>
    </w:p>
    <w:p w14:paraId="088D6437">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2、涉及工商、税务、环保、卫生防疫等事宜由成交供应商承担。</w:t>
      </w:r>
    </w:p>
    <w:p w14:paraId="2E46FD05">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3、成交供应商须符合《中华人民共和国食品安全法》及其相关规定。</w:t>
      </w:r>
    </w:p>
    <w:p w14:paraId="24C4E2B9">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4、成交供应商须主动接受集团民主评议小组的监督管理，及时改进服务。</w:t>
      </w:r>
    </w:p>
    <w:p w14:paraId="19C7DFE3">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5、成交供应商不得再对本项目进行分包或转包，禁止挂靠。</w:t>
      </w:r>
    </w:p>
    <w:p w14:paraId="3620FF7F">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三、相关约定</w:t>
      </w:r>
    </w:p>
    <w:p w14:paraId="76AD8B71">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（一）履约保证金</w:t>
      </w:r>
    </w:p>
    <w:p w14:paraId="1A9BE412">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1、饮食安全事关就餐人员的健康和社会的稳定。履约保证金是成交供应商在履行相关合同责任时的保证。成交供应商必须按要求在签订采购合同前，向采购人缴纳履约保证金。（备注：此项履约保证金由采购人保管，合同到期后无息退还。）</w:t>
      </w:r>
    </w:p>
    <w:p w14:paraId="204BE5D8">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2、在食堂经营过程中出现安全、食品卫生等重大问题时，采购人有权用履约保证金先行支付相关费用。</w:t>
      </w:r>
    </w:p>
    <w:p w14:paraId="27B09A76">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3、合同终止时，成交供应商必须保证食堂内采购人投资的设施设备完好无损，短缺补齐，以及在已完全承担全部经营与法律责任（如经济、劳工、合约纠纷、赔偿责任等）后，采购人将全额返还履约保证金（不计利息）。</w:t>
      </w:r>
    </w:p>
    <w:p w14:paraId="4ECCF827">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4、成交供应商委派的食堂项目负责人在中标经营期间不得更换，投标文件中须进行承诺，如果更换则取消经营权，履约保证金不予退还。</w:t>
      </w:r>
    </w:p>
    <w:p w14:paraId="128B7A3B">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（二）安全卫生管理</w:t>
      </w:r>
    </w:p>
    <w:p w14:paraId="49D1FC32">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成交供应商为集团食堂卫生、防火、防盗、防食物中毒等安全第一责任人，对相应工作负有直接的组织和管理责任。</w:t>
      </w:r>
    </w:p>
    <w:p w14:paraId="210F6757">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1、成交供应商必须自行做好安全、防盗、防火和食品卫生等工作，根据区域不同配备必要的消防器材，维护好消防设施，定期检查和更换过期消防器材，如发生失窃、火灾、食物中毒等事故，造成的一切损失均由成交供应商自行负责。</w:t>
      </w:r>
    </w:p>
    <w:p w14:paraId="449FEF8A">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2、严格执行</w:t>
      </w:r>
      <w:r>
        <w:rPr>
          <w:rFonts w:hint="eastAsia" w:ascii="宋体" w:hAnsi="宋体" w:cs="宋体"/>
          <w:spacing w:val="3"/>
          <w:sz w:val="24"/>
          <w:szCs w:val="24"/>
          <w:highlight w:val="none"/>
          <w:lang w:val="en-US" w:eastAsia="zh-CN"/>
        </w:rPr>
        <w:t>相关</w:t>
      </w:r>
      <w:r>
        <w:rPr>
          <w:rFonts w:hint="eastAsia" w:ascii="宋体" w:hAnsi="宋体" w:eastAsia="宋体" w:cs="宋体"/>
          <w:spacing w:val="3"/>
          <w:sz w:val="24"/>
          <w:szCs w:val="24"/>
          <w:highlight w:val="none"/>
        </w:rPr>
        <w:t>要求，所有员工都要经过卫生防疫部门的体检、办理健康证才能上岗；按时到卫生防疫部门办理食堂卫生许可证的年检手续，接受卫生防疫部门的现场检查。其体检、抽检和年检等费用自理。</w:t>
      </w:r>
    </w:p>
    <w:p w14:paraId="59BF2C37">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3、严格控制各种食品的进货渠道，规范食品及原料采购管理制度，所有原料供应必须“三证”齐全（卫生许可证、食品检验合格证、产地来源证）并建档立案备查。</w:t>
      </w:r>
    </w:p>
    <w:p w14:paraId="2B2AC16B">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4、负责落实食堂经营范围内及采购人指定区域的卫生工作（含周边环境、下水、隔油池、厕所等），建立和健全一整套生产管理、卫生管理和安全管理制度。</w:t>
      </w:r>
    </w:p>
    <w:p w14:paraId="559BC9B4">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5、成交供应商必须接受采购人和上级组织的监督与管理，积极配合入驻单位民主评议小组开展工作，自觉接受对财务管理、食品采购、生产流程、卫生消毒、供应价格、服务规范等方面的全方位监控。</w:t>
      </w:r>
    </w:p>
    <w:p w14:paraId="661F620A">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（三）人员用工管理</w:t>
      </w:r>
    </w:p>
    <w:p w14:paraId="073532AF">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食堂工作人员由成交供应商自行招聘和管理，采购人有权对食堂用工情况进行监督和检查：</w:t>
      </w:r>
    </w:p>
    <w:p w14:paraId="722FFFFD">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1、成交供应商要科学合理地配置饮食操作和餐厅服务人员。</w:t>
      </w:r>
    </w:p>
    <w:p w14:paraId="402C67B5">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2、成交供应商在员工招聘、工资发放、保险福利等方面必须符合相关法律法规和采购人的具体规定。</w:t>
      </w:r>
    </w:p>
    <w:p w14:paraId="3AE1DB37">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3、成交供应商要对食堂员工的思想道德、业务素质、安全健康等进行全面管理，所有人员应规范服务操作程序，做到文明用语、礼貌服务。</w:t>
      </w:r>
    </w:p>
    <w:p w14:paraId="7054FE53">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4、成交供应商自行承担所聘员工劳动合同的签订、劳务纠纷、意外伤害、安全事故的处理等相关经济和法律责任。</w:t>
      </w:r>
    </w:p>
    <w:p w14:paraId="098B601B">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（四）经营管理</w:t>
      </w:r>
    </w:p>
    <w:p w14:paraId="7159C8FC">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1、饭菜销售明码标价</w:t>
      </w:r>
      <w:r>
        <w:rPr>
          <w:rFonts w:hint="eastAsia" w:ascii="宋体" w:hAnsi="宋体" w:cs="宋体"/>
          <w:spacing w:val="3"/>
          <w:sz w:val="24"/>
          <w:szCs w:val="24"/>
          <w:highlight w:val="none"/>
          <w:lang w:eastAsia="zh-CN"/>
        </w:rPr>
        <w:t>，</w:t>
      </w:r>
      <w:r>
        <w:rPr>
          <w:rFonts w:hint="eastAsia" w:ascii="宋体" w:hAnsi="宋体" w:cs="宋体"/>
          <w:spacing w:val="3"/>
          <w:sz w:val="24"/>
          <w:szCs w:val="24"/>
          <w:highlight w:val="none"/>
          <w:lang w:val="en-US" w:eastAsia="zh-CN"/>
        </w:rPr>
        <w:t>不得高于市场平均价格</w:t>
      </w:r>
      <w:r>
        <w:rPr>
          <w:rFonts w:hint="eastAsia" w:ascii="宋体" w:hAnsi="宋体" w:eastAsia="宋体" w:cs="宋体"/>
          <w:spacing w:val="3"/>
          <w:sz w:val="24"/>
          <w:szCs w:val="24"/>
          <w:highlight w:val="none"/>
        </w:rPr>
        <w:t>，服务程序操作规范，文明用语、礼貌服务、热情、周到、便捷。</w:t>
      </w:r>
    </w:p>
    <w:p w14:paraId="52CEFA6D">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2、创造文明就餐的食堂文化氛围，保持良好的就餐秩序。</w:t>
      </w:r>
    </w:p>
    <w:p w14:paraId="3EC53544">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3、定期主动了解就餐人员的要求，配合做好就餐人员满意程度调查。</w:t>
      </w:r>
    </w:p>
    <w:p w14:paraId="70430F31">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4、接受采购人及相关责任部门的监督，对其提出的改进意见成交供应商有义务予以改进。</w:t>
      </w:r>
    </w:p>
    <w:p w14:paraId="71D74D1A">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（五）设备设施管理</w:t>
      </w:r>
    </w:p>
    <w:p w14:paraId="7A7EF29F">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1、采购人拥有食堂内采购人投资的设施设备的所有权，中标人负责所有设施设备的管理与维护，保证设备完好率达100%以上，维修及时率达100%，承担水、电、气、消防设施、燃气表房、调压设备等设施设备的维护维修保养等费用。</w:t>
      </w:r>
    </w:p>
    <w:p w14:paraId="5EA84A35">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2、合同终止后，成交供应商必须保证所有设施设备的完好，短缺补齐，否则，采购人将从履约保证金中扣除相应损失和修理费用。</w:t>
      </w:r>
    </w:p>
    <w:p w14:paraId="7EFD4C6C">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3、采购人不提供员工宿舍。</w:t>
      </w:r>
    </w:p>
    <w:p w14:paraId="2377D7C5">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4、经营场所、餐具、灶具、桌椅等设施无偿提供使用，成交供应商须负责维护，缺失和损坏按价赔偿，合同期满后如数归还采购人。</w:t>
      </w:r>
    </w:p>
    <w:p w14:paraId="5CE90F69">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（六）经营指标控制</w:t>
      </w:r>
    </w:p>
    <w:p w14:paraId="5AD37A9E">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成交供应商在服从采购人统一管理的前提下，对食堂实行自主经营、自负盈亏。</w:t>
      </w:r>
    </w:p>
    <w:p w14:paraId="6E2B4EC1">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1、保证主副食花色品种不断翻新和多样化。菜价根据市场行情进行成本核算，严格执行投标文件中商务标书承诺的特色菜品价格，其他菜品接受采购人的指导定价，做到质价相符。</w:t>
      </w:r>
    </w:p>
    <w:p w14:paraId="2284D103">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cs="宋体"/>
          <w:spacing w:val="3"/>
          <w:sz w:val="24"/>
          <w:szCs w:val="24"/>
          <w:highlight w:val="none"/>
          <w:lang w:val="en-US" w:eastAsia="zh-CN"/>
        </w:rPr>
        <w:t>2</w:t>
      </w:r>
      <w:r>
        <w:rPr>
          <w:rFonts w:hint="eastAsia" w:ascii="宋体" w:hAnsi="宋体" w:eastAsia="宋体" w:cs="宋体"/>
          <w:spacing w:val="3"/>
          <w:sz w:val="24"/>
          <w:szCs w:val="24"/>
          <w:highlight w:val="none"/>
        </w:rPr>
        <w:t>、每一年度须接受采购人的指导和监督。</w:t>
      </w:r>
    </w:p>
    <w:p w14:paraId="601D175C">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cs="宋体"/>
          <w:spacing w:val="3"/>
          <w:sz w:val="24"/>
          <w:szCs w:val="24"/>
          <w:highlight w:val="none"/>
          <w:lang w:val="en-US" w:eastAsia="zh-CN"/>
        </w:rPr>
        <w:t>3</w:t>
      </w:r>
      <w:r>
        <w:rPr>
          <w:rFonts w:hint="eastAsia" w:ascii="宋体" w:hAnsi="宋体" w:eastAsia="宋体" w:cs="宋体"/>
          <w:spacing w:val="3"/>
          <w:sz w:val="24"/>
          <w:szCs w:val="24"/>
          <w:highlight w:val="none"/>
        </w:rPr>
        <w:t>、正确对待各项测评活动，并根据测评意见及时改进工作中的不足之处。</w:t>
      </w:r>
    </w:p>
    <w:p w14:paraId="667FCB9E">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（七）风险责任承诺</w:t>
      </w:r>
    </w:p>
    <w:p w14:paraId="3BC6A276">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成交供应商必须对自主经营风险承担全部的后果，并对有关卫生安全责任做出明确的承诺。</w:t>
      </w:r>
    </w:p>
    <w:p w14:paraId="1970AA06">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1、成交供应商要按投标文件中的条款和双方签订的合同规定，承担全部的安全、卫生、质量、效益、风险等责任。</w:t>
      </w:r>
    </w:p>
    <w:p w14:paraId="553DAEB9">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2、成交供应商在经营过程中与外界发生的一切债权、债务等纠纷均与采购人无关。</w:t>
      </w:r>
    </w:p>
    <w:p w14:paraId="67132794">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3、除不可抗力因素外，成交供应商不得以任何理由不按时或不充足供应食堂膳食，否则视为违反合同。</w:t>
      </w:r>
    </w:p>
    <w:p w14:paraId="077B2AC7">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（八）监督管理与考核办法</w:t>
      </w:r>
    </w:p>
    <w:p w14:paraId="40963EA0">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1、监督体系：构建由采购人相关职能部门对食堂实施监督管理，具体由采购人民主评议小组民主监控、市场卫生部门监控、餐饮企业内部自我监督管理的全方位、多层次监管体系。</w:t>
      </w:r>
    </w:p>
    <w:p w14:paraId="1D386FD2">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2、监督依据</w:t>
      </w:r>
    </w:p>
    <w:p w14:paraId="37976FF3">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lang w:eastAsia="zh-CN"/>
        </w:rPr>
      </w:pPr>
      <w:r>
        <w:rPr>
          <w:rFonts w:hint="eastAsia" w:ascii="宋体" w:hAnsi="宋体" w:eastAsia="宋体" w:cs="宋体"/>
          <w:spacing w:val="3"/>
          <w:sz w:val="24"/>
          <w:szCs w:val="24"/>
          <w:highlight w:val="none"/>
        </w:rPr>
        <w:t>（1）国家相关法律法规</w:t>
      </w:r>
      <w:r>
        <w:rPr>
          <w:rFonts w:hint="eastAsia" w:ascii="宋体" w:hAnsi="宋体" w:cs="宋体"/>
          <w:spacing w:val="3"/>
          <w:sz w:val="24"/>
          <w:szCs w:val="24"/>
          <w:highlight w:val="none"/>
          <w:lang w:eastAsia="zh-CN"/>
        </w:rPr>
        <w:t>；</w:t>
      </w:r>
    </w:p>
    <w:p w14:paraId="694C3971">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lang w:eastAsia="zh-CN"/>
        </w:rPr>
      </w:pPr>
      <w:r>
        <w:rPr>
          <w:rFonts w:hint="eastAsia" w:ascii="宋体" w:hAnsi="宋体" w:eastAsia="宋体" w:cs="宋体"/>
          <w:spacing w:val="3"/>
          <w:sz w:val="24"/>
          <w:szCs w:val="24"/>
          <w:highlight w:val="none"/>
        </w:rPr>
        <w:t>（2）采购人对食堂的管理规定</w:t>
      </w:r>
      <w:r>
        <w:rPr>
          <w:rFonts w:hint="eastAsia" w:ascii="宋体" w:hAnsi="宋体" w:cs="宋体"/>
          <w:spacing w:val="3"/>
          <w:sz w:val="24"/>
          <w:szCs w:val="24"/>
          <w:highlight w:val="none"/>
          <w:lang w:eastAsia="zh-CN"/>
        </w:rPr>
        <w:t>；</w:t>
      </w:r>
    </w:p>
    <w:p w14:paraId="0015182F">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lang w:eastAsia="zh-CN"/>
        </w:rPr>
      </w:pPr>
      <w:r>
        <w:rPr>
          <w:rFonts w:hint="eastAsia" w:ascii="宋体" w:hAnsi="宋体" w:eastAsia="宋体" w:cs="宋体"/>
          <w:spacing w:val="3"/>
          <w:sz w:val="24"/>
          <w:szCs w:val="24"/>
          <w:highlight w:val="none"/>
        </w:rPr>
        <w:t>（3）食品卫生主管部门对食堂的管理规定</w:t>
      </w:r>
      <w:r>
        <w:rPr>
          <w:rFonts w:hint="eastAsia" w:ascii="宋体" w:hAnsi="宋体" w:cs="宋体"/>
          <w:spacing w:val="3"/>
          <w:sz w:val="24"/>
          <w:szCs w:val="24"/>
          <w:highlight w:val="none"/>
          <w:lang w:eastAsia="zh-CN"/>
        </w:rPr>
        <w:t>；</w:t>
      </w:r>
    </w:p>
    <w:p w14:paraId="4D75FD45">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lang w:eastAsia="zh-CN"/>
        </w:rPr>
      </w:pPr>
      <w:r>
        <w:rPr>
          <w:rFonts w:hint="eastAsia" w:ascii="宋体" w:hAnsi="宋体" w:eastAsia="宋体" w:cs="宋体"/>
          <w:spacing w:val="3"/>
          <w:sz w:val="24"/>
          <w:szCs w:val="24"/>
          <w:highlight w:val="none"/>
        </w:rPr>
        <w:t>（4）采购文件以及采购人成交供应商双方签订的合同等约定</w:t>
      </w:r>
      <w:r>
        <w:rPr>
          <w:rFonts w:hint="eastAsia" w:ascii="宋体" w:hAnsi="宋体" w:cs="宋体"/>
          <w:spacing w:val="3"/>
          <w:sz w:val="24"/>
          <w:szCs w:val="24"/>
          <w:highlight w:val="none"/>
          <w:lang w:eastAsia="zh-CN"/>
        </w:rPr>
        <w:t>。</w:t>
      </w:r>
    </w:p>
    <w:p w14:paraId="7A68B763">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lang w:val="en-US" w:eastAsia="zh-CN"/>
        </w:rPr>
      </w:pPr>
      <w:r>
        <w:rPr>
          <w:rFonts w:hint="eastAsia" w:ascii="宋体" w:hAnsi="宋体" w:eastAsia="宋体" w:cs="宋体"/>
          <w:spacing w:val="3"/>
          <w:sz w:val="24"/>
          <w:szCs w:val="24"/>
          <w:highlight w:val="none"/>
        </w:rPr>
        <w:t>3、监督方式：强化日常监管，每月量化考评，年度集中考核</w:t>
      </w:r>
      <w:r>
        <w:rPr>
          <w:rFonts w:hint="eastAsia" w:ascii="宋体" w:hAnsi="宋体" w:cs="宋体"/>
          <w:spacing w:val="3"/>
          <w:sz w:val="24"/>
          <w:szCs w:val="24"/>
          <w:highlight w:val="none"/>
          <w:lang w:eastAsia="zh-CN"/>
        </w:rPr>
        <w:t>。</w:t>
      </w:r>
    </w:p>
    <w:p w14:paraId="05D45500">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4、考核评价：结果分为良好、合格、</w:t>
      </w:r>
      <w:r>
        <w:rPr>
          <w:rFonts w:hint="eastAsia" w:ascii="宋体" w:hAnsi="宋体" w:cs="宋体"/>
          <w:spacing w:val="3"/>
          <w:sz w:val="24"/>
          <w:szCs w:val="24"/>
          <w:highlight w:val="none"/>
          <w:lang w:val="en-US" w:eastAsia="zh-CN"/>
        </w:rPr>
        <w:t>基本合格、</w:t>
      </w:r>
      <w:r>
        <w:rPr>
          <w:rFonts w:hint="eastAsia" w:ascii="宋体" w:hAnsi="宋体" w:eastAsia="宋体" w:cs="宋体"/>
          <w:spacing w:val="3"/>
          <w:sz w:val="24"/>
          <w:szCs w:val="24"/>
          <w:highlight w:val="none"/>
        </w:rPr>
        <w:t>不合格，对应分数分别是85分以上、80-84分、70-79分，70分以下。</w:t>
      </w:r>
    </w:p>
    <w:p w14:paraId="28A4E612">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default" w:ascii="宋体" w:hAnsi="宋体" w:eastAsia="宋体" w:cs="宋体"/>
          <w:spacing w:val="3"/>
          <w:sz w:val="24"/>
          <w:szCs w:val="24"/>
          <w:highlight w:val="none"/>
          <w:lang w:val="en-US" w:eastAsia="zh-CN"/>
        </w:rPr>
      </w:pPr>
      <w:r>
        <w:rPr>
          <w:rFonts w:hint="eastAsia" w:ascii="宋体" w:hAnsi="宋体" w:eastAsia="宋体" w:cs="宋体"/>
          <w:spacing w:val="3"/>
          <w:sz w:val="24"/>
          <w:szCs w:val="24"/>
          <w:highlight w:val="none"/>
        </w:rPr>
        <w:t>5、</w:t>
      </w:r>
      <w:r>
        <w:rPr>
          <w:rFonts w:hint="eastAsia" w:ascii="宋体" w:hAnsi="宋体" w:cs="宋体"/>
          <w:spacing w:val="3"/>
          <w:sz w:val="24"/>
          <w:szCs w:val="24"/>
          <w:highlight w:val="none"/>
          <w:lang w:val="en-US" w:eastAsia="zh-CN"/>
        </w:rPr>
        <w:t>年度考核结果计算：以月度考核分数的平均分为最终结果。</w:t>
      </w:r>
    </w:p>
    <w:p w14:paraId="6CC5157F">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cs="宋体"/>
          <w:spacing w:val="3"/>
          <w:sz w:val="24"/>
          <w:szCs w:val="24"/>
          <w:highlight w:val="none"/>
          <w:lang w:val="en-US" w:eastAsia="zh-CN"/>
        </w:rPr>
        <w:t>6、</w:t>
      </w:r>
      <w:r>
        <w:rPr>
          <w:rFonts w:hint="eastAsia" w:ascii="宋体" w:hAnsi="宋体" w:eastAsia="宋体" w:cs="宋体"/>
          <w:spacing w:val="3"/>
          <w:sz w:val="24"/>
          <w:szCs w:val="24"/>
          <w:highlight w:val="none"/>
        </w:rPr>
        <w:t>奖惩</w:t>
      </w:r>
    </w:p>
    <w:p w14:paraId="21A98925">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cs="宋体"/>
          <w:spacing w:val="3"/>
          <w:sz w:val="24"/>
          <w:szCs w:val="24"/>
          <w:highlight w:val="none"/>
          <w:lang w:eastAsia="zh-CN"/>
        </w:rPr>
      </w:pPr>
      <w:r>
        <w:rPr>
          <w:rFonts w:hint="eastAsia" w:ascii="宋体" w:hAnsi="宋体" w:eastAsia="宋体" w:cs="宋体"/>
          <w:spacing w:val="3"/>
          <w:sz w:val="24"/>
          <w:szCs w:val="24"/>
          <w:highlight w:val="none"/>
        </w:rPr>
        <w:t>在合同期内</w:t>
      </w:r>
      <w:r>
        <w:rPr>
          <w:rFonts w:hint="eastAsia" w:ascii="宋体" w:hAnsi="宋体" w:cs="宋体"/>
          <w:spacing w:val="3"/>
          <w:sz w:val="24"/>
          <w:szCs w:val="24"/>
          <w:highlight w:val="none"/>
          <w:lang w:eastAsia="zh-CN"/>
        </w:rPr>
        <w:t>，</w:t>
      </w:r>
      <w:r>
        <w:rPr>
          <w:rFonts w:hint="eastAsia" w:ascii="宋体" w:hAnsi="宋体" w:cs="宋体"/>
          <w:spacing w:val="3"/>
          <w:sz w:val="24"/>
          <w:szCs w:val="24"/>
          <w:highlight w:val="none"/>
          <w:lang w:val="en-US" w:eastAsia="zh-CN"/>
        </w:rPr>
        <w:t>每出现一次</w:t>
      </w:r>
      <w:r>
        <w:rPr>
          <w:rFonts w:hint="eastAsia" w:ascii="宋体" w:hAnsi="宋体" w:eastAsia="宋体" w:cs="宋体"/>
          <w:spacing w:val="3"/>
          <w:sz w:val="24"/>
          <w:szCs w:val="24"/>
          <w:highlight w:val="none"/>
        </w:rPr>
        <w:t>月度考核不合格的，罚款1万元</w:t>
      </w:r>
      <w:r>
        <w:rPr>
          <w:rFonts w:hint="eastAsia" w:ascii="宋体" w:hAnsi="宋体" w:cs="宋体"/>
          <w:spacing w:val="3"/>
          <w:sz w:val="24"/>
          <w:szCs w:val="24"/>
          <w:highlight w:val="none"/>
          <w:lang w:eastAsia="zh-CN"/>
        </w:rPr>
        <w:t>。</w:t>
      </w:r>
    </w:p>
    <w:p w14:paraId="43245866">
      <w:pPr>
        <w:keepNext w:val="0"/>
        <w:keepLines w:val="0"/>
        <w:pageBreakBefore w:val="0"/>
        <w:widowControl/>
        <w:numPr>
          <w:ilvl w:val="0"/>
          <w:numId w:val="3"/>
        </w:numPr>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cs="宋体"/>
          <w:spacing w:val="3"/>
          <w:sz w:val="24"/>
          <w:szCs w:val="24"/>
          <w:highlight w:val="none"/>
          <w:lang w:val="en-US" w:eastAsia="zh-CN"/>
        </w:rPr>
      </w:pPr>
      <w:r>
        <w:rPr>
          <w:rFonts w:hint="eastAsia" w:ascii="宋体" w:hAnsi="宋体" w:cs="宋体"/>
          <w:spacing w:val="3"/>
          <w:sz w:val="24"/>
          <w:szCs w:val="24"/>
          <w:highlight w:val="none"/>
          <w:lang w:val="en-US" w:eastAsia="zh-CN"/>
        </w:rPr>
        <w:t>合同终止与续签</w:t>
      </w:r>
    </w:p>
    <w:p w14:paraId="5DD382EF">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92" w:firstLineChars="200"/>
        <w:textAlignment w:val="baseline"/>
        <w:rPr>
          <w:rFonts w:hint="eastAsia" w:ascii="宋体" w:hAnsi="宋体" w:eastAsia="宋体" w:cs="宋体"/>
          <w:spacing w:val="3"/>
          <w:sz w:val="24"/>
          <w:szCs w:val="24"/>
          <w:highlight w:val="none"/>
          <w:lang w:val="en-US" w:eastAsia="zh-CN"/>
        </w:rPr>
      </w:pPr>
      <w:r>
        <w:rPr>
          <w:rFonts w:hint="eastAsia" w:ascii="宋体" w:hAnsi="宋体" w:eastAsia="宋体" w:cs="宋体"/>
          <w:spacing w:val="3"/>
          <w:sz w:val="24"/>
          <w:szCs w:val="24"/>
          <w:highlight w:val="none"/>
        </w:rPr>
        <w:t>在合同期内</w:t>
      </w:r>
      <w:r>
        <w:rPr>
          <w:rFonts w:hint="eastAsia" w:ascii="宋体" w:hAnsi="宋体" w:cs="宋体"/>
          <w:spacing w:val="3"/>
          <w:sz w:val="24"/>
          <w:szCs w:val="24"/>
          <w:highlight w:val="none"/>
          <w:lang w:eastAsia="zh-CN"/>
        </w:rPr>
        <w:t>，</w:t>
      </w:r>
      <w:r>
        <w:rPr>
          <w:rFonts w:hint="eastAsia" w:ascii="宋体" w:hAnsi="宋体" w:eastAsia="宋体" w:cs="宋体"/>
          <w:spacing w:val="3"/>
          <w:sz w:val="24"/>
          <w:szCs w:val="24"/>
          <w:highlight w:val="none"/>
        </w:rPr>
        <w:t>连续三次月度考核不合格</w:t>
      </w:r>
      <w:r>
        <w:rPr>
          <w:rFonts w:hint="eastAsia" w:ascii="宋体" w:hAnsi="宋体" w:cs="宋体"/>
          <w:spacing w:val="3"/>
          <w:sz w:val="24"/>
          <w:szCs w:val="24"/>
          <w:highlight w:val="none"/>
          <w:lang w:val="en-US" w:eastAsia="zh-CN"/>
        </w:rPr>
        <w:t>的</w:t>
      </w:r>
      <w:r>
        <w:rPr>
          <w:rFonts w:hint="eastAsia" w:ascii="宋体" w:hAnsi="宋体" w:eastAsia="宋体" w:cs="宋体"/>
          <w:spacing w:val="3"/>
          <w:sz w:val="24"/>
          <w:szCs w:val="24"/>
          <w:highlight w:val="none"/>
        </w:rPr>
        <w:t>，采购人</w:t>
      </w:r>
      <w:r>
        <w:rPr>
          <w:rFonts w:hint="eastAsia" w:ascii="宋体" w:hAnsi="宋体" w:cs="宋体"/>
          <w:spacing w:val="3"/>
          <w:sz w:val="24"/>
          <w:szCs w:val="24"/>
          <w:highlight w:val="none"/>
          <w:lang w:eastAsia="zh-CN"/>
        </w:rPr>
        <w:t>终止</w:t>
      </w:r>
      <w:r>
        <w:rPr>
          <w:rFonts w:hint="eastAsia" w:ascii="宋体" w:hAnsi="宋体" w:eastAsia="宋体" w:cs="宋体"/>
          <w:spacing w:val="3"/>
          <w:sz w:val="24"/>
          <w:szCs w:val="24"/>
          <w:highlight w:val="none"/>
        </w:rPr>
        <w:t>合同，重新招标</w:t>
      </w:r>
      <w:r>
        <w:rPr>
          <w:rFonts w:hint="eastAsia" w:ascii="宋体" w:hAnsi="宋体" w:cs="宋体"/>
          <w:spacing w:val="3"/>
          <w:sz w:val="24"/>
          <w:szCs w:val="24"/>
          <w:highlight w:val="none"/>
          <w:lang w:eastAsia="zh-CN"/>
        </w:rPr>
        <w:t>；</w:t>
      </w:r>
      <w:r>
        <w:rPr>
          <w:rFonts w:hint="eastAsia" w:ascii="宋体" w:hAnsi="宋体" w:cs="宋体"/>
          <w:spacing w:val="3"/>
          <w:sz w:val="24"/>
          <w:szCs w:val="24"/>
          <w:highlight w:val="none"/>
          <w:lang w:val="en-US" w:eastAsia="zh-CN"/>
        </w:rPr>
        <w:t>累计</w:t>
      </w:r>
      <w:r>
        <w:rPr>
          <w:rFonts w:hint="eastAsia" w:ascii="宋体" w:hAnsi="宋体" w:eastAsia="宋体" w:cs="宋体"/>
          <w:spacing w:val="3"/>
          <w:sz w:val="24"/>
          <w:szCs w:val="24"/>
          <w:highlight w:val="none"/>
        </w:rPr>
        <w:t>发生三次月度考核不合格的，采购人不与成交供应商续签下年度合同</w:t>
      </w:r>
      <w:r>
        <w:rPr>
          <w:rFonts w:hint="eastAsia" w:ascii="宋体" w:hAnsi="宋体" w:cs="宋体"/>
          <w:spacing w:val="3"/>
          <w:sz w:val="24"/>
          <w:szCs w:val="24"/>
          <w:highlight w:val="none"/>
          <w:lang w:eastAsia="zh-CN"/>
        </w:rPr>
        <w:t>；</w:t>
      </w:r>
      <w:r>
        <w:rPr>
          <w:rFonts w:hint="eastAsia" w:ascii="宋体" w:hAnsi="宋体" w:cs="宋体"/>
          <w:spacing w:val="3"/>
          <w:sz w:val="24"/>
          <w:szCs w:val="24"/>
          <w:highlight w:val="none"/>
          <w:lang w:val="en-US" w:eastAsia="zh-CN"/>
        </w:rPr>
        <w:t>年度考核不合格的，</w:t>
      </w:r>
      <w:r>
        <w:rPr>
          <w:rFonts w:hint="eastAsia" w:ascii="宋体" w:hAnsi="宋体" w:eastAsia="宋体" w:cs="宋体"/>
          <w:spacing w:val="3"/>
          <w:sz w:val="24"/>
          <w:szCs w:val="24"/>
          <w:highlight w:val="none"/>
        </w:rPr>
        <w:t>采购人不与成交供应商续签下年度合同</w:t>
      </w:r>
      <w:r>
        <w:rPr>
          <w:rFonts w:hint="eastAsia" w:ascii="宋体" w:hAnsi="宋体" w:cs="宋体"/>
          <w:spacing w:val="3"/>
          <w:sz w:val="24"/>
          <w:szCs w:val="24"/>
          <w:highlight w:val="none"/>
          <w:lang w:eastAsia="zh-CN"/>
        </w:rPr>
        <w:t>。</w:t>
      </w:r>
    </w:p>
    <w:p w14:paraId="50B9A84A">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四、其他事项</w:t>
      </w:r>
    </w:p>
    <w:p w14:paraId="42EFD796">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1、安徽霍山国投集团食堂位于霍山县国投大厦19楼，主要服务对象为集团及下属公司</w:t>
      </w:r>
      <w:r>
        <w:rPr>
          <w:rFonts w:hint="eastAsia" w:ascii="宋体" w:hAnsi="宋体" w:cs="宋体"/>
          <w:spacing w:val="3"/>
          <w:sz w:val="24"/>
          <w:szCs w:val="24"/>
          <w:highlight w:val="none"/>
          <w:lang w:eastAsia="zh-CN"/>
        </w:rPr>
        <w:t>、</w:t>
      </w:r>
      <w:r>
        <w:rPr>
          <w:rFonts w:hint="eastAsia" w:ascii="宋体" w:hAnsi="宋体" w:cs="宋体"/>
          <w:spacing w:val="3"/>
          <w:sz w:val="24"/>
          <w:szCs w:val="24"/>
          <w:highlight w:val="none"/>
          <w:lang w:val="en-US" w:eastAsia="zh-CN"/>
        </w:rPr>
        <w:t>县财政局、县自然资源与规划局等单位</w:t>
      </w:r>
      <w:r>
        <w:rPr>
          <w:rFonts w:hint="eastAsia" w:ascii="宋体" w:hAnsi="宋体" w:eastAsia="宋体" w:cs="宋体"/>
          <w:spacing w:val="3"/>
          <w:sz w:val="24"/>
          <w:szCs w:val="24"/>
          <w:highlight w:val="none"/>
        </w:rPr>
        <w:t>员工。本项目仅包含霍山国投集团食堂运营，采购人不保证供应商承包期间的经营收入，参与本项目的供应商须慎重考虑。</w:t>
      </w:r>
    </w:p>
    <w:p w14:paraId="07C2082B">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default" w:ascii="宋体" w:hAnsi="宋体" w:eastAsia="宋体" w:cs="宋体"/>
          <w:sz w:val="21"/>
          <w:szCs w:val="21"/>
          <w:highlight w:val="none"/>
          <w:lang w:val="en-US" w:eastAsia="zh-CN"/>
        </w:rPr>
      </w:pPr>
      <w:r>
        <w:rPr>
          <w:rFonts w:hint="eastAsia" w:ascii="宋体" w:hAnsi="宋体" w:eastAsia="宋体" w:cs="宋体"/>
          <w:spacing w:val="3"/>
          <w:sz w:val="24"/>
          <w:szCs w:val="24"/>
          <w:highlight w:val="none"/>
        </w:rPr>
        <w:t>2、参与本项目的供应商在霍山县主城区（南至迎宾大道北至淮源大道东起霍山大道西至潜台路范围）具有面积1000㎡及以上实体经营店，并承诺成交后安徽霍山国投集团及其下属公司员工可凭食堂储值卡在其实体经营店刷卡消费。</w:t>
      </w:r>
    </w:p>
    <w:p w14:paraId="697B5636">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auto"/>
        <w:jc w:val="center"/>
        <w:textAlignment w:val="auto"/>
        <w:outlineLvl w:val="0"/>
        <w:rPr>
          <w:rFonts w:hint="eastAsia" w:ascii="宋体" w:hAnsi="宋体"/>
          <w:b/>
          <w:bCs/>
          <w:color w:val="auto"/>
          <w:kern w:val="10"/>
          <w:sz w:val="32"/>
          <w:szCs w:val="32"/>
          <w:highlight w:val="none"/>
        </w:rPr>
      </w:pPr>
      <w:r>
        <w:rPr>
          <w:rFonts w:hint="eastAsia" w:ascii="宋体" w:hAnsi="宋体"/>
          <w:b/>
          <w:color w:val="auto"/>
          <w:kern w:val="10"/>
          <w:sz w:val="24"/>
          <w:szCs w:val="24"/>
          <w:highlight w:val="none"/>
        </w:rPr>
        <w:br w:type="page"/>
      </w:r>
      <w:bookmarkStart w:id="54" w:name="_Toc12542"/>
      <w:bookmarkStart w:id="55" w:name="_Toc25987"/>
      <w:r>
        <w:rPr>
          <w:rFonts w:hint="eastAsia" w:ascii="宋体" w:hAnsi="宋体" w:cs="宋体"/>
          <w:b/>
          <w:bCs/>
          <w:caps/>
          <w:color w:val="auto"/>
          <w:kern w:val="2"/>
          <w:sz w:val="32"/>
          <w:szCs w:val="32"/>
          <w:highlight w:val="none"/>
          <w:lang w:val="zh-CN"/>
        </w:rPr>
        <w:t>第</w:t>
      </w:r>
      <w:r>
        <w:rPr>
          <w:rFonts w:hint="eastAsia" w:ascii="宋体" w:hAnsi="宋体" w:cs="宋体"/>
          <w:b/>
          <w:bCs/>
          <w:caps/>
          <w:color w:val="auto"/>
          <w:kern w:val="2"/>
          <w:sz w:val="32"/>
          <w:szCs w:val="32"/>
          <w:highlight w:val="none"/>
          <w:lang w:val="en-US" w:eastAsia="zh-CN"/>
        </w:rPr>
        <w:t>五</w:t>
      </w:r>
      <w:r>
        <w:rPr>
          <w:rFonts w:hint="eastAsia" w:ascii="宋体" w:hAnsi="宋体" w:cs="宋体"/>
          <w:b/>
          <w:bCs/>
          <w:caps/>
          <w:color w:val="auto"/>
          <w:kern w:val="2"/>
          <w:sz w:val="32"/>
          <w:szCs w:val="32"/>
          <w:highlight w:val="none"/>
          <w:lang w:val="zh-CN"/>
        </w:rPr>
        <w:t xml:space="preserve">章  </w:t>
      </w:r>
      <w:bookmarkEnd w:id="54"/>
      <w:r>
        <w:rPr>
          <w:rFonts w:hint="eastAsia" w:ascii="宋体" w:hAnsi="宋体" w:cs="宋体"/>
          <w:b/>
          <w:bCs/>
          <w:caps/>
          <w:color w:val="auto"/>
          <w:kern w:val="2"/>
          <w:sz w:val="32"/>
          <w:szCs w:val="32"/>
          <w:highlight w:val="none"/>
          <w:lang w:val="zh-CN"/>
        </w:rPr>
        <w:t>评审方法和标准</w:t>
      </w:r>
      <w:bookmarkEnd w:id="55"/>
    </w:p>
    <w:p w14:paraId="53777C6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1"/>
        <w:rPr>
          <w:rFonts w:hint="eastAsia" w:ascii="宋体" w:hAnsi="宋体"/>
          <w:b/>
          <w:color w:val="auto"/>
          <w:kern w:val="10"/>
          <w:sz w:val="30"/>
          <w:szCs w:val="30"/>
          <w:highlight w:val="none"/>
        </w:rPr>
      </w:pPr>
      <w:r>
        <w:rPr>
          <w:rFonts w:hint="eastAsia" w:ascii="宋体" w:hAnsi="宋体" w:eastAsia="宋体" w:cs="宋体"/>
          <w:b/>
          <w:color w:val="auto"/>
          <w:kern w:val="10"/>
          <w:sz w:val="30"/>
          <w:szCs w:val="30"/>
          <w:highlight w:val="none"/>
        </w:rPr>
        <w:t>评审方法和标准前附表一（</w:t>
      </w:r>
      <w:r>
        <w:rPr>
          <w:rFonts w:hint="eastAsia" w:ascii="宋体" w:hAnsi="宋体" w:eastAsia="宋体" w:cs="宋体"/>
          <w:b/>
          <w:bCs w:val="0"/>
          <w:color w:val="auto"/>
          <w:kern w:val="10"/>
          <w:sz w:val="30"/>
          <w:szCs w:val="30"/>
          <w:highlight w:val="none"/>
        </w:rPr>
        <w:t>资格审查指标表</w:t>
      </w:r>
      <w:r>
        <w:rPr>
          <w:rFonts w:hint="eastAsia" w:ascii="宋体" w:hAnsi="宋体" w:eastAsia="宋体" w:cs="宋体"/>
          <w:b/>
          <w:color w:val="auto"/>
          <w:kern w:val="10"/>
          <w:sz w:val="30"/>
          <w:szCs w:val="30"/>
          <w:highlight w:val="none"/>
        </w:rPr>
        <w:t>）</w:t>
      </w:r>
    </w:p>
    <w:tbl>
      <w:tblPr>
        <w:tblStyle w:val="36"/>
        <w:tblW w:w="9779" w:type="dxa"/>
        <w:jc w:val="center"/>
        <w:tblLayout w:type="fixed"/>
        <w:tblCellMar>
          <w:top w:w="0" w:type="dxa"/>
          <w:left w:w="108" w:type="dxa"/>
          <w:bottom w:w="0" w:type="dxa"/>
          <w:right w:w="108" w:type="dxa"/>
        </w:tblCellMar>
      </w:tblPr>
      <w:tblGrid>
        <w:gridCol w:w="818"/>
        <w:gridCol w:w="2246"/>
        <w:gridCol w:w="6715"/>
      </w:tblGrid>
      <w:tr w14:paraId="1C69A368">
        <w:tblPrEx>
          <w:tblCellMar>
            <w:top w:w="0" w:type="dxa"/>
            <w:left w:w="108" w:type="dxa"/>
            <w:bottom w:w="0" w:type="dxa"/>
            <w:right w:w="108" w:type="dxa"/>
          </w:tblCellMar>
        </w:tblPrEx>
        <w:trPr>
          <w:trHeight w:val="567" w:hRule="atLeast"/>
          <w:jc w:val="center"/>
        </w:trPr>
        <w:tc>
          <w:tcPr>
            <w:tcW w:w="818" w:type="dxa"/>
            <w:tcBorders>
              <w:top w:val="single" w:color="auto" w:sz="4" w:space="0"/>
              <w:left w:val="single" w:color="auto" w:sz="4" w:space="0"/>
              <w:bottom w:val="single" w:color="auto" w:sz="4" w:space="0"/>
              <w:right w:val="single" w:color="auto" w:sz="4" w:space="0"/>
            </w:tcBorders>
            <w:noWrap w:val="0"/>
            <w:vAlign w:val="center"/>
          </w:tcPr>
          <w:p w14:paraId="13A94AE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序号</w:t>
            </w:r>
          </w:p>
        </w:tc>
        <w:tc>
          <w:tcPr>
            <w:tcW w:w="2246" w:type="dxa"/>
            <w:tcBorders>
              <w:top w:val="single" w:color="auto" w:sz="4" w:space="0"/>
              <w:left w:val="single" w:color="auto" w:sz="4" w:space="0"/>
              <w:bottom w:val="single" w:color="auto" w:sz="4" w:space="0"/>
              <w:right w:val="single" w:color="auto" w:sz="4" w:space="0"/>
            </w:tcBorders>
            <w:noWrap w:val="0"/>
            <w:vAlign w:val="center"/>
          </w:tcPr>
          <w:p w14:paraId="7D2F0B85">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评审因素</w:t>
            </w:r>
          </w:p>
        </w:tc>
        <w:tc>
          <w:tcPr>
            <w:tcW w:w="6715" w:type="dxa"/>
            <w:tcBorders>
              <w:top w:val="single" w:color="auto" w:sz="4" w:space="0"/>
              <w:left w:val="single" w:color="auto" w:sz="4" w:space="0"/>
              <w:bottom w:val="single" w:color="auto" w:sz="4" w:space="0"/>
              <w:right w:val="single" w:color="auto" w:sz="4" w:space="0"/>
            </w:tcBorders>
            <w:noWrap w:val="0"/>
            <w:vAlign w:val="center"/>
          </w:tcPr>
          <w:p w14:paraId="4A9BF6C3">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投标资格评审标准</w:t>
            </w:r>
          </w:p>
        </w:tc>
      </w:tr>
      <w:tr w14:paraId="342EFDEC">
        <w:tblPrEx>
          <w:tblCellMar>
            <w:top w:w="0" w:type="dxa"/>
            <w:left w:w="108" w:type="dxa"/>
            <w:bottom w:w="0" w:type="dxa"/>
            <w:right w:w="108" w:type="dxa"/>
          </w:tblCellMar>
        </w:tblPrEx>
        <w:trPr>
          <w:trHeight w:val="936" w:hRule="atLeast"/>
          <w:jc w:val="center"/>
        </w:trPr>
        <w:tc>
          <w:tcPr>
            <w:tcW w:w="818" w:type="dxa"/>
            <w:tcBorders>
              <w:top w:val="single" w:color="auto" w:sz="4" w:space="0"/>
              <w:left w:val="single" w:color="auto" w:sz="4" w:space="0"/>
              <w:bottom w:val="single" w:color="auto" w:sz="4" w:space="0"/>
              <w:right w:val="single" w:color="auto" w:sz="4" w:space="0"/>
            </w:tcBorders>
            <w:noWrap w:val="0"/>
            <w:vAlign w:val="center"/>
          </w:tcPr>
          <w:p w14:paraId="1A22473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p>
        </w:tc>
        <w:tc>
          <w:tcPr>
            <w:tcW w:w="2246" w:type="dxa"/>
            <w:tcBorders>
              <w:top w:val="single" w:color="auto" w:sz="4" w:space="0"/>
              <w:left w:val="single" w:color="auto" w:sz="4" w:space="0"/>
              <w:bottom w:val="single" w:color="auto" w:sz="4" w:space="0"/>
              <w:right w:val="single" w:color="auto" w:sz="4" w:space="0"/>
            </w:tcBorders>
            <w:noWrap w:val="0"/>
            <w:vAlign w:val="center"/>
          </w:tcPr>
          <w:p w14:paraId="3CAC5A4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谈判授权书</w:t>
            </w:r>
          </w:p>
        </w:tc>
        <w:tc>
          <w:tcPr>
            <w:tcW w:w="6715" w:type="dxa"/>
            <w:tcBorders>
              <w:top w:val="single" w:color="auto" w:sz="4" w:space="0"/>
              <w:left w:val="single" w:color="auto" w:sz="4" w:space="0"/>
              <w:bottom w:val="single" w:color="auto" w:sz="4" w:space="0"/>
              <w:right w:val="single" w:color="auto" w:sz="4" w:space="0"/>
            </w:tcBorders>
            <w:noWrap w:val="0"/>
            <w:vAlign w:val="center"/>
          </w:tcPr>
          <w:p w14:paraId="1891143B">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hint="eastAsia" w:ascii="宋体" w:hAnsi="宋体" w:eastAsia="宋体" w:cs="宋体"/>
                <w:color w:val="000000"/>
                <w:spacing w:val="-4"/>
                <w:sz w:val="24"/>
                <w:szCs w:val="24"/>
                <w:highlight w:val="none"/>
              </w:rPr>
            </w:pPr>
            <w:r>
              <w:rPr>
                <w:rFonts w:hint="eastAsia" w:ascii="宋体" w:hAnsi="宋体" w:eastAsia="宋体" w:cs="宋体"/>
                <w:color w:val="000000"/>
                <w:spacing w:val="-4"/>
                <w:sz w:val="24"/>
                <w:szCs w:val="24"/>
                <w:highlight w:val="none"/>
              </w:rPr>
              <w:t>若法人代表本人参加开标会则只需查验身份证；若代理人参加开标</w:t>
            </w:r>
            <w:r>
              <w:rPr>
                <w:rFonts w:hint="eastAsia" w:ascii="宋体" w:hAnsi="宋体" w:eastAsia="宋体" w:cs="宋体"/>
                <w:color w:val="000000"/>
                <w:spacing w:val="-2"/>
                <w:sz w:val="24"/>
                <w:szCs w:val="24"/>
                <w:highlight w:val="none"/>
              </w:rPr>
              <w:t>会则需查谈判授权书、代理人居民身份证</w:t>
            </w:r>
            <w:r>
              <w:rPr>
                <w:rFonts w:hint="eastAsia" w:ascii="宋体" w:hAnsi="宋体" w:eastAsia="宋体" w:cs="宋体"/>
                <w:b/>
                <w:bCs/>
                <w:color w:val="000000"/>
                <w:spacing w:val="-2"/>
                <w:sz w:val="24"/>
                <w:szCs w:val="24"/>
                <w:highlight w:val="none"/>
              </w:rPr>
              <w:t>（</w:t>
            </w:r>
            <w:r>
              <w:rPr>
                <w:rFonts w:hint="eastAsia" w:ascii="宋体" w:hAnsi="宋体" w:eastAsia="宋体" w:cs="宋体"/>
                <w:b/>
                <w:bCs/>
                <w:color w:val="000000"/>
                <w:spacing w:val="-2"/>
                <w:sz w:val="24"/>
                <w:szCs w:val="24"/>
                <w:highlight w:val="none"/>
                <w:lang w:eastAsia="zh-CN"/>
              </w:rPr>
              <w:t>谈判</w:t>
            </w:r>
            <w:r>
              <w:rPr>
                <w:rFonts w:hint="eastAsia" w:ascii="宋体" w:hAnsi="宋体" w:eastAsia="宋体" w:cs="宋体"/>
                <w:b/>
                <w:bCs/>
                <w:color w:val="000000"/>
                <w:spacing w:val="-2"/>
                <w:sz w:val="24"/>
                <w:szCs w:val="24"/>
                <w:highlight w:val="none"/>
              </w:rPr>
              <w:t>响应文件中需提供加盖投标人公章的复印件</w:t>
            </w:r>
            <w:r>
              <w:rPr>
                <w:rFonts w:hint="eastAsia" w:ascii="宋体" w:hAnsi="宋体" w:eastAsia="宋体" w:cs="宋体"/>
                <w:b/>
                <w:bCs/>
                <w:color w:val="000000"/>
                <w:spacing w:val="-4"/>
                <w:sz w:val="24"/>
                <w:szCs w:val="24"/>
                <w:highlight w:val="none"/>
              </w:rPr>
              <w:t>，评标现场查验原件）</w:t>
            </w:r>
            <w:r>
              <w:rPr>
                <w:rFonts w:hint="eastAsia" w:ascii="宋体" w:hAnsi="宋体" w:eastAsia="宋体" w:cs="宋体"/>
                <w:color w:val="000000"/>
                <w:spacing w:val="-4"/>
                <w:sz w:val="24"/>
                <w:szCs w:val="24"/>
                <w:highlight w:val="none"/>
              </w:rPr>
              <w:t>。</w:t>
            </w:r>
          </w:p>
        </w:tc>
      </w:tr>
      <w:tr w14:paraId="0BEC7FAC">
        <w:tblPrEx>
          <w:tblCellMar>
            <w:top w:w="0" w:type="dxa"/>
            <w:left w:w="108" w:type="dxa"/>
            <w:bottom w:w="0" w:type="dxa"/>
            <w:right w:w="108" w:type="dxa"/>
          </w:tblCellMar>
        </w:tblPrEx>
        <w:trPr>
          <w:trHeight w:val="617" w:hRule="atLeast"/>
          <w:jc w:val="center"/>
        </w:trPr>
        <w:tc>
          <w:tcPr>
            <w:tcW w:w="818" w:type="dxa"/>
            <w:tcBorders>
              <w:top w:val="single" w:color="auto" w:sz="4" w:space="0"/>
              <w:left w:val="single" w:color="auto" w:sz="4" w:space="0"/>
              <w:bottom w:val="single" w:color="auto" w:sz="4" w:space="0"/>
              <w:right w:val="single" w:color="auto" w:sz="4" w:space="0"/>
            </w:tcBorders>
            <w:noWrap w:val="0"/>
            <w:vAlign w:val="center"/>
          </w:tcPr>
          <w:p w14:paraId="79E443B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w:t>
            </w:r>
          </w:p>
        </w:tc>
        <w:tc>
          <w:tcPr>
            <w:tcW w:w="2246" w:type="dxa"/>
            <w:tcBorders>
              <w:top w:val="single" w:color="auto" w:sz="4" w:space="0"/>
              <w:left w:val="single" w:color="auto" w:sz="4" w:space="0"/>
              <w:bottom w:val="single" w:color="auto" w:sz="4" w:space="0"/>
              <w:right w:val="single" w:color="auto" w:sz="4" w:space="0"/>
            </w:tcBorders>
            <w:noWrap w:val="0"/>
            <w:vAlign w:val="center"/>
          </w:tcPr>
          <w:p w14:paraId="22AF2E7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供应商须具有有效的营业执照</w:t>
            </w:r>
          </w:p>
        </w:tc>
        <w:tc>
          <w:tcPr>
            <w:tcW w:w="6715" w:type="dxa"/>
            <w:tcBorders>
              <w:top w:val="single" w:color="auto" w:sz="4" w:space="0"/>
              <w:left w:val="single" w:color="auto" w:sz="4" w:space="0"/>
              <w:bottom w:val="single" w:color="auto" w:sz="4" w:space="0"/>
              <w:right w:val="single" w:color="auto" w:sz="4" w:space="0"/>
            </w:tcBorders>
            <w:noWrap w:val="0"/>
            <w:vAlign w:val="center"/>
          </w:tcPr>
          <w:p w14:paraId="2ED4A0E2">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hint="eastAsia" w:ascii="宋体" w:hAnsi="宋体" w:eastAsia="宋体" w:cs="宋体"/>
                <w:color w:val="000000"/>
                <w:spacing w:val="-4"/>
                <w:sz w:val="24"/>
                <w:szCs w:val="24"/>
                <w:highlight w:val="none"/>
              </w:rPr>
            </w:pPr>
            <w:r>
              <w:rPr>
                <w:rFonts w:hint="eastAsia" w:ascii="宋体" w:hAnsi="宋体" w:eastAsia="宋体" w:cs="宋体"/>
                <w:b w:val="0"/>
                <w:bCs/>
                <w:color w:val="auto"/>
                <w:sz w:val="24"/>
                <w:szCs w:val="24"/>
                <w:highlight w:val="none"/>
              </w:rPr>
              <w:t>营业执照正本或副本</w:t>
            </w:r>
            <w:r>
              <w:rPr>
                <w:rFonts w:hint="eastAsia" w:ascii="宋体" w:hAnsi="宋体" w:eastAsia="宋体" w:cs="宋体"/>
                <w:b/>
                <w:color w:val="auto"/>
                <w:sz w:val="24"/>
                <w:szCs w:val="24"/>
                <w:highlight w:val="none"/>
              </w:rPr>
              <w:t>（谈判响应文件中需提供加盖投标人公章的复印件）</w:t>
            </w:r>
            <w:r>
              <w:rPr>
                <w:rFonts w:hint="eastAsia" w:ascii="宋体" w:hAnsi="宋体" w:eastAsia="宋体" w:cs="宋体"/>
                <w:b w:val="0"/>
                <w:bCs/>
                <w:color w:val="auto"/>
                <w:sz w:val="24"/>
                <w:szCs w:val="24"/>
                <w:highlight w:val="none"/>
              </w:rPr>
              <w:t>。</w:t>
            </w:r>
          </w:p>
        </w:tc>
      </w:tr>
      <w:tr w14:paraId="5E02543A">
        <w:tblPrEx>
          <w:tblCellMar>
            <w:top w:w="0" w:type="dxa"/>
            <w:left w:w="108" w:type="dxa"/>
            <w:bottom w:w="0" w:type="dxa"/>
            <w:right w:w="108" w:type="dxa"/>
          </w:tblCellMar>
        </w:tblPrEx>
        <w:trPr>
          <w:trHeight w:val="879" w:hRule="atLeast"/>
          <w:jc w:val="center"/>
        </w:trPr>
        <w:tc>
          <w:tcPr>
            <w:tcW w:w="818" w:type="dxa"/>
            <w:tcBorders>
              <w:top w:val="single" w:color="auto" w:sz="4" w:space="0"/>
              <w:left w:val="single" w:color="auto" w:sz="4" w:space="0"/>
              <w:bottom w:val="single" w:color="auto" w:sz="4" w:space="0"/>
              <w:right w:val="single" w:color="auto" w:sz="4" w:space="0"/>
            </w:tcBorders>
            <w:noWrap w:val="0"/>
            <w:vAlign w:val="center"/>
          </w:tcPr>
          <w:p w14:paraId="3E21BCE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w:t>
            </w:r>
          </w:p>
        </w:tc>
        <w:tc>
          <w:tcPr>
            <w:tcW w:w="2246" w:type="dxa"/>
            <w:tcBorders>
              <w:top w:val="single" w:color="auto" w:sz="4" w:space="0"/>
              <w:left w:val="single" w:color="auto" w:sz="4" w:space="0"/>
              <w:bottom w:val="single" w:color="auto" w:sz="4" w:space="0"/>
              <w:right w:val="single" w:color="auto" w:sz="4" w:space="0"/>
            </w:tcBorders>
            <w:noWrap w:val="0"/>
            <w:vAlign w:val="center"/>
          </w:tcPr>
          <w:p w14:paraId="7C2C75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sz w:val="24"/>
                <w:szCs w:val="24"/>
                <w:highlight w:val="none"/>
                <w:lang w:val="en-US" w:eastAsia="zh-CN"/>
              </w:rPr>
              <w:t>食品卫生许可证或餐饮服务许可证或食品经营许可证</w:t>
            </w:r>
          </w:p>
        </w:tc>
        <w:tc>
          <w:tcPr>
            <w:tcW w:w="6715" w:type="dxa"/>
            <w:tcBorders>
              <w:top w:val="single" w:color="auto" w:sz="4" w:space="0"/>
              <w:left w:val="single" w:color="auto" w:sz="4" w:space="0"/>
              <w:bottom w:val="single" w:color="auto" w:sz="4" w:space="0"/>
              <w:right w:val="single" w:color="auto" w:sz="4" w:space="0"/>
            </w:tcBorders>
            <w:noWrap w:val="0"/>
            <w:vAlign w:val="center"/>
          </w:tcPr>
          <w:p w14:paraId="5A5D0AA3">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食品卫生许可证或餐饮服务许可证或食品经营许可证证书复印件</w:t>
            </w:r>
            <w:r>
              <w:rPr>
                <w:rFonts w:hint="eastAsia" w:ascii="宋体" w:hAnsi="宋体" w:eastAsia="宋体" w:cs="宋体"/>
                <w:b/>
                <w:bCs w:val="0"/>
                <w:color w:val="auto"/>
                <w:sz w:val="24"/>
                <w:szCs w:val="24"/>
                <w:highlight w:val="none"/>
              </w:rPr>
              <w:t>（谈判响应文件中需提供加盖投标人公章的复印件）。</w:t>
            </w:r>
          </w:p>
        </w:tc>
      </w:tr>
      <w:tr w14:paraId="320D1F2E">
        <w:tblPrEx>
          <w:tblCellMar>
            <w:top w:w="0" w:type="dxa"/>
            <w:left w:w="108" w:type="dxa"/>
            <w:bottom w:w="0" w:type="dxa"/>
            <w:right w:w="108" w:type="dxa"/>
          </w:tblCellMar>
        </w:tblPrEx>
        <w:trPr>
          <w:trHeight w:val="805" w:hRule="atLeast"/>
          <w:jc w:val="center"/>
        </w:trPr>
        <w:tc>
          <w:tcPr>
            <w:tcW w:w="818" w:type="dxa"/>
            <w:tcBorders>
              <w:top w:val="single" w:color="auto" w:sz="4" w:space="0"/>
              <w:left w:val="single" w:color="auto" w:sz="4" w:space="0"/>
              <w:bottom w:val="single" w:color="auto" w:sz="4" w:space="0"/>
              <w:right w:val="single" w:color="auto" w:sz="4" w:space="0"/>
            </w:tcBorders>
            <w:noWrap w:val="0"/>
            <w:vAlign w:val="center"/>
          </w:tcPr>
          <w:p w14:paraId="53B1141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4</w:t>
            </w:r>
          </w:p>
        </w:tc>
        <w:tc>
          <w:tcPr>
            <w:tcW w:w="2246" w:type="dxa"/>
            <w:tcBorders>
              <w:top w:val="single" w:color="auto" w:sz="4" w:space="0"/>
              <w:left w:val="single" w:color="auto" w:sz="4" w:space="0"/>
              <w:bottom w:val="single" w:color="auto" w:sz="4" w:space="0"/>
              <w:right w:val="single" w:color="auto" w:sz="4" w:space="0"/>
            </w:tcBorders>
            <w:noWrap w:val="0"/>
            <w:vAlign w:val="center"/>
          </w:tcPr>
          <w:p w14:paraId="537B2D6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供应商实体经营店</w:t>
            </w:r>
            <w:r>
              <w:rPr>
                <w:rFonts w:hint="eastAsia" w:ascii="宋体" w:hAnsi="宋体" w:cs="宋体"/>
                <w:sz w:val="24"/>
                <w:szCs w:val="24"/>
                <w:highlight w:val="none"/>
                <w:lang w:val="en-US" w:eastAsia="zh-CN"/>
              </w:rPr>
              <w:t>面积证明材料</w:t>
            </w:r>
          </w:p>
        </w:tc>
        <w:tc>
          <w:tcPr>
            <w:tcW w:w="6715" w:type="dxa"/>
            <w:tcBorders>
              <w:top w:val="single" w:color="auto" w:sz="4" w:space="0"/>
              <w:left w:val="single" w:color="auto" w:sz="4" w:space="0"/>
              <w:bottom w:val="single" w:color="auto" w:sz="4" w:space="0"/>
              <w:right w:val="single" w:color="auto" w:sz="4" w:space="0"/>
            </w:tcBorders>
            <w:noWrap w:val="0"/>
            <w:vAlign w:val="center"/>
          </w:tcPr>
          <w:p w14:paraId="7A1AD13A">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须在响应文件中提供有效的证明材料及图片复印件（谈判响应文件中需提供加盖投标人公章的复印件）。</w:t>
            </w:r>
          </w:p>
        </w:tc>
      </w:tr>
      <w:tr w14:paraId="4C692ECA">
        <w:tblPrEx>
          <w:tblCellMar>
            <w:top w:w="0" w:type="dxa"/>
            <w:left w:w="108" w:type="dxa"/>
            <w:bottom w:w="0" w:type="dxa"/>
            <w:right w:w="108" w:type="dxa"/>
          </w:tblCellMar>
        </w:tblPrEx>
        <w:trPr>
          <w:trHeight w:val="680" w:hRule="atLeast"/>
          <w:jc w:val="center"/>
        </w:trPr>
        <w:tc>
          <w:tcPr>
            <w:tcW w:w="9779" w:type="dxa"/>
            <w:gridSpan w:val="3"/>
            <w:tcBorders>
              <w:top w:val="single" w:color="auto" w:sz="4" w:space="0"/>
              <w:left w:val="single" w:color="auto" w:sz="4" w:space="0"/>
              <w:bottom w:val="single" w:color="auto" w:sz="4" w:space="0"/>
              <w:right w:val="single" w:color="auto" w:sz="4" w:space="0"/>
            </w:tcBorders>
            <w:noWrap w:val="0"/>
            <w:vAlign w:val="center"/>
          </w:tcPr>
          <w:p w14:paraId="7EDFBE6B">
            <w:pPr>
              <w:keepNext w:val="0"/>
              <w:keepLines w:val="0"/>
              <w:pageBreakBefore w:val="0"/>
              <w:widowControl w:val="0"/>
              <w:kinsoku/>
              <w:wordWrap/>
              <w:overflowPunct/>
              <w:topLinePunct w:val="0"/>
              <w:autoSpaceDE/>
              <w:autoSpaceDN/>
              <w:bidi w:val="0"/>
              <w:adjustRightInd w:val="0"/>
              <w:snapToGrid w:val="0"/>
              <w:spacing w:line="240" w:lineRule="auto"/>
              <w:ind w:firstLine="0"/>
              <w:jc w:val="left"/>
              <w:textAlignment w:val="auto"/>
              <w:rPr>
                <w:rFonts w:hint="eastAsia" w:ascii="宋体" w:hAnsi="宋体" w:eastAsia="宋体" w:cs="宋体"/>
                <w:bCs/>
                <w:color w:val="000000"/>
                <w:sz w:val="24"/>
                <w:szCs w:val="24"/>
                <w:highlight w:val="none"/>
              </w:rPr>
            </w:pPr>
            <w:r>
              <w:rPr>
                <w:rFonts w:hint="eastAsia" w:ascii="宋体" w:hAnsi="宋体" w:eastAsia="宋体" w:cs="宋体"/>
                <w:b/>
                <w:bCs w:val="0"/>
                <w:color w:val="000000"/>
                <w:sz w:val="24"/>
                <w:szCs w:val="24"/>
                <w:highlight w:val="none"/>
              </w:rPr>
              <w:t>未通过或缺少任何一项需提交的原件材料的，资格审查不合格，按无效投标处理。</w:t>
            </w:r>
          </w:p>
        </w:tc>
      </w:tr>
    </w:tbl>
    <w:p w14:paraId="2C6403B6">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1"/>
        <w:rPr>
          <w:rFonts w:hint="eastAsia" w:ascii="宋体" w:hAnsi="宋体" w:eastAsia="宋体" w:cs="宋体"/>
          <w:b/>
          <w:color w:val="auto"/>
          <w:kern w:val="10"/>
          <w:sz w:val="30"/>
          <w:szCs w:val="30"/>
          <w:highlight w:val="none"/>
        </w:rPr>
      </w:pPr>
      <w:r>
        <w:rPr>
          <w:rFonts w:hint="eastAsia" w:ascii="宋体" w:hAnsi="宋体" w:eastAsia="宋体" w:cs="宋体"/>
          <w:b/>
          <w:color w:val="auto"/>
          <w:kern w:val="10"/>
          <w:sz w:val="30"/>
          <w:szCs w:val="30"/>
          <w:highlight w:val="none"/>
        </w:rPr>
        <w:t>评审方法和标准前附表二（初步评审指标表）</w:t>
      </w:r>
    </w:p>
    <w:tbl>
      <w:tblPr>
        <w:tblStyle w:val="36"/>
        <w:tblW w:w="0" w:type="auto"/>
        <w:jc w:val="center"/>
        <w:tblLayout w:type="fixed"/>
        <w:tblCellMar>
          <w:top w:w="0" w:type="dxa"/>
          <w:left w:w="108" w:type="dxa"/>
          <w:bottom w:w="0" w:type="dxa"/>
          <w:right w:w="108" w:type="dxa"/>
        </w:tblCellMar>
      </w:tblPr>
      <w:tblGrid>
        <w:gridCol w:w="821"/>
        <w:gridCol w:w="2227"/>
        <w:gridCol w:w="6731"/>
      </w:tblGrid>
      <w:tr w14:paraId="57DD2D9F">
        <w:tblPrEx>
          <w:tblCellMar>
            <w:top w:w="0" w:type="dxa"/>
            <w:left w:w="108" w:type="dxa"/>
            <w:bottom w:w="0" w:type="dxa"/>
            <w:right w:w="108" w:type="dxa"/>
          </w:tblCellMar>
        </w:tblPrEx>
        <w:trPr>
          <w:trHeight w:val="445" w:hRule="atLeast"/>
          <w:jc w:val="center"/>
        </w:trPr>
        <w:tc>
          <w:tcPr>
            <w:tcW w:w="821" w:type="dxa"/>
            <w:tcBorders>
              <w:top w:val="single" w:color="auto" w:sz="4" w:space="0"/>
              <w:left w:val="single" w:color="auto" w:sz="4" w:space="0"/>
              <w:bottom w:val="single" w:color="auto" w:sz="4" w:space="0"/>
              <w:right w:val="single" w:color="auto" w:sz="4" w:space="0"/>
            </w:tcBorders>
            <w:noWrap w:val="0"/>
            <w:vAlign w:val="center"/>
          </w:tcPr>
          <w:p w14:paraId="0A365CF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序号</w:t>
            </w:r>
          </w:p>
        </w:tc>
        <w:tc>
          <w:tcPr>
            <w:tcW w:w="2227" w:type="dxa"/>
            <w:tcBorders>
              <w:top w:val="single" w:color="auto" w:sz="4" w:space="0"/>
              <w:left w:val="single" w:color="auto" w:sz="4" w:space="0"/>
              <w:bottom w:val="single" w:color="auto" w:sz="4" w:space="0"/>
              <w:right w:val="single" w:color="auto" w:sz="4" w:space="0"/>
            </w:tcBorders>
            <w:noWrap w:val="0"/>
            <w:vAlign w:val="center"/>
          </w:tcPr>
          <w:p w14:paraId="1B4EF30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评审因素</w:t>
            </w:r>
          </w:p>
        </w:tc>
        <w:tc>
          <w:tcPr>
            <w:tcW w:w="6731" w:type="dxa"/>
            <w:tcBorders>
              <w:top w:val="single" w:color="auto" w:sz="4" w:space="0"/>
              <w:left w:val="single" w:color="auto" w:sz="4" w:space="0"/>
              <w:bottom w:val="single" w:color="auto" w:sz="4" w:space="0"/>
              <w:right w:val="single" w:color="auto" w:sz="4" w:space="0"/>
            </w:tcBorders>
            <w:noWrap w:val="0"/>
            <w:vAlign w:val="center"/>
          </w:tcPr>
          <w:p w14:paraId="05B21FC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初步评审标准</w:t>
            </w:r>
          </w:p>
        </w:tc>
      </w:tr>
      <w:tr w14:paraId="78DA78C7">
        <w:tblPrEx>
          <w:tblCellMar>
            <w:top w:w="0" w:type="dxa"/>
            <w:left w:w="108" w:type="dxa"/>
            <w:bottom w:w="0" w:type="dxa"/>
            <w:right w:w="108" w:type="dxa"/>
          </w:tblCellMar>
        </w:tblPrEx>
        <w:trPr>
          <w:trHeight w:val="680" w:hRule="atLeast"/>
          <w:jc w:val="center"/>
        </w:trPr>
        <w:tc>
          <w:tcPr>
            <w:tcW w:w="821" w:type="dxa"/>
            <w:tcBorders>
              <w:top w:val="single" w:color="auto" w:sz="4" w:space="0"/>
              <w:left w:val="single" w:color="auto" w:sz="4" w:space="0"/>
              <w:bottom w:val="single" w:color="auto" w:sz="4" w:space="0"/>
              <w:right w:val="single" w:color="auto" w:sz="4" w:space="0"/>
            </w:tcBorders>
            <w:noWrap w:val="0"/>
            <w:vAlign w:val="center"/>
          </w:tcPr>
          <w:p w14:paraId="1CD64F3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p>
        </w:tc>
        <w:tc>
          <w:tcPr>
            <w:tcW w:w="2227" w:type="dxa"/>
            <w:tcBorders>
              <w:top w:val="single" w:color="auto" w:sz="4" w:space="0"/>
              <w:left w:val="single" w:color="auto" w:sz="4" w:space="0"/>
              <w:bottom w:val="single" w:color="auto" w:sz="4" w:space="0"/>
              <w:right w:val="single" w:color="auto" w:sz="4" w:space="0"/>
            </w:tcBorders>
            <w:noWrap w:val="0"/>
            <w:vAlign w:val="center"/>
          </w:tcPr>
          <w:p w14:paraId="22256A7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投标单位名称的</w:t>
            </w:r>
          </w:p>
          <w:p w14:paraId="1C75A7D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一致性要求</w:t>
            </w:r>
          </w:p>
        </w:tc>
        <w:tc>
          <w:tcPr>
            <w:tcW w:w="6731" w:type="dxa"/>
            <w:tcBorders>
              <w:top w:val="single" w:color="auto" w:sz="4" w:space="0"/>
              <w:left w:val="single" w:color="auto" w:sz="4" w:space="0"/>
              <w:bottom w:val="single" w:color="auto" w:sz="4" w:space="0"/>
              <w:right w:val="single" w:color="auto" w:sz="4" w:space="0"/>
            </w:tcBorders>
            <w:noWrap w:val="0"/>
            <w:vAlign w:val="center"/>
          </w:tcPr>
          <w:p w14:paraId="795C9690">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spacing w:val="-4"/>
                <w:sz w:val="24"/>
                <w:szCs w:val="24"/>
                <w:highlight w:val="none"/>
              </w:rPr>
            </w:pPr>
            <w:r>
              <w:rPr>
                <w:rFonts w:hint="eastAsia" w:ascii="宋体" w:hAnsi="宋体" w:eastAsia="宋体" w:cs="宋体"/>
                <w:color w:val="000000"/>
                <w:spacing w:val="-4"/>
                <w:sz w:val="24"/>
                <w:szCs w:val="24"/>
                <w:highlight w:val="none"/>
              </w:rPr>
              <w:t>投标单位名称与资格审查提供的投标单位营业执照、税务登记证应一致。</w:t>
            </w:r>
          </w:p>
        </w:tc>
      </w:tr>
      <w:tr w14:paraId="57BBB1C7">
        <w:tblPrEx>
          <w:tblCellMar>
            <w:top w:w="0" w:type="dxa"/>
            <w:left w:w="108" w:type="dxa"/>
            <w:bottom w:w="0" w:type="dxa"/>
            <w:right w:w="108" w:type="dxa"/>
          </w:tblCellMar>
        </w:tblPrEx>
        <w:trPr>
          <w:trHeight w:val="680" w:hRule="atLeast"/>
          <w:jc w:val="center"/>
        </w:trPr>
        <w:tc>
          <w:tcPr>
            <w:tcW w:w="821" w:type="dxa"/>
            <w:tcBorders>
              <w:top w:val="single" w:color="auto" w:sz="4" w:space="0"/>
              <w:left w:val="single" w:color="auto" w:sz="4" w:space="0"/>
              <w:bottom w:val="single" w:color="auto" w:sz="4" w:space="0"/>
              <w:right w:val="single" w:color="auto" w:sz="4" w:space="0"/>
            </w:tcBorders>
            <w:noWrap w:val="0"/>
            <w:vAlign w:val="center"/>
          </w:tcPr>
          <w:p w14:paraId="2CE65FD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w:t>
            </w:r>
          </w:p>
        </w:tc>
        <w:tc>
          <w:tcPr>
            <w:tcW w:w="2227" w:type="dxa"/>
            <w:tcBorders>
              <w:top w:val="single" w:color="auto" w:sz="4" w:space="0"/>
              <w:left w:val="single" w:color="auto" w:sz="4" w:space="0"/>
              <w:bottom w:val="single" w:color="auto" w:sz="4" w:space="0"/>
              <w:right w:val="single" w:color="auto" w:sz="4" w:space="0"/>
            </w:tcBorders>
            <w:noWrap w:val="0"/>
            <w:vAlign w:val="center"/>
          </w:tcPr>
          <w:p w14:paraId="5596389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谈判响应文件签字盖章要求</w:t>
            </w:r>
          </w:p>
        </w:tc>
        <w:tc>
          <w:tcPr>
            <w:tcW w:w="6731" w:type="dxa"/>
            <w:tcBorders>
              <w:top w:val="single" w:color="auto" w:sz="4" w:space="0"/>
              <w:left w:val="single" w:color="auto" w:sz="4" w:space="0"/>
              <w:bottom w:val="single" w:color="auto" w:sz="4" w:space="0"/>
              <w:right w:val="single" w:color="auto" w:sz="4" w:space="0"/>
            </w:tcBorders>
            <w:noWrap w:val="0"/>
            <w:vAlign w:val="center"/>
          </w:tcPr>
          <w:p w14:paraId="23DB5EFA">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谈判响应文件应按谈判文件规定加盖投标单位印章</w:t>
            </w:r>
            <w:r>
              <w:rPr>
                <w:rFonts w:hint="eastAsia" w:ascii="宋体" w:hAnsi="宋体" w:eastAsia="宋体" w:cs="宋体"/>
                <w:color w:val="000000"/>
                <w:sz w:val="24"/>
                <w:szCs w:val="24"/>
                <w:highlight w:val="none"/>
                <w:lang w:val="en-US" w:eastAsia="zh-CN"/>
              </w:rPr>
              <w:t>或</w:t>
            </w:r>
            <w:r>
              <w:rPr>
                <w:rFonts w:hint="eastAsia" w:ascii="宋体" w:hAnsi="宋体" w:eastAsia="宋体" w:cs="宋体"/>
                <w:color w:val="000000"/>
                <w:sz w:val="24"/>
                <w:szCs w:val="24"/>
                <w:highlight w:val="none"/>
              </w:rPr>
              <w:t>投标单位负责人或其授权的代理人签字或盖章。</w:t>
            </w:r>
          </w:p>
        </w:tc>
      </w:tr>
      <w:tr w14:paraId="6143B9EF">
        <w:tblPrEx>
          <w:tblCellMar>
            <w:top w:w="0" w:type="dxa"/>
            <w:left w:w="108" w:type="dxa"/>
            <w:bottom w:w="0" w:type="dxa"/>
            <w:right w:w="108" w:type="dxa"/>
          </w:tblCellMar>
        </w:tblPrEx>
        <w:trPr>
          <w:trHeight w:val="680" w:hRule="atLeast"/>
          <w:jc w:val="center"/>
        </w:trPr>
        <w:tc>
          <w:tcPr>
            <w:tcW w:w="821" w:type="dxa"/>
            <w:tcBorders>
              <w:top w:val="single" w:color="auto" w:sz="4" w:space="0"/>
              <w:left w:val="single" w:color="auto" w:sz="4" w:space="0"/>
              <w:bottom w:val="single" w:color="auto" w:sz="4" w:space="0"/>
              <w:right w:val="single" w:color="auto" w:sz="4" w:space="0"/>
            </w:tcBorders>
            <w:noWrap w:val="0"/>
            <w:vAlign w:val="center"/>
          </w:tcPr>
          <w:p w14:paraId="2885ECA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w:t>
            </w:r>
          </w:p>
        </w:tc>
        <w:tc>
          <w:tcPr>
            <w:tcW w:w="2227" w:type="dxa"/>
            <w:tcBorders>
              <w:top w:val="single" w:color="auto" w:sz="4" w:space="0"/>
              <w:left w:val="single" w:color="auto" w:sz="4" w:space="0"/>
              <w:bottom w:val="single" w:color="auto" w:sz="4" w:space="0"/>
              <w:right w:val="single" w:color="auto" w:sz="4" w:space="0"/>
            </w:tcBorders>
            <w:noWrap w:val="0"/>
            <w:vAlign w:val="center"/>
          </w:tcPr>
          <w:p w14:paraId="2DFC56E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谈判响应文件格式</w:t>
            </w:r>
          </w:p>
        </w:tc>
        <w:tc>
          <w:tcPr>
            <w:tcW w:w="6731" w:type="dxa"/>
            <w:tcBorders>
              <w:top w:val="single" w:color="auto" w:sz="4" w:space="0"/>
              <w:left w:val="single" w:color="auto" w:sz="4" w:space="0"/>
              <w:bottom w:val="single" w:color="auto" w:sz="4" w:space="0"/>
              <w:right w:val="single" w:color="auto" w:sz="4" w:space="0"/>
            </w:tcBorders>
            <w:noWrap w:val="0"/>
            <w:vAlign w:val="center"/>
          </w:tcPr>
          <w:p w14:paraId="2BDC404E">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须按谈判文件规定的格式填写，内容完整，不得影响谈判响应文件评审，且不得出现关键字迹模糊、无法辨认等情况。</w:t>
            </w:r>
          </w:p>
        </w:tc>
      </w:tr>
      <w:tr w14:paraId="3B834C33">
        <w:tblPrEx>
          <w:tblCellMar>
            <w:top w:w="0" w:type="dxa"/>
            <w:left w:w="108" w:type="dxa"/>
            <w:bottom w:w="0" w:type="dxa"/>
            <w:right w:w="108" w:type="dxa"/>
          </w:tblCellMar>
        </w:tblPrEx>
        <w:trPr>
          <w:trHeight w:val="680" w:hRule="atLeast"/>
          <w:jc w:val="center"/>
        </w:trPr>
        <w:tc>
          <w:tcPr>
            <w:tcW w:w="821" w:type="dxa"/>
            <w:tcBorders>
              <w:top w:val="single" w:color="auto" w:sz="4" w:space="0"/>
              <w:left w:val="single" w:color="auto" w:sz="4" w:space="0"/>
              <w:bottom w:val="single" w:color="auto" w:sz="4" w:space="0"/>
              <w:right w:val="single" w:color="auto" w:sz="4" w:space="0"/>
            </w:tcBorders>
            <w:noWrap w:val="0"/>
            <w:vAlign w:val="center"/>
          </w:tcPr>
          <w:p w14:paraId="5FD00F5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w:t>
            </w:r>
          </w:p>
        </w:tc>
        <w:tc>
          <w:tcPr>
            <w:tcW w:w="2227" w:type="dxa"/>
            <w:tcBorders>
              <w:top w:val="single" w:color="auto" w:sz="4" w:space="0"/>
              <w:left w:val="single" w:color="auto" w:sz="4" w:space="0"/>
              <w:bottom w:val="single" w:color="auto" w:sz="4" w:space="0"/>
              <w:right w:val="single" w:color="auto" w:sz="4" w:space="0"/>
            </w:tcBorders>
            <w:noWrap w:val="0"/>
            <w:vAlign w:val="center"/>
          </w:tcPr>
          <w:p w14:paraId="3381706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谈判响应文件的唯一性和确定性</w:t>
            </w:r>
          </w:p>
        </w:tc>
        <w:tc>
          <w:tcPr>
            <w:tcW w:w="6731" w:type="dxa"/>
            <w:tcBorders>
              <w:top w:val="single" w:color="auto" w:sz="4" w:space="0"/>
              <w:left w:val="single" w:color="auto" w:sz="4" w:space="0"/>
              <w:bottom w:val="single" w:color="auto" w:sz="4" w:space="0"/>
              <w:right w:val="single" w:color="auto" w:sz="4" w:space="0"/>
            </w:tcBorders>
            <w:noWrap w:val="0"/>
            <w:vAlign w:val="center"/>
          </w:tcPr>
          <w:p w14:paraId="6ABB6ED6">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rPr>
              <w:t>投标单位不得递交两份或多份内容不同的响应文件，且未声明哪一个有效，按谈判文件规定提交投标替代方案的除外</w:t>
            </w:r>
            <w:r>
              <w:rPr>
                <w:rFonts w:hint="eastAsia" w:ascii="宋体" w:hAnsi="宋体" w:eastAsia="宋体" w:cs="宋体"/>
                <w:color w:val="000000"/>
                <w:sz w:val="24"/>
                <w:szCs w:val="24"/>
                <w:highlight w:val="none"/>
              </w:rPr>
              <w:t>。</w:t>
            </w:r>
          </w:p>
        </w:tc>
      </w:tr>
      <w:tr w14:paraId="2A9CCF38">
        <w:tblPrEx>
          <w:tblCellMar>
            <w:top w:w="0" w:type="dxa"/>
            <w:left w:w="108" w:type="dxa"/>
            <w:bottom w:w="0" w:type="dxa"/>
            <w:right w:w="108" w:type="dxa"/>
          </w:tblCellMar>
        </w:tblPrEx>
        <w:trPr>
          <w:trHeight w:val="487" w:hRule="atLeast"/>
          <w:jc w:val="center"/>
        </w:trPr>
        <w:tc>
          <w:tcPr>
            <w:tcW w:w="9779" w:type="dxa"/>
            <w:gridSpan w:val="3"/>
            <w:tcBorders>
              <w:top w:val="single" w:color="auto" w:sz="4" w:space="0"/>
              <w:left w:val="single" w:color="auto" w:sz="4" w:space="0"/>
              <w:bottom w:val="single" w:color="auto" w:sz="4" w:space="0"/>
              <w:right w:val="single" w:color="auto" w:sz="4" w:space="0"/>
            </w:tcBorders>
            <w:noWrap w:val="0"/>
            <w:vAlign w:val="center"/>
          </w:tcPr>
          <w:p w14:paraId="30413F2C">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24"/>
                <w:szCs w:val="24"/>
                <w:highlight w:val="none"/>
              </w:rPr>
            </w:pPr>
            <w:r>
              <w:rPr>
                <w:rFonts w:hint="eastAsia" w:ascii="宋体" w:hAnsi="宋体" w:eastAsia="宋体" w:cs="宋体"/>
                <w:b/>
                <w:bCs/>
                <w:color w:val="000000"/>
                <w:sz w:val="24"/>
                <w:szCs w:val="24"/>
                <w:highlight w:val="none"/>
              </w:rPr>
              <w:t>以上评审有任何一项未通过的，初步评审不合格，按照无效投标处理。</w:t>
            </w:r>
          </w:p>
        </w:tc>
      </w:tr>
    </w:tbl>
    <w:p w14:paraId="5E79D93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1"/>
        <w:rPr>
          <w:rFonts w:hint="eastAsia" w:ascii="宋体" w:hAnsi="宋体" w:eastAsia="宋体" w:cs="宋体"/>
          <w:b/>
          <w:color w:val="auto"/>
          <w:kern w:val="10"/>
          <w:sz w:val="30"/>
          <w:szCs w:val="30"/>
          <w:highlight w:val="none"/>
        </w:rPr>
      </w:pPr>
      <w:r>
        <w:rPr>
          <w:rFonts w:hint="eastAsia" w:ascii="宋体" w:hAnsi="宋体" w:eastAsia="宋体" w:cs="宋体"/>
          <w:b/>
          <w:color w:val="auto"/>
          <w:kern w:val="10"/>
          <w:sz w:val="30"/>
          <w:szCs w:val="30"/>
          <w:highlight w:val="none"/>
        </w:rPr>
        <w:t>评审方法和标准前附表三（</w:t>
      </w:r>
      <w:r>
        <w:rPr>
          <w:rFonts w:hint="eastAsia" w:ascii="宋体" w:hAnsi="宋体" w:eastAsia="宋体" w:cs="宋体"/>
          <w:b/>
          <w:color w:val="auto"/>
          <w:kern w:val="10"/>
          <w:sz w:val="30"/>
          <w:szCs w:val="30"/>
          <w:highlight w:val="none"/>
          <w:lang w:val="en-US" w:eastAsia="zh-CN"/>
        </w:rPr>
        <w:t>响应性评审指标</w:t>
      </w:r>
      <w:r>
        <w:rPr>
          <w:rFonts w:hint="eastAsia" w:ascii="宋体" w:hAnsi="宋体" w:eastAsia="宋体" w:cs="宋体"/>
          <w:b/>
          <w:color w:val="auto"/>
          <w:kern w:val="10"/>
          <w:sz w:val="30"/>
          <w:szCs w:val="30"/>
          <w:highlight w:val="none"/>
        </w:rPr>
        <w:t>表）</w:t>
      </w:r>
    </w:p>
    <w:tbl>
      <w:tblPr>
        <w:tblStyle w:val="36"/>
        <w:tblW w:w="0" w:type="auto"/>
        <w:jc w:val="center"/>
        <w:tblLayout w:type="fixed"/>
        <w:tblCellMar>
          <w:top w:w="0" w:type="dxa"/>
          <w:left w:w="108" w:type="dxa"/>
          <w:bottom w:w="0" w:type="dxa"/>
          <w:right w:w="108" w:type="dxa"/>
        </w:tblCellMar>
      </w:tblPr>
      <w:tblGrid>
        <w:gridCol w:w="822"/>
        <w:gridCol w:w="2231"/>
        <w:gridCol w:w="6734"/>
      </w:tblGrid>
      <w:tr w14:paraId="00AF3649">
        <w:tblPrEx>
          <w:tblCellMar>
            <w:top w:w="0" w:type="dxa"/>
            <w:left w:w="108" w:type="dxa"/>
            <w:bottom w:w="0" w:type="dxa"/>
            <w:right w:w="108" w:type="dxa"/>
          </w:tblCellMar>
        </w:tblPrEx>
        <w:trPr>
          <w:trHeight w:val="510" w:hRule="atLeast"/>
          <w:jc w:val="center"/>
        </w:trPr>
        <w:tc>
          <w:tcPr>
            <w:tcW w:w="822" w:type="dxa"/>
            <w:tcBorders>
              <w:top w:val="single" w:color="auto" w:sz="4" w:space="0"/>
              <w:left w:val="single" w:color="auto" w:sz="4" w:space="0"/>
              <w:bottom w:val="single" w:color="auto" w:sz="4" w:space="0"/>
              <w:right w:val="single" w:color="auto" w:sz="4" w:space="0"/>
            </w:tcBorders>
            <w:noWrap w:val="0"/>
            <w:vAlign w:val="center"/>
          </w:tcPr>
          <w:p w14:paraId="243DB8F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序号</w:t>
            </w:r>
          </w:p>
        </w:tc>
        <w:tc>
          <w:tcPr>
            <w:tcW w:w="2231" w:type="dxa"/>
            <w:tcBorders>
              <w:top w:val="single" w:color="auto" w:sz="4" w:space="0"/>
              <w:left w:val="single" w:color="auto" w:sz="4" w:space="0"/>
              <w:bottom w:val="single" w:color="auto" w:sz="4" w:space="0"/>
              <w:right w:val="single" w:color="auto" w:sz="4" w:space="0"/>
            </w:tcBorders>
            <w:noWrap w:val="0"/>
            <w:vAlign w:val="center"/>
          </w:tcPr>
          <w:p w14:paraId="119BA3C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评审因素</w:t>
            </w:r>
          </w:p>
        </w:tc>
        <w:tc>
          <w:tcPr>
            <w:tcW w:w="6734" w:type="dxa"/>
            <w:tcBorders>
              <w:top w:val="single" w:color="auto" w:sz="4" w:space="0"/>
              <w:left w:val="single" w:color="auto" w:sz="4" w:space="0"/>
              <w:bottom w:val="single" w:color="auto" w:sz="4" w:space="0"/>
              <w:right w:val="single" w:color="auto" w:sz="4" w:space="0"/>
            </w:tcBorders>
            <w:noWrap w:val="0"/>
            <w:vAlign w:val="center"/>
          </w:tcPr>
          <w:p w14:paraId="1FF6B73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谈判响应文件详细评审标准</w:t>
            </w:r>
          </w:p>
        </w:tc>
      </w:tr>
      <w:tr w14:paraId="0FA27F9F">
        <w:tblPrEx>
          <w:tblCellMar>
            <w:top w:w="0" w:type="dxa"/>
            <w:left w:w="108" w:type="dxa"/>
            <w:bottom w:w="0" w:type="dxa"/>
            <w:right w:w="108" w:type="dxa"/>
          </w:tblCellMar>
        </w:tblPrEx>
        <w:trPr>
          <w:trHeight w:val="510" w:hRule="atLeast"/>
          <w:jc w:val="center"/>
        </w:trPr>
        <w:tc>
          <w:tcPr>
            <w:tcW w:w="822" w:type="dxa"/>
            <w:tcBorders>
              <w:top w:val="single" w:color="auto" w:sz="4" w:space="0"/>
              <w:left w:val="single" w:color="auto" w:sz="4" w:space="0"/>
              <w:bottom w:val="single" w:color="auto" w:sz="4" w:space="0"/>
              <w:right w:val="single" w:color="auto" w:sz="4" w:space="0"/>
            </w:tcBorders>
            <w:noWrap w:val="0"/>
            <w:vAlign w:val="center"/>
          </w:tcPr>
          <w:p w14:paraId="089972B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p>
        </w:tc>
        <w:tc>
          <w:tcPr>
            <w:tcW w:w="2231" w:type="dxa"/>
            <w:tcBorders>
              <w:top w:val="single" w:color="auto" w:sz="4" w:space="0"/>
              <w:left w:val="single" w:color="auto" w:sz="4" w:space="0"/>
              <w:bottom w:val="single" w:color="auto" w:sz="4" w:space="0"/>
              <w:right w:val="single" w:color="auto" w:sz="4" w:space="0"/>
            </w:tcBorders>
            <w:noWrap w:val="0"/>
            <w:vAlign w:val="center"/>
          </w:tcPr>
          <w:p w14:paraId="3CC5FBA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服务内容</w:t>
            </w:r>
          </w:p>
        </w:tc>
        <w:tc>
          <w:tcPr>
            <w:tcW w:w="6734" w:type="dxa"/>
            <w:tcBorders>
              <w:top w:val="single" w:color="auto" w:sz="4" w:space="0"/>
              <w:left w:val="single" w:color="auto" w:sz="4" w:space="0"/>
              <w:bottom w:val="single" w:color="auto" w:sz="4" w:space="0"/>
              <w:right w:val="single" w:color="auto" w:sz="4" w:space="0"/>
            </w:tcBorders>
            <w:noWrap w:val="0"/>
            <w:vAlign w:val="center"/>
          </w:tcPr>
          <w:p w14:paraId="524C37B5">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必须响应谈判文件的要求</w:t>
            </w:r>
          </w:p>
        </w:tc>
      </w:tr>
      <w:tr w14:paraId="69AA19B0">
        <w:tblPrEx>
          <w:tblCellMar>
            <w:top w:w="0" w:type="dxa"/>
            <w:left w:w="108" w:type="dxa"/>
            <w:bottom w:w="0" w:type="dxa"/>
            <w:right w:w="108" w:type="dxa"/>
          </w:tblCellMar>
        </w:tblPrEx>
        <w:trPr>
          <w:trHeight w:val="510" w:hRule="atLeast"/>
          <w:jc w:val="center"/>
        </w:trPr>
        <w:tc>
          <w:tcPr>
            <w:tcW w:w="822" w:type="dxa"/>
            <w:tcBorders>
              <w:top w:val="single" w:color="auto" w:sz="4" w:space="0"/>
              <w:left w:val="single" w:color="auto" w:sz="4" w:space="0"/>
              <w:bottom w:val="single" w:color="auto" w:sz="4" w:space="0"/>
              <w:right w:val="single" w:color="auto" w:sz="4" w:space="0"/>
            </w:tcBorders>
            <w:noWrap w:val="0"/>
            <w:vAlign w:val="center"/>
          </w:tcPr>
          <w:p w14:paraId="06CA0E3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w:t>
            </w:r>
          </w:p>
        </w:tc>
        <w:tc>
          <w:tcPr>
            <w:tcW w:w="2231" w:type="dxa"/>
            <w:tcBorders>
              <w:top w:val="single" w:color="auto" w:sz="4" w:space="0"/>
              <w:left w:val="single" w:color="auto" w:sz="4" w:space="0"/>
              <w:bottom w:val="single" w:color="auto" w:sz="4" w:space="0"/>
              <w:right w:val="single" w:color="auto" w:sz="4" w:space="0"/>
            </w:tcBorders>
            <w:noWrap w:val="0"/>
            <w:vAlign w:val="center"/>
          </w:tcPr>
          <w:p w14:paraId="15CD496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服务</w:t>
            </w:r>
            <w:r>
              <w:rPr>
                <w:rFonts w:hint="eastAsia" w:ascii="宋体" w:hAnsi="宋体" w:eastAsia="宋体" w:cs="宋体"/>
                <w:color w:val="000000"/>
                <w:sz w:val="24"/>
                <w:szCs w:val="24"/>
                <w:highlight w:val="none"/>
              </w:rPr>
              <w:t>期</w:t>
            </w:r>
          </w:p>
        </w:tc>
        <w:tc>
          <w:tcPr>
            <w:tcW w:w="6734" w:type="dxa"/>
            <w:tcBorders>
              <w:top w:val="single" w:color="auto" w:sz="4" w:space="0"/>
              <w:left w:val="single" w:color="auto" w:sz="4" w:space="0"/>
              <w:bottom w:val="single" w:color="auto" w:sz="4" w:space="0"/>
              <w:right w:val="single" w:color="auto" w:sz="4" w:space="0"/>
            </w:tcBorders>
            <w:noWrap w:val="0"/>
            <w:vAlign w:val="center"/>
          </w:tcPr>
          <w:p w14:paraId="43DBA30F">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必须响应谈判文件的要求</w:t>
            </w:r>
          </w:p>
        </w:tc>
      </w:tr>
      <w:tr w14:paraId="012EFCC3">
        <w:tblPrEx>
          <w:tblCellMar>
            <w:top w:w="0" w:type="dxa"/>
            <w:left w:w="108" w:type="dxa"/>
            <w:bottom w:w="0" w:type="dxa"/>
            <w:right w:w="108" w:type="dxa"/>
          </w:tblCellMar>
        </w:tblPrEx>
        <w:trPr>
          <w:trHeight w:val="510" w:hRule="atLeast"/>
          <w:jc w:val="center"/>
        </w:trPr>
        <w:tc>
          <w:tcPr>
            <w:tcW w:w="822" w:type="dxa"/>
            <w:tcBorders>
              <w:top w:val="single" w:color="auto" w:sz="4" w:space="0"/>
              <w:left w:val="single" w:color="auto" w:sz="4" w:space="0"/>
              <w:bottom w:val="single" w:color="auto" w:sz="4" w:space="0"/>
              <w:right w:val="single" w:color="auto" w:sz="4" w:space="0"/>
            </w:tcBorders>
            <w:noWrap w:val="0"/>
            <w:vAlign w:val="center"/>
          </w:tcPr>
          <w:p w14:paraId="1756731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w:t>
            </w:r>
          </w:p>
        </w:tc>
        <w:tc>
          <w:tcPr>
            <w:tcW w:w="2231" w:type="dxa"/>
            <w:tcBorders>
              <w:top w:val="single" w:color="auto" w:sz="4" w:space="0"/>
              <w:left w:val="single" w:color="auto" w:sz="4" w:space="0"/>
              <w:bottom w:val="single" w:color="auto" w:sz="4" w:space="0"/>
              <w:right w:val="single" w:color="auto" w:sz="4" w:space="0"/>
            </w:tcBorders>
            <w:noWrap w:val="0"/>
            <w:vAlign w:val="center"/>
          </w:tcPr>
          <w:p w14:paraId="40810C4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付款方式</w:t>
            </w:r>
          </w:p>
        </w:tc>
        <w:tc>
          <w:tcPr>
            <w:tcW w:w="6734" w:type="dxa"/>
            <w:tcBorders>
              <w:top w:val="single" w:color="auto" w:sz="4" w:space="0"/>
              <w:left w:val="single" w:color="auto" w:sz="4" w:space="0"/>
              <w:bottom w:val="single" w:color="auto" w:sz="4" w:space="0"/>
              <w:right w:val="single" w:color="auto" w:sz="4" w:space="0"/>
            </w:tcBorders>
            <w:noWrap w:val="0"/>
            <w:vAlign w:val="center"/>
          </w:tcPr>
          <w:p w14:paraId="7B202D13">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必须响应谈判文件的要求</w:t>
            </w:r>
          </w:p>
        </w:tc>
      </w:tr>
      <w:tr w14:paraId="0001A44D">
        <w:tblPrEx>
          <w:tblCellMar>
            <w:top w:w="0" w:type="dxa"/>
            <w:left w:w="108" w:type="dxa"/>
            <w:bottom w:w="0" w:type="dxa"/>
            <w:right w:w="108" w:type="dxa"/>
          </w:tblCellMar>
        </w:tblPrEx>
        <w:trPr>
          <w:trHeight w:val="510" w:hRule="atLeast"/>
          <w:jc w:val="center"/>
        </w:trPr>
        <w:tc>
          <w:tcPr>
            <w:tcW w:w="822" w:type="dxa"/>
            <w:tcBorders>
              <w:top w:val="single" w:color="auto" w:sz="4" w:space="0"/>
              <w:left w:val="single" w:color="auto" w:sz="4" w:space="0"/>
              <w:bottom w:val="single" w:color="auto" w:sz="4" w:space="0"/>
              <w:right w:val="single" w:color="auto" w:sz="4" w:space="0"/>
            </w:tcBorders>
            <w:noWrap w:val="0"/>
            <w:vAlign w:val="center"/>
          </w:tcPr>
          <w:p w14:paraId="693758A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w:t>
            </w:r>
          </w:p>
        </w:tc>
        <w:tc>
          <w:tcPr>
            <w:tcW w:w="2231" w:type="dxa"/>
            <w:tcBorders>
              <w:top w:val="single" w:color="auto" w:sz="4" w:space="0"/>
              <w:left w:val="single" w:color="auto" w:sz="4" w:space="0"/>
              <w:bottom w:val="single" w:color="auto" w:sz="4" w:space="0"/>
              <w:right w:val="single" w:color="auto" w:sz="4" w:space="0"/>
            </w:tcBorders>
            <w:noWrap w:val="0"/>
            <w:vAlign w:val="center"/>
          </w:tcPr>
          <w:p w14:paraId="79FAAAF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其他</w:t>
            </w:r>
          </w:p>
        </w:tc>
        <w:tc>
          <w:tcPr>
            <w:tcW w:w="6734" w:type="dxa"/>
            <w:tcBorders>
              <w:top w:val="single" w:color="auto" w:sz="4" w:space="0"/>
              <w:left w:val="single" w:color="auto" w:sz="4" w:space="0"/>
              <w:bottom w:val="single" w:color="auto" w:sz="4" w:space="0"/>
              <w:right w:val="single" w:color="auto" w:sz="4" w:space="0"/>
            </w:tcBorders>
            <w:noWrap w:val="0"/>
            <w:vAlign w:val="center"/>
          </w:tcPr>
          <w:p w14:paraId="53292B9E">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必须响应谈判文件的要求</w:t>
            </w:r>
          </w:p>
        </w:tc>
      </w:tr>
      <w:tr w14:paraId="4BFDD6F4">
        <w:tblPrEx>
          <w:tblCellMar>
            <w:top w:w="0" w:type="dxa"/>
            <w:left w:w="108" w:type="dxa"/>
            <w:bottom w:w="0" w:type="dxa"/>
            <w:right w:w="108" w:type="dxa"/>
          </w:tblCellMar>
        </w:tblPrEx>
        <w:trPr>
          <w:trHeight w:val="478" w:hRule="atLeast"/>
          <w:jc w:val="center"/>
        </w:trPr>
        <w:tc>
          <w:tcPr>
            <w:tcW w:w="9787" w:type="dxa"/>
            <w:gridSpan w:val="3"/>
            <w:tcBorders>
              <w:top w:val="single" w:color="auto" w:sz="4" w:space="0"/>
              <w:left w:val="single" w:color="auto" w:sz="4" w:space="0"/>
              <w:bottom w:val="single" w:color="auto" w:sz="4" w:space="0"/>
              <w:right w:val="single" w:color="auto" w:sz="4" w:space="0"/>
            </w:tcBorders>
            <w:noWrap w:val="0"/>
            <w:vAlign w:val="center"/>
          </w:tcPr>
          <w:p w14:paraId="14B2E261">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24"/>
                <w:szCs w:val="24"/>
                <w:highlight w:val="none"/>
              </w:rPr>
            </w:pPr>
            <w:r>
              <w:rPr>
                <w:rFonts w:hint="eastAsia" w:ascii="宋体" w:hAnsi="宋体" w:eastAsia="宋体" w:cs="宋体"/>
                <w:b/>
                <w:bCs/>
                <w:color w:val="000000"/>
                <w:sz w:val="24"/>
                <w:szCs w:val="24"/>
                <w:highlight w:val="none"/>
              </w:rPr>
              <w:t>以上评审有任何一项未通过的，响应性评审不合格，按无效投标处理。</w:t>
            </w:r>
          </w:p>
        </w:tc>
      </w:tr>
    </w:tbl>
    <w:p w14:paraId="321157FF">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1"/>
        <w:rPr>
          <w:rFonts w:hint="eastAsia" w:ascii="宋体" w:hAnsi="宋体" w:eastAsia="宋体" w:cs="宋体"/>
          <w:b/>
          <w:color w:val="auto"/>
          <w:kern w:val="10"/>
          <w:sz w:val="30"/>
          <w:szCs w:val="30"/>
          <w:highlight w:val="none"/>
        </w:rPr>
      </w:pPr>
      <w:bookmarkStart w:id="56" w:name="_Toc21730"/>
      <w:bookmarkStart w:id="57" w:name="_Toc493152871"/>
      <w:bookmarkStart w:id="58" w:name="_Toc457942830"/>
      <w:r>
        <w:rPr>
          <w:rFonts w:hint="eastAsia" w:ascii="宋体" w:hAnsi="宋体" w:eastAsia="宋体" w:cs="宋体"/>
          <w:b/>
          <w:color w:val="auto"/>
          <w:kern w:val="10"/>
          <w:sz w:val="30"/>
          <w:szCs w:val="30"/>
          <w:highlight w:val="none"/>
        </w:rPr>
        <w:t>评审方法和标准前附表</w:t>
      </w:r>
      <w:r>
        <w:rPr>
          <w:rFonts w:hint="eastAsia" w:ascii="宋体" w:hAnsi="宋体" w:eastAsia="宋体" w:cs="宋体"/>
          <w:b/>
          <w:color w:val="auto"/>
          <w:kern w:val="10"/>
          <w:sz w:val="30"/>
          <w:szCs w:val="30"/>
          <w:highlight w:val="none"/>
          <w:lang w:val="en-US" w:eastAsia="zh-CN"/>
        </w:rPr>
        <w:t>四</w:t>
      </w:r>
      <w:r>
        <w:rPr>
          <w:rFonts w:hint="eastAsia" w:ascii="宋体" w:hAnsi="宋体" w:eastAsia="宋体" w:cs="宋体"/>
          <w:b/>
          <w:color w:val="auto"/>
          <w:kern w:val="10"/>
          <w:sz w:val="30"/>
          <w:szCs w:val="30"/>
          <w:highlight w:val="none"/>
        </w:rPr>
        <w:t>（</w:t>
      </w:r>
      <w:r>
        <w:rPr>
          <w:rFonts w:hint="eastAsia" w:ascii="宋体" w:hAnsi="宋体" w:eastAsia="宋体" w:cs="宋体"/>
          <w:b/>
          <w:color w:val="auto"/>
          <w:kern w:val="10"/>
          <w:sz w:val="30"/>
          <w:szCs w:val="30"/>
          <w:highlight w:val="none"/>
          <w:lang w:val="en-US" w:eastAsia="zh-CN"/>
        </w:rPr>
        <w:t>综合评审</w:t>
      </w:r>
      <w:r>
        <w:rPr>
          <w:rFonts w:hint="eastAsia" w:ascii="宋体" w:hAnsi="宋体" w:eastAsia="宋体" w:cs="宋体"/>
          <w:b/>
          <w:color w:val="auto"/>
          <w:kern w:val="10"/>
          <w:sz w:val="30"/>
          <w:szCs w:val="30"/>
          <w:highlight w:val="none"/>
          <w:lang w:eastAsia="zh-CN"/>
        </w:rPr>
        <w:t>指标表</w:t>
      </w:r>
      <w:r>
        <w:rPr>
          <w:rFonts w:hint="eastAsia" w:ascii="宋体" w:hAnsi="宋体" w:eastAsia="宋体" w:cs="宋体"/>
          <w:b/>
          <w:color w:val="auto"/>
          <w:kern w:val="10"/>
          <w:sz w:val="30"/>
          <w:szCs w:val="30"/>
          <w:highlight w:val="none"/>
        </w:rPr>
        <w:t>）</w:t>
      </w:r>
    </w:p>
    <w:tbl>
      <w:tblPr>
        <w:tblStyle w:val="36"/>
        <w:tblW w:w="974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8"/>
        <w:gridCol w:w="1355"/>
        <w:gridCol w:w="6750"/>
        <w:gridCol w:w="913"/>
      </w:tblGrid>
      <w:tr w14:paraId="564B8F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728" w:type="dxa"/>
            <w:noWrap w:val="0"/>
            <w:vAlign w:val="center"/>
          </w:tcPr>
          <w:p w14:paraId="765C0C79">
            <w:pPr>
              <w:pStyle w:val="116"/>
              <w:spacing w:before="79"/>
              <w:jc w:val="both"/>
              <w:rPr>
                <w:rFonts w:hint="eastAsia" w:ascii="宋体" w:hAnsi="宋体" w:eastAsia="宋体" w:cs="宋体"/>
                <w:b/>
                <w:sz w:val="21"/>
                <w:szCs w:val="21"/>
                <w:highlight w:val="none"/>
              </w:rPr>
            </w:pPr>
          </w:p>
        </w:tc>
        <w:tc>
          <w:tcPr>
            <w:tcW w:w="1355" w:type="dxa"/>
            <w:noWrap w:val="0"/>
            <w:vAlign w:val="center"/>
          </w:tcPr>
          <w:p w14:paraId="673D7A52">
            <w:pPr>
              <w:pStyle w:val="116"/>
              <w:spacing w:line="300" w:lineRule="exact"/>
              <w:ind w:left="110" w:right="99"/>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评分内容</w:t>
            </w:r>
          </w:p>
        </w:tc>
        <w:tc>
          <w:tcPr>
            <w:tcW w:w="6750" w:type="dxa"/>
            <w:noWrap w:val="0"/>
            <w:vAlign w:val="center"/>
          </w:tcPr>
          <w:p w14:paraId="0DF55556">
            <w:pPr>
              <w:pStyle w:val="116"/>
              <w:spacing w:before="79"/>
              <w:ind w:left="2223" w:right="2221"/>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评分标准</w:t>
            </w:r>
          </w:p>
        </w:tc>
        <w:tc>
          <w:tcPr>
            <w:tcW w:w="913" w:type="dxa"/>
            <w:noWrap w:val="0"/>
            <w:vAlign w:val="center"/>
          </w:tcPr>
          <w:p w14:paraId="70A33789">
            <w:pPr>
              <w:pStyle w:val="116"/>
              <w:spacing w:line="300" w:lineRule="exact"/>
              <w:ind w:left="189"/>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分值</w:t>
            </w:r>
          </w:p>
          <w:p w14:paraId="5B2F40FE">
            <w:pPr>
              <w:pStyle w:val="116"/>
              <w:spacing w:line="303" w:lineRule="exact"/>
              <w:ind w:left="189"/>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范围</w:t>
            </w:r>
          </w:p>
        </w:tc>
      </w:tr>
      <w:tr w14:paraId="7612C2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28" w:type="dxa"/>
            <w:vMerge w:val="restart"/>
            <w:noWrap w:val="0"/>
            <w:vAlign w:val="center"/>
          </w:tcPr>
          <w:p w14:paraId="1C546100">
            <w:pPr>
              <w:pStyle w:val="116"/>
              <w:ind w:left="134"/>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综合评分</w:t>
            </w:r>
          </w:p>
          <w:p w14:paraId="33A33764">
            <w:pPr>
              <w:pStyle w:val="116"/>
              <w:spacing w:before="5"/>
              <w:ind w:left="107" w:right="-29"/>
              <w:jc w:val="left"/>
              <w:rPr>
                <w:rFonts w:hint="eastAsia" w:ascii="宋体" w:hAnsi="宋体" w:eastAsia="宋体" w:cs="宋体"/>
                <w:sz w:val="21"/>
                <w:szCs w:val="21"/>
                <w:highlight w:val="none"/>
              </w:rPr>
            </w:pPr>
            <w:r>
              <w:rPr>
                <w:rFonts w:hint="eastAsia" w:cs="宋体"/>
                <w:sz w:val="21"/>
                <w:szCs w:val="21"/>
                <w:highlight w:val="none"/>
                <w:u w:val="single"/>
                <w:lang w:val="en-US" w:eastAsia="zh-CN"/>
              </w:rPr>
              <w:t>7</w:t>
            </w:r>
            <w:r>
              <w:rPr>
                <w:rFonts w:hint="eastAsia" w:ascii="宋体" w:hAnsi="宋体" w:eastAsia="宋体" w:cs="宋体"/>
                <w:sz w:val="21"/>
                <w:szCs w:val="21"/>
                <w:highlight w:val="none"/>
                <w:u w:val="single"/>
                <w:lang w:val="en-US" w:eastAsia="zh-CN"/>
              </w:rPr>
              <w:t>0</w:t>
            </w:r>
            <w:r>
              <w:rPr>
                <w:rFonts w:hint="eastAsia" w:ascii="宋体" w:hAnsi="宋体" w:eastAsia="宋体" w:cs="宋体"/>
                <w:spacing w:val="-33"/>
                <w:sz w:val="21"/>
                <w:szCs w:val="21"/>
                <w:highlight w:val="none"/>
              </w:rPr>
              <w:t xml:space="preserve"> 分</w:t>
            </w:r>
          </w:p>
        </w:tc>
        <w:tc>
          <w:tcPr>
            <w:tcW w:w="1355" w:type="dxa"/>
            <w:noWrap w:val="0"/>
            <w:vAlign w:val="center"/>
          </w:tcPr>
          <w:p w14:paraId="0CE2C250">
            <w:pPr>
              <w:pStyle w:val="116"/>
              <w:keepNext w:val="0"/>
              <w:keepLines w:val="0"/>
              <w:pageBreakBefore w:val="0"/>
              <w:widowControl w:val="0"/>
              <w:kinsoku/>
              <w:wordWrap/>
              <w:overflowPunct/>
              <w:topLinePunct w:val="0"/>
              <w:autoSpaceDE/>
              <w:autoSpaceDN/>
              <w:bidi w:val="0"/>
              <w:spacing w:line="240" w:lineRule="exact"/>
              <w:ind w:left="249" w:right="238"/>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经营方案</w:t>
            </w:r>
          </w:p>
        </w:tc>
        <w:tc>
          <w:tcPr>
            <w:tcW w:w="6750" w:type="dxa"/>
            <w:noWrap w:val="0"/>
            <w:vAlign w:val="top"/>
          </w:tcPr>
          <w:p w14:paraId="5E209E99">
            <w:pPr>
              <w:pStyle w:val="116"/>
              <w:keepNext w:val="0"/>
              <w:keepLines w:val="0"/>
              <w:pageBreakBefore w:val="0"/>
              <w:widowControl w:val="0"/>
              <w:kinsoku/>
              <w:wordWrap/>
              <w:overflowPunct/>
              <w:topLinePunct w:val="0"/>
              <w:autoSpaceDE/>
              <w:autoSpaceDN/>
              <w:bidi w:val="0"/>
              <w:spacing w:line="240" w:lineRule="exact"/>
              <w:ind w:left="107" w:right="99"/>
              <w:jc w:val="both"/>
              <w:textAlignment w:val="auto"/>
              <w:rPr>
                <w:rFonts w:hint="eastAsia" w:ascii="宋体" w:hAnsi="宋体" w:eastAsia="宋体" w:cs="宋体"/>
                <w:sz w:val="21"/>
                <w:szCs w:val="21"/>
                <w:highlight w:val="none"/>
              </w:rPr>
            </w:pPr>
            <w:r>
              <w:rPr>
                <w:rFonts w:hint="eastAsia" w:ascii="宋体" w:hAnsi="宋体" w:eastAsia="宋体" w:cs="宋体"/>
                <w:spacing w:val="-5"/>
                <w:sz w:val="21"/>
                <w:szCs w:val="21"/>
                <w:highlight w:val="none"/>
                <w:lang w:eastAsia="zh-CN"/>
              </w:rPr>
              <w:t>供应商根据采购需求，编制</w:t>
            </w:r>
            <w:r>
              <w:rPr>
                <w:rFonts w:hint="eastAsia" w:ascii="宋体" w:hAnsi="宋体" w:eastAsia="宋体" w:cs="宋体"/>
                <w:spacing w:val="-5"/>
                <w:sz w:val="21"/>
                <w:szCs w:val="21"/>
                <w:highlight w:val="none"/>
              </w:rPr>
              <w:t>包括但不限于经营理念，供餐方案，提高经营管理水平的整体设想及策划等内容，由</w:t>
            </w:r>
            <w:r>
              <w:rPr>
                <w:rFonts w:hint="eastAsia" w:ascii="宋体" w:hAnsi="宋体" w:eastAsia="宋体" w:cs="宋体"/>
                <w:sz w:val="21"/>
                <w:szCs w:val="21"/>
                <w:highlight w:val="none"/>
              </w:rPr>
              <w:t>评审小组</w:t>
            </w:r>
            <w:r>
              <w:rPr>
                <w:rFonts w:hint="eastAsia" w:ascii="宋体" w:hAnsi="宋体" w:eastAsia="宋体" w:cs="宋体"/>
                <w:spacing w:val="-5"/>
                <w:sz w:val="21"/>
                <w:szCs w:val="21"/>
                <w:highlight w:val="none"/>
              </w:rPr>
              <w:t>进行</w:t>
            </w:r>
            <w:r>
              <w:rPr>
                <w:rFonts w:hint="eastAsia" w:ascii="宋体" w:hAnsi="宋体" w:eastAsia="宋体" w:cs="宋体"/>
                <w:sz w:val="21"/>
                <w:szCs w:val="21"/>
                <w:highlight w:val="none"/>
              </w:rPr>
              <w:t>综合评比打分。</w:t>
            </w:r>
          </w:p>
          <w:p w14:paraId="171B52C8">
            <w:pPr>
              <w:pStyle w:val="116"/>
              <w:keepNext w:val="0"/>
              <w:keepLines w:val="0"/>
              <w:pageBreakBefore w:val="0"/>
              <w:widowControl w:val="0"/>
              <w:kinsoku/>
              <w:wordWrap/>
              <w:overflowPunct/>
              <w:topLinePunct w:val="0"/>
              <w:autoSpaceDE/>
              <w:autoSpaceDN/>
              <w:bidi w:val="0"/>
              <w:spacing w:line="240" w:lineRule="exact"/>
              <w:ind w:left="107" w:right="99"/>
              <w:jc w:val="both"/>
              <w:textAlignment w:val="auto"/>
              <w:rPr>
                <w:rFonts w:hint="eastAsia" w:ascii="宋体" w:hAnsi="宋体" w:eastAsia="宋体" w:cs="宋体"/>
                <w:spacing w:val="-5"/>
                <w:sz w:val="21"/>
                <w:szCs w:val="21"/>
                <w:highlight w:val="none"/>
                <w:lang w:eastAsia="en-US"/>
              </w:rPr>
            </w:pPr>
            <w:r>
              <w:rPr>
                <w:rFonts w:hint="eastAsia" w:ascii="宋体" w:hAnsi="宋体" w:eastAsia="宋体" w:cs="宋体"/>
                <w:spacing w:val="-5"/>
                <w:sz w:val="21"/>
                <w:szCs w:val="21"/>
                <w:highlight w:val="none"/>
                <w:lang w:eastAsia="en-US"/>
              </w:rPr>
              <w:t>(1)对本项目特点和难点理解准确，方案优于本项目采购需求，完整详细，可行性、实用性、针对性强，得 5 分；</w:t>
            </w:r>
          </w:p>
          <w:p w14:paraId="2D95A0B4">
            <w:pPr>
              <w:pStyle w:val="116"/>
              <w:keepNext w:val="0"/>
              <w:keepLines w:val="0"/>
              <w:pageBreakBefore w:val="0"/>
              <w:widowControl w:val="0"/>
              <w:kinsoku/>
              <w:wordWrap/>
              <w:overflowPunct/>
              <w:topLinePunct w:val="0"/>
              <w:autoSpaceDE/>
              <w:autoSpaceDN/>
              <w:bidi w:val="0"/>
              <w:spacing w:line="240" w:lineRule="exact"/>
              <w:ind w:left="107" w:right="99"/>
              <w:jc w:val="both"/>
              <w:textAlignment w:val="auto"/>
              <w:rPr>
                <w:rFonts w:hint="eastAsia" w:ascii="宋体" w:hAnsi="宋体" w:eastAsia="宋体" w:cs="宋体"/>
                <w:spacing w:val="-5"/>
                <w:sz w:val="21"/>
                <w:szCs w:val="21"/>
                <w:highlight w:val="none"/>
                <w:lang w:eastAsia="en-US"/>
              </w:rPr>
            </w:pPr>
            <w:r>
              <w:rPr>
                <w:rFonts w:hint="eastAsia" w:ascii="宋体" w:hAnsi="宋体" w:eastAsia="宋体" w:cs="宋体"/>
                <w:spacing w:val="-5"/>
                <w:sz w:val="21"/>
                <w:szCs w:val="21"/>
                <w:highlight w:val="none"/>
                <w:lang w:eastAsia="en-US"/>
              </w:rPr>
              <w:t>(2)对本项目特点和难点理解基本准确，方案适合本项目采购需求，完整详细，具有可行性、实用性和针对性，得 3 分；</w:t>
            </w:r>
          </w:p>
          <w:p w14:paraId="65A9A4B8">
            <w:pPr>
              <w:pStyle w:val="116"/>
              <w:keepNext w:val="0"/>
              <w:keepLines w:val="0"/>
              <w:pageBreakBefore w:val="0"/>
              <w:widowControl w:val="0"/>
              <w:kinsoku/>
              <w:wordWrap/>
              <w:overflowPunct/>
              <w:topLinePunct w:val="0"/>
              <w:autoSpaceDE/>
              <w:autoSpaceDN/>
              <w:bidi w:val="0"/>
              <w:spacing w:line="240" w:lineRule="exact"/>
              <w:ind w:left="107" w:right="99"/>
              <w:jc w:val="both"/>
              <w:textAlignment w:val="auto"/>
              <w:rPr>
                <w:rFonts w:hint="eastAsia" w:ascii="宋体" w:hAnsi="宋体" w:eastAsia="宋体" w:cs="宋体"/>
                <w:spacing w:val="-5"/>
                <w:sz w:val="21"/>
                <w:szCs w:val="21"/>
                <w:highlight w:val="none"/>
                <w:lang w:eastAsia="en-US"/>
              </w:rPr>
            </w:pPr>
            <w:r>
              <w:rPr>
                <w:rFonts w:hint="eastAsia" w:ascii="宋体" w:hAnsi="宋体" w:eastAsia="宋体" w:cs="宋体"/>
                <w:spacing w:val="-5"/>
                <w:sz w:val="21"/>
                <w:szCs w:val="21"/>
                <w:highlight w:val="none"/>
                <w:lang w:eastAsia="en-US"/>
              </w:rPr>
              <w:t>(3)对本项目特点和难点理解有待提升，方案基本适合本项目采购需求，可行性、实用性、针对性有待改善，得 1 分；</w:t>
            </w:r>
          </w:p>
          <w:p w14:paraId="31530042">
            <w:pPr>
              <w:pStyle w:val="116"/>
              <w:keepNext w:val="0"/>
              <w:keepLines w:val="0"/>
              <w:pageBreakBefore w:val="0"/>
              <w:widowControl w:val="0"/>
              <w:kinsoku/>
              <w:wordWrap/>
              <w:overflowPunct/>
              <w:topLinePunct w:val="0"/>
              <w:autoSpaceDE/>
              <w:autoSpaceDN/>
              <w:bidi w:val="0"/>
              <w:spacing w:line="240" w:lineRule="exact"/>
              <w:ind w:left="107" w:right="99"/>
              <w:jc w:val="both"/>
              <w:textAlignment w:val="auto"/>
              <w:rPr>
                <w:rFonts w:hint="eastAsia" w:ascii="宋体" w:hAnsi="宋体" w:eastAsia="宋体" w:cs="宋体"/>
                <w:sz w:val="21"/>
                <w:szCs w:val="21"/>
                <w:highlight w:val="none"/>
              </w:rPr>
            </w:pPr>
            <w:r>
              <w:rPr>
                <w:rFonts w:hint="eastAsia" w:ascii="宋体" w:hAnsi="宋体" w:eastAsia="宋体" w:cs="宋体"/>
                <w:spacing w:val="-5"/>
                <w:sz w:val="21"/>
                <w:szCs w:val="21"/>
                <w:highlight w:val="none"/>
                <w:lang w:eastAsia="en-US"/>
              </w:rPr>
              <w:t>(4)方案不可行或者未提供得 0 分。</w:t>
            </w:r>
          </w:p>
        </w:tc>
        <w:tc>
          <w:tcPr>
            <w:tcW w:w="913" w:type="dxa"/>
            <w:noWrap w:val="0"/>
            <w:vAlign w:val="center"/>
          </w:tcPr>
          <w:p w14:paraId="44EC4067">
            <w:pPr>
              <w:pStyle w:val="116"/>
              <w:keepNext w:val="0"/>
              <w:keepLines w:val="0"/>
              <w:pageBreakBefore w:val="0"/>
              <w:widowControl w:val="0"/>
              <w:kinsoku/>
              <w:wordWrap/>
              <w:overflowPunct/>
              <w:topLinePunct w:val="0"/>
              <w:autoSpaceDE/>
              <w:autoSpaceDN/>
              <w:bidi w:val="0"/>
              <w:adjustRightInd w:val="0"/>
              <w:snapToGrid w:val="0"/>
              <w:spacing w:line="240" w:lineRule="exact"/>
              <w:ind w:left="0"/>
              <w:jc w:val="center"/>
              <w:textAlignment w:val="auto"/>
              <w:rPr>
                <w:rFonts w:hint="eastAsia" w:ascii="宋体" w:hAnsi="宋体" w:eastAsia="宋体" w:cs="宋体"/>
                <w:sz w:val="21"/>
                <w:szCs w:val="21"/>
                <w:highlight w:val="none"/>
              </w:rPr>
            </w:pPr>
            <w:r>
              <w:rPr>
                <w:rFonts w:hint="eastAsia" w:eastAsia="宋体" w:cs="宋体"/>
                <w:color w:val="000000"/>
                <w:sz w:val="21"/>
                <w:szCs w:val="21"/>
                <w:highlight w:val="none"/>
                <w:lang w:val="en-US" w:eastAsia="zh-CN"/>
              </w:rPr>
              <w:t>5</w:t>
            </w:r>
            <w:r>
              <w:rPr>
                <w:rFonts w:hint="eastAsia" w:ascii="宋体" w:hAnsi="宋体" w:eastAsia="宋体" w:cs="宋体"/>
                <w:color w:val="000000"/>
                <w:sz w:val="21"/>
                <w:szCs w:val="21"/>
                <w:highlight w:val="none"/>
              </w:rPr>
              <w:t>分</w:t>
            </w:r>
          </w:p>
        </w:tc>
      </w:tr>
      <w:tr w14:paraId="76903A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28" w:type="dxa"/>
            <w:vMerge w:val="continue"/>
            <w:noWrap w:val="0"/>
            <w:vAlign w:val="top"/>
          </w:tcPr>
          <w:p w14:paraId="2D34EC27">
            <w:pPr>
              <w:rPr>
                <w:rFonts w:hint="eastAsia" w:ascii="宋体" w:hAnsi="宋体" w:eastAsia="宋体" w:cs="宋体"/>
                <w:sz w:val="21"/>
                <w:szCs w:val="21"/>
                <w:highlight w:val="none"/>
              </w:rPr>
            </w:pPr>
          </w:p>
        </w:tc>
        <w:tc>
          <w:tcPr>
            <w:tcW w:w="1355" w:type="dxa"/>
            <w:noWrap w:val="0"/>
            <w:vAlign w:val="center"/>
          </w:tcPr>
          <w:p w14:paraId="7D077F83">
            <w:pPr>
              <w:pStyle w:val="116"/>
              <w:keepNext w:val="0"/>
              <w:keepLines w:val="0"/>
              <w:pageBreakBefore w:val="0"/>
              <w:widowControl w:val="0"/>
              <w:kinsoku/>
              <w:wordWrap/>
              <w:overflowPunct/>
              <w:topLinePunct w:val="0"/>
              <w:autoSpaceDE/>
              <w:autoSpaceDN/>
              <w:bidi w:val="0"/>
              <w:spacing w:before="169" w:line="240" w:lineRule="exact"/>
              <w:ind w:left="129" w:right="118"/>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食品质量控制方案</w:t>
            </w:r>
          </w:p>
        </w:tc>
        <w:tc>
          <w:tcPr>
            <w:tcW w:w="6750" w:type="dxa"/>
            <w:noWrap w:val="0"/>
            <w:vAlign w:val="top"/>
          </w:tcPr>
          <w:p w14:paraId="57C90EEE">
            <w:pPr>
              <w:pStyle w:val="116"/>
              <w:keepNext w:val="0"/>
              <w:keepLines w:val="0"/>
              <w:pageBreakBefore w:val="0"/>
              <w:widowControl w:val="0"/>
              <w:kinsoku/>
              <w:wordWrap/>
              <w:overflowPunct/>
              <w:topLinePunct w:val="0"/>
              <w:autoSpaceDE/>
              <w:autoSpaceDN/>
              <w:bidi w:val="0"/>
              <w:spacing w:line="240" w:lineRule="exact"/>
              <w:ind w:left="107" w:right="54"/>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根据食堂规模现状和实际需求，制定合理、可行、先进的食品质量控制方案，由评审小组进行综合评比打分。</w:t>
            </w:r>
          </w:p>
          <w:p w14:paraId="149C0060">
            <w:pPr>
              <w:pStyle w:val="116"/>
              <w:keepNext w:val="0"/>
              <w:keepLines w:val="0"/>
              <w:pageBreakBefore w:val="0"/>
              <w:widowControl w:val="0"/>
              <w:kinsoku/>
              <w:wordWrap/>
              <w:overflowPunct/>
              <w:topLinePunct w:val="0"/>
              <w:autoSpaceDE/>
              <w:autoSpaceDN/>
              <w:bidi w:val="0"/>
              <w:spacing w:line="240" w:lineRule="exact"/>
              <w:ind w:left="107" w:right="99"/>
              <w:jc w:val="both"/>
              <w:textAlignment w:val="auto"/>
              <w:rPr>
                <w:rFonts w:hint="eastAsia" w:ascii="宋体" w:hAnsi="宋体" w:eastAsia="宋体" w:cs="宋体"/>
                <w:spacing w:val="-5"/>
                <w:sz w:val="21"/>
                <w:szCs w:val="21"/>
                <w:highlight w:val="none"/>
                <w:lang w:eastAsia="en-US"/>
              </w:rPr>
            </w:pPr>
            <w:r>
              <w:rPr>
                <w:rFonts w:hint="eastAsia" w:ascii="宋体" w:hAnsi="宋体" w:eastAsia="宋体" w:cs="宋体"/>
                <w:spacing w:val="-5"/>
                <w:sz w:val="21"/>
                <w:szCs w:val="21"/>
                <w:highlight w:val="none"/>
                <w:lang w:eastAsia="en-US"/>
              </w:rPr>
              <w:t>(1)对本项目特点和难点理解准确，方案优于本项目采购需求，完整详细，可行性、实用性、针对性强，得 5 分；</w:t>
            </w:r>
          </w:p>
          <w:p w14:paraId="1FFEE1C2">
            <w:pPr>
              <w:pStyle w:val="116"/>
              <w:keepNext w:val="0"/>
              <w:keepLines w:val="0"/>
              <w:pageBreakBefore w:val="0"/>
              <w:widowControl w:val="0"/>
              <w:kinsoku/>
              <w:wordWrap/>
              <w:overflowPunct/>
              <w:topLinePunct w:val="0"/>
              <w:autoSpaceDE/>
              <w:autoSpaceDN/>
              <w:bidi w:val="0"/>
              <w:spacing w:line="240" w:lineRule="exact"/>
              <w:ind w:left="107" w:right="99"/>
              <w:jc w:val="both"/>
              <w:textAlignment w:val="auto"/>
              <w:rPr>
                <w:rFonts w:hint="eastAsia" w:ascii="宋体" w:hAnsi="宋体" w:eastAsia="宋体" w:cs="宋体"/>
                <w:spacing w:val="-5"/>
                <w:sz w:val="21"/>
                <w:szCs w:val="21"/>
                <w:highlight w:val="none"/>
                <w:lang w:eastAsia="en-US"/>
              </w:rPr>
            </w:pPr>
            <w:r>
              <w:rPr>
                <w:rFonts w:hint="eastAsia" w:ascii="宋体" w:hAnsi="宋体" w:eastAsia="宋体" w:cs="宋体"/>
                <w:spacing w:val="-5"/>
                <w:sz w:val="21"/>
                <w:szCs w:val="21"/>
                <w:highlight w:val="none"/>
                <w:lang w:eastAsia="en-US"/>
              </w:rPr>
              <w:t>(2)对本项目特点和难点理解基本准确，方案适合本项目采购需求，完整详细，具有可行性、实用性和针对性，得 3 分；</w:t>
            </w:r>
          </w:p>
          <w:p w14:paraId="0B896164">
            <w:pPr>
              <w:pStyle w:val="116"/>
              <w:keepNext w:val="0"/>
              <w:keepLines w:val="0"/>
              <w:pageBreakBefore w:val="0"/>
              <w:widowControl w:val="0"/>
              <w:kinsoku/>
              <w:wordWrap/>
              <w:overflowPunct/>
              <w:topLinePunct w:val="0"/>
              <w:autoSpaceDE/>
              <w:autoSpaceDN/>
              <w:bidi w:val="0"/>
              <w:spacing w:line="240" w:lineRule="exact"/>
              <w:ind w:left="107" w:right="99"/>
              <w:jc w:val="both"/>
              <w:textAlignment w:val="auto"/>
              <w:rPr>
                <w:rFonts w:hint="eastAsia" w:ascii="宋体" w:hAnsi="宋体" w:eastAsia="宋体" w:cs="宋体"/>
                <w:spacing w:val="-5"/>
                <w:sz w:val="21"/>
                <w:szCs w:val="21"/>
                <w:highlight w:val="none"/>
                <w:lang w:eastAsia="en-US"/>
              </w:rPr>
            </w:pPr>
            <w:r>
              <w:rPr>
                <w:rFonts w:hint="eastAsia" w:ascii="宋体" w:hAnsi="宋体" w:eastAsia="宋体" w:cs="宋体"/>
                <w:spacing w:val="-5"/>
                <w:sz w:val="21"/>
                <w:szCs w:val="21"/>
                <w:highlight w:val="none"/>
                <w:lang w:eastAsia="en-US"/>
              </w:rPr>
              <w:t>(3)对本项目特点和难点理解有待提升，方案基本适合本项目采购需求，可行性、实用性、针对性有待改善，得 1 分；</w:t>
            </w:r>
          </w:p>
          <w:p w14:paraId="09CC1423">
            <w:pPr>
              <w:pStyle w:val="116"/>
              <w:keepNext w:val="0"/>
              <w:keepLines w:val="0"/>
              <w:pageBreakBefore w:val="0"/>
              <w:widowControl w:val="0"/>
              <w:numPr>
                <w:ilvl w:val="0"/>
                <w:numId w:val="0"/>
              </w:numPr>
              <w:tabs>
                <w:tab w:val="left" w:pos="709"/>
              </w:tabs>
              <w:kinsoku/>
              <w:wordWrap/>
              <w:overflowPunct/>
              <w:topLinePunct w:val="0"/>
              <w:autoSpaceDE/>
              <w:autoSpaceDN/>
              <w:bidi w:val="0"/>
              <w:spacing w:before="3" w:after="0" w:line="240" w:lineRule="exact"/>
              <w:ind w:left="106" w:leftChars="0" w:right="0" w:rightChars="0"/>
              <w:jc w:val="left"/>
              <w:textAlignment w:val="auto"/>
              <w:rPr>
                <w:rFonts w:hint="eastAsia" w:ascii="宋体" w:hAnsi="宋体" w:eastAsia="宋体" w:cs="宋体"/>
                <w:sz w:val="21"/>
                <w:szCs w:val="21"/>
                <w:highlight w:val="none"/>
              </w:rPr>
            </w:pPr>
            <w:r>
              <w:rPr>
                <w:rFonts w:hint="eastAsia" w:ascii="宋体" w:hAnsi="宋体" w:eastAsia="宋体" w:cs="宋体"/>
                <w:spacing w:val="-5"/>
                <w:sz w:val="21"/>
                <w:szCs w:val="21"/>
                <w:highlight w:val="none"/>
                <w:lang w:eastAsia="en-US"/>
              </w:rPr>
              <w:t>(4)方案不可行或者未提供得 0 分。</w:t>
            </w:r>
          </w:p>
        </w:tc>
        <w:tc>
          <w:tcPr>
            <w:tcW w:w="913" w:type="dxa"/>
            <w:noWrap w:val="0"/>
            <w:vAlign w:val="center"/>
          </w:tcPr>
          <w:p w14:paraId="4720652D">
            <w:pPr>
              <w:pStyle w:val="116"/>
              <w:keepNext w:val="0"/>
              <w:keepLines w:val="0"/>
              <w:pageBreakBefore w:val="0"/>
              <w:widowControl w:val="0"/>
              <w:kinsoku/>
              <w:wordWrap/>
              <w:overflowPunct/>
              <w:topLinePunct w:val="0"/>
              <w:autoSpaceDE/>
              <w:autoSpaceDN/>
              <w:bidi w:val="0"/>
              <w:adjustRightInd w:val="0"/>
              <w:snapToGrid w:val="0"/>
              <w:spacing w:line="240" w:lineRule="exact"/>
              <w:ind w:left="0"/>
              <w:jc w:val="center"/>
              <w:textAlignment w:val="auto"/>
              <w:rPr>
                <w:rFonts w:hint="eastAsia" w:ascii="宋体" w:hAnsi="宋体" w:eastAsia="宋体" w:cs="宋体"/>
                <w:sz w:val="21"/>
                <w:szCs w:val="21"/>
                <w:highlight w:val="none"/>
              </w:rPr>
            </w:pPr>
            <w:r>
              <w:rPr>
                <w:rFonts w:hint="eastAsia" w:eastAsia="宋体" w:cs="宋体"/>
                <w:sz w:val="21"/>
                <w:szCs w:val="21"/>
                <w:highlight w:val="none"/>
                <w:lang w:val="en-US" w:eastAsia="zh-CN"/>
              </w:rPr>
              <w:t>5</w:t>
            </w:r>
            <w:r>
              <w:rPr>
                <w:rFonts w:hint="eastAsia" w:ascii="宋体" w:hAnsi="宋体" w:eastAsia="宋体" w:cs="宋体"/>
                <w:sz w:val="21"/>
                <w:szCs w:val="21"/>
                <w:highlight w:val="none"/>
              </w:rPr>
              <w:t>分</w:t>
            </w:r>
          </w:p>
        </w:tc>
      </w:tr>
      <w:tr w14:paraId="7E776D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1" w:hRule="atLeast"/>
          <w:jc w:val="center"/>
        </w:trPr>
        <w:tc>
          <w:tcPr>
            <w:tcW w:w="728" w:type="dxa"/>
            <w:vMerge w:val="continue"/>
            <w:noWrap w:val="0"/>
            <w:vAlign w:val="top"/>
          </w:tcPr>
          <w:p w14:paraId="5D445586">
            <w:pPr>
              <w:rPr>
                <w:rFonts w:hint="eastAsia" w:ascii="宋体" w:hAnsi="宋体" w:eastAsia="宋体" w:cs="宋体"/>
                <w:sz w:val="21"/>
                <w:szCs w:val="21"/>
                <w:highlight w:val="none"/>
              </w:rPr>
            </w:pPr>
          </w:p>
        </w:tc>
        <w:tc>
          <w:tcPr>
            <w:tcW w:w="1355" w:type="dxa"/>
            <w:noWrap w:val="0"/>
            <w:vAlign w:val="center"/>
          </w:tcPr>
          <w:p w14:paraId="5E6923C3">
            <w:pPr>
              <w:pStyle w:val="116"/>
              <w:keepNext w:val="0"/>
              <w:keepLines w:val="0"/>
              <w:pageBreakBefore w:val="0"/>
              <w:widowControl w:val="0"/>
              <w:kinsoku/>
              <w:wordWrap/>
              <w:overflowPunct/>
              <w:topLinePunct w:val="0"/>
              <w:autoSpaceDE/>
              <w:autoSpaceDN/>
              <w:bidi w:val="0"/>
              <w:spacing w:before="171" w:line="240" w:lineRule="exact"/>
              <w:ind w:left="129" w:right="118"/>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卫生及安全方案</w:t>
            </w:r>
          </w:p>
        </w:tc>
        <w:tc>
          <w:tcPr>
            <w:tcW w:w="6750" w:type="dxa"/>
            <w:noWrap w:val="0"/>
            <w:vAlign w:val="top"/>
          </w:tcPr>
          <w:p w14:paraId="4CE7E870">
            <w:pPr>
              <w:pStyle w:val="116"/>
              <w:keepNext w:val="0"/>
              <w:keepLines w:val="0"/>
              <w:pageBreakBefore w:val="0"/>
              <w:widowControl w:val="0"/>
              <w:kinsoku/>
              <w:wordWrap/>
              <w:overflowPunct/>
              <w:topLinePunct w:val="0"/>
              <w:autoSpaceDE/>
              <w:autoSpaceDN/>
              <w:bidi w:val="0"/>
              <w:spacing w:before="2" w:line="240" w:lineRule="exact"/>
              <w:ind w:left="107" w:right="97"/>
              <w:jc w:val="both"/>
              <w:textAlignment w:val="auto"/>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根据食堂规模现状和实际需要，制定科学合理、实</w:t>
            </w:r>
            <w:r>
              <w:rPr>
                <w:rFonts w:hint="eastAsia" w:ascii="宋体" w:hAnsi="宋体" w:eastAsia="宋体" w:cs="宋体"/>
                <w:spacing w:val="-5"/>
                <w:sz w:val="21"/>
                <w:szCs w:val="21"/>
                <w:highlight w:val="none"/>
              </w:rPr>
              <w:t>用可行的卫生及安全管理方案等，由评审小组进行</w:t>
            </w:r>
            <w:r>
              <w:rPr>
                <w:rFonts w:hint="eastAsia" w:ascii="宋体" w:hAnsi="宋体" w:eastAsia="宋体" w:cs="宋体"/>
                <w:sz w:val="21"/>
                <w:szCs w:val="21"/>
                <w:highlight w:val="none"/>
              </w:rPr>
              <w:t>综合评比打分。</w:t>
            </w:r>
          </w:p>
          <w:p w14:paraId="35296A67">
            <w:pPr>
              <w:pStyle w:val="116"/>
              <w:keepNext w:val="0"/>
              <w:keepLines w:val="0"/>
              <w:pageBreakBefore w:val="0"/>
              <w:widowControl w:val="0"/>
              <w:kinsoku/>
              <w:wordWrap/>
              <w:overflowPunct/>
              <w:topLinePunct w:val="0"/>
              <w:autoSpaceDE/>
              <w:autoSpaceDN/>
              <w:bidi w:val="0"/>
              <w:spacing w:line="240" w:lineRule="exact"/>
              <w:ind w:left="107" w:right="99"/>
              <w:jc w:val="both"/>
              <w:textAlignment w:val="auto"/>
              <w:rPr>
                <w:rFonts w:hint="eastAsia" w:ascii="宋体" w:hAnsi="宋体" w:eastAsia="宋体" w:cs="宋体"/>
                <w:spacing w:val="-5"/>
                <w:sz w:val="21"/>
                <w:szCs w:val="21"/>
                <w:highlight w:val="none"/>
                <w:lang w:eastAsia="en-US"/>
              </w:rPr>
            </w:pPr>
            <w:r>
              <w:rPr>
                <w:rFonts w:hint="eastAsia" w:ascii="宋体" w:hAnsi="宋体" w:eastAsia="宋体" w:cs="宋体"/>
                <w:spacing w:val="-5"/>
                <w:sz w:val="21"/>
                <w:szCs w:val="21"/>
                <w:highlight w:val="none"/>
                <w:lang w:eastAsia="en-US"/>
              </w:rPr>
              <w:t>(1)对本项目特点和难点理解准确，方案优于本项目采购需求，完整详细，可行性、实用性、针对性强，得 5 分；</w:t>
            </w:r>
          </w:p>
          <w:p w14:paraId="3287C439">
            <w:pPr>
              <w:pStyle w:val="116"/>
              <w:keepNext w:val="0"/>
              <w:keepLines w:val="0"/>
              <w:pageBreakBefore w:val="0"/>
              <w:widowControl w:val="0"/>
              <w:kinsoku/>
              <w:wordWrap/>
              <w:overflowPunct/>
              <w:topLinePunct w:val="0"/>
              <w:autoSpaceDE/>
              <w:autoSpaceDN/>
              <w:bidi w:val="0"/>
              <w:spacing w:line="240" w:lineRule="exact"/>
              <w:ind w:left="107" w:right="99"/>
              <w:jc w:val="both"/>
              <w:textAlignment w:val="auto"/>
              <w:rPr>
                <w:rFonts w:hint="eastAsia" w:ascii="宋体" w:hAnsi="宋体" w:eastAsia="宋体" w:cs="宋体"/>
                <w:spacing w:val="-5"/>
                <w:sz w:val="21"/>
                <w:szCs w:val="21"/>
                <w:highlight w:val="none"/>
                <w:lang w:eastAsia="en-US"/>
              </w:rPr>
            </w:pPr>
            <w:r>
              <w:rPr>
                <w:rFonts w:hint="eastAsia" w:ascii="宋体" w:hAnsi="宋体" w:eastAsia="宋体" w:cs="宋体"/>
                <w:spacing w:val="-5"/>
                <w:sz w:val="21"/>
                <w:szCs w:val="21"/>
                <w:highlight w:val="none"/>
                <w:lang w:eastAsia="en-US"/>
              </w:rPr>
              <w:t>(2)对本项目特点和难点理解基本准确，方案适合本项目采购需求，完整详细，具有可行性、实用性和针对性，得 3 分；</w:t>
            </w:r>
          </w:p>
          <w:p w14:paraId="08D61B35">
            <w:pPr>
              <w:pStyle w:val="116"/>
              <w:keepNext w:val="0"/>
              <w:keepLines w:val="0"/>
              <w:pageBreakBefore w:val="0"/>
              <w:widowControl w:val="0"/>
              <w:kinsoku/>
              <w:wordWrap/>
              <w:overflowPunct/>
              <w:topLinePunct w:val="0"/>
              <w:autoSpaceDE/>
              <w:autoSpaceDN/>
              <w:bidi w:val="0"/>
              <w:spacing w:line="240" w:lineRule="exact"/>
              <w:ind w:left="107" w:right="99"/>
              <w:jc w:val="both"/>
              <w:textAlignment w:val="auto"/>
              <w:rPr>
                <w:rFonts w:hint="eastAsia" w:ascii="宋体" w:hAnsi="宋体" w:eastAsia="宋体" w:cs="宋体"/>
                <w:spacing w:val="-5"/>
                <w:sz w:val="21"/>
                <w:szCs w:val="21"/>
                <w:highlight w:val="none"/>
                <w:lang w:eastAsia="en-US"/>
              </w:rPr>
            </w:pPr>
            <w:r>
              <w:rPr>
                <w:rFonts w:hint="eastAsia" w:ascii="宋体" w:hAnsi="宋体" w:eastAsia="宋体" w:cs="宋体"/>
                <w:spacing w:val="-5"/>
                <w:sz w:val="21"/>
                <w:szCs w:val="21"/>
                <w:highlight w:val="none"/>
                <w:lang w:eastAsia="en-US"/>
              </w:rPr>
              <w:t>(3)对本项目特点和难点理解有待提升，方案基本适合本项目采购需求，可行性、实用性、针对性有待改善，得 1 分；</w:t>
            </w:r>
          </w:p>
          <w:p w14:paraId="15FB9A54">
            <w:pPr>
              <w:pStyle w:val="116"/>
              <w:keepNext w:val="0"/>
              <w:keepLines w:val="0"/>
              <w:pageBreakBefore w:val="0"/>
              <w:widowControl w:val="0"/>
              <w:numPr>
                <w:ilvl w:val="0"/>
                <w:numId w:val="0"/>
              </w:numPr>
              <w:tabs>
                <w:tab w:val="left" w:pos="709"/>
              </w:tabs>
              <w:kinsoku/>
              <w:wordWrap/>
              <w:overflowPunct/>
              <w:topLinePunct w:val="0"/>
              <w:autoSpaceDE/>
              <w:autoSpaceDN/>
              <w:bidi w:val="0"/>
              <w:spacing w:before="3" w:after="0" w:line="240" w:lineRule="exact"/>
              <w:ind w:left="106" w:leftChars="0" w:right="0" w:rightChars="0"/>
              <w:jc w:val="left"/>
              <w:textAlignment w:val="auto"/>
              <w:rPr>
                <w:rFonts w:hint="eastAsia" w:ascii="宋体" w:hAnsi="宋体" w:eastAsia="宋体" w:cs="宋体"/>
                <w:sz w:val="21"/>
                <w:szCs w:val="21"/>
                <w:highlight w:val="none"/>
              </w:rPr>
            </w:pPr>
            <w:r>
              <w:rPr>
                <w:rFonts w:hint="eastAsia" w:ascii="宋体" w:hAnsi="宋体" w:eastAsia="宋体" w:cs="宋体"/>
                <w:spacing w:val="-5"/>
                <w:sz w:val="21"/>
                <w:szCs w:val="21"/>
                <w:highlight w:val="none"/>
                <w:lang w:eastAsia="en-US"/>
              </w:rPr>
              <w:t>(4)方案不可行或者未提供得 0 分。</w:t>
            </w:r>
          </w:p>
        </w:tc>
        <w:tc>
          <w:tcPr>
            <w:tcW w:w="913" w:type="dxa"/>
            <w:noWrap w:val="0"/>
            <w:vAlign w:val="center"/>
          </w:tcPr>
          <w:p w14:paraId="72D6F0E9">
            <w:pPr>
              <w:pStyle w:val="116"/>
              <w:keepNext w:val="0"/>
              <w:keepLines w:val="0"/>
              <w:pageBreakBefore w:val="0"/>
              <w:widowControl w:val="0"/>
              <w:kinsoku/>
              <w:wordWrap/>
              <w:overflowPunct/>
              <w:topLinePunct w:val="0"/>
              <w:autoSpaceDE/>
              <w:autoSpaceDN/>
              <w:bidi w:val="0"/>
              <w:adjustRightInd w:val="0"/>
              <w:snapToGrid w:val="0"/>
              <w:spacing w:line="240" w:lineRule="exact"/>
              <w:ind w:left="0"/>
              <w:jc w:val="center"/>
              <w:textAlignment w:val="auto"/>
              <w:rPr>
                <w:rFonts w:hint="eastAsia" w:ascii="宋体" w:hAnsi="宋体" w:eastAsia="宋体" w:cs="宋体"/>
                <w:color w:val="FF0000"/>
                <w:sz w:val="21"/>
                <w:szCs w:val="21"/>
                <w:highlight w:val="none"/>
              </w:rPr>
            </w:pPr>
            <w:r>
              <w:rPr>
                <w:rFonts w:hint="eastAsia" w:eastAsia="宋体" w:cs="宋体"/>
                <w:color w:val="000000"/>
                <w:sz w:val="21"/>
                <w:szCs w:val="21"/>
                <w:highlight w:val="none"/>
                <w:lang w:val="en-US" w:eastAsia="zh-CN"/>
              </w:rPr>
              <w:t>5</w:t>
            </w:r>
            <w:r>
              <w:rPr>
                <w:rFonts w:hint="eastAsia" w:ascii="宋体" w:hAnsi="宋体" w:eastAsia="宋体" w:cs="宋体"/>
                <w:color w:val="000000"/>
                <w:sz w:val="21"/>
                <w:szCs w:val="21"/>
                <w:highlight w:val="none"/>
              </w:rPr>
              <w:t>分</w:t>
            </w:r>
          </w:p>
        </w:tc>
      </w:tr>
      <w:tr w14:paraId="351961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jc w:val="center"/>
        </w:trPr>
        <w:tc>
          <w:tcPr>
            <w:tcW w:w="728" w:type="dxa"/>
            <w:vMerge w:val="continue"/>
            <w:noWrap w:val="0"/>
            <w:vAlign w:val="top"/>
          </w:tcPr>
          <w:p w14:paraId="35109A5D">
            <w:pPr>
              <w:rPr>
                <w:rFonts w:hint="eastAsia" w:ascii="宋体" w:hAnsi="宋体" w:eastAsia="宋体" w:cs="宋体"/>
                <w:sz w:val="21"/>
                <w:szCs w:val="21"/>
                <w:highlight w:val="none"/>
              </w:rPr>
            </w:pPr>
          </w:p>
        </w:tc>
        <w:tc>
          <w:tcPr>
            <w:tcW w:w="1355" w:type="dxa"/>
            <w:noWrap w:val="0"/>
            <w:vAlign w:val="center"/>
          </w:tcPr>
          <w:p w14:paraId="5428A389">
            <w:pPr>
              <w:pStyle w:val="116"/>
              <w:keepNext w:val="0"/>
              <w:keepLines w:val="0"/>
              <w:pageBreakBefore w:val="0"/>
              <w:widowControl w:val="0"/>
              <w:kinsoku/>
              <w:wordWrap/>
              <w:overflowPunct/>
              <w:topLinePunct w:val="0"/>
              <w:autoSpaceDE/>
              <w:autoSpaceDN/>
              <w:bidi w:val="0"/>
              <w:spacing w:line="240" w:lineRule="exact"/>
              <w:ind w:left="249" w:right="238"/>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应急措施</w:t>
            </w:r>
          </w:p>
        </w:tc>
        <w:tc>
          <w:tcPr>
            <w:tcW w:w="6750" w:type="dxa"/>
            <w:noWrap w:val="0"/>
            <w:vAlign w:val="top"/>
          </w:tcPr>
          <w:p w14:paraId="267E5488">
            <w:pPr>
              <w:pStyle w:val="116"/>
              <w:keepNext w:val="0"/>
              <w:keepLines w:val="0"/>
              <w:pageBreakBefore w:val="0"/>
              <w:widowControl w:val="0"/>
              <w:kinsoku/>
              <w:wordWrap/>
              <w:overflowPunct/>
              <w:topLinePunct w:val="0"/>
              <w:autoSpaceDE/>
              <w:autoSpaceDN/>
              <w:bidi w:val="0"/>
              <w:spacing w:line="240" w:lineRule="exact"/>
              <w:ind w:left="107" w:right="54"/>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根据本项目食堂运营突发时应急措施（如在停水，停电，停气等特殊情况下紧急供餐的能力及措施）及饮食安全问题的紧急应急控制措施，</w:t>
            </w:r>
            <w:r>
              <w:rPr>
                <w:rFonts w:hint="eastAsia" w:ascii="宋体" w:hAnsi="宋体" w:eastAsia="宋体" w:cs="宋体"/>
                <w:sz w:val="21"/>
                <w:szCs w:val="21"/>
                <w:highlight w:val="none"/>
                <w:lang w:val="en-US" w:eastAsia="zh-CN"/>
              </w:rPr>
              <w:t>由</w:t>
            </w:r>
            <w:r>
              <w:rPr>
                <w:rFonts w:hint="eastAsia" w:ascii="宋体" w:hAnsi="宋体" w:eastAsia="宋体" w:cs="宋体"/>
                <w:sz w:val="21"/>
                <w:szCs w:val="21"/>
                <w:highlight w:val="none"/>
              </w:rPr>
              <w:t>评审小组进行综合评比打分。</w:t>
            </w:r>
          </w:p>
          <w:p w14:paraId="21BD9976">
            <w:pPr>
              <w:pStyle w:val="116"/>
              <w:keepNext w:val="0"/>
              <w:keepLines w:val="0"/>
              <w:pageBreakBefore w:val="0"/>
              <w:widowControl w:val="0"/>
              <w:kinsoku/>
              <w:wordWrap/>
              <w:overflowPunct/>
              <w:topLinePunct w:val="0"/>
              <w:autoSpaceDE/>
              <w:autoSpaceDN/>
              <w:bidi w:val="0"/>
              <w:spacing w:line="240" w:lineRule="exact"/>
              <w:ind w:left="107" w:right="99"/>
              <w:jc w:val="both"/>
              <w:textAlignment w:val="auto"/>
              <w:rPr>
                <w:rFonts w:hint="eastAsia" w:ascii="宋体" w:hAnsi="宋体" w:eastAsia="宋体" w:cs="宋体"/>
                <w:spacing w:val="-5"/>
                <w:sz w:val="21"/>
                <w:szCs w:val="21"/>
                <w:highlight w:val="none"/>
                <w:lang w:eastAsia="en-US"/>
              </w:rPr>
            </w:pPr>
            <w:r>
              <w:rPr>
                <w:rFonts w:hint="eastAsia" w:ascii="宋体" w:hAnsi="宋体" w:eastAsia="宋体" w:cs="宋体"/>
                <w:spacing w:val="-5"/>
                <w:sz w:val="21"/>
                <w:szCs w:val="21"/>
                <w:highlight w:val="none"/>
                <w:lang w:eastAsia="en-US"/>
              </w:rPr>
              <w:t>(1)对本项目特点和难点理解准确，方案优于本项目采购需求，完整详细，可行性、实用性、针对性强，得 5 分；</w:t>
            </w:r>
          </w:p>
          <w:p w14:paraId="33BE67FC">
            <w:pPr>
              <w:pStyle w:val="116"/>
              <w:keepNext w:val="0"/>
              <w:keepLines w:val="0"/>
              <w:pageBreakBefore w:val="0"/>
              <w:widowControl w:val="0"/>
              <w:kinsoku/>
              <w:wordWrap/>
              <w:overflowPunct/>
              <w:topLinePunct w:val="0"/>
              <w:autoSpaceDE/>
              <w:autoSpaceDN/>
              <w:bidi w:val="0"/>
              <w:spacing w:line="240" w:lineRule="exact"/>
              <w:ind w:left="107" w:right="99"/>
              <w:jc w:val="both"/>
              <w:textAlignment w:val="auto"/>
              <w:rPr>
                <w:rFonts w:hint="eastAsia" w:ascii="宋体" w:hAnsi="宋体" w:eastAsia="宋体" w:cs="宋体"/>
                <w:spacing w:val="-5"/>
                <w:sz w:val="21"/>
                <w:szCs w:val="21"/>
                <w:highlight w:val="none"/>
                <w:lang w:eastAsia="en-US"/>
              </w:rPr>
            </w:pPr>
            <w:r>
              <w:rPr>
                <w:rFonts w:hint="eastAsia" w:ascii="宋体" w:hAnsi="宋体" w:eastAsia="宋体" w:cs="宋体"/>
                <w:spacing w:val="-5"/>
                <w:sz w:val="21"/>
                <w:szCs w:val="21"/>
                <w:highlight w:val="none"/>
                <w:lang w:eastAsia="en-US"/>
              </w:rPr>
              <w:t>(2)对本项目特点和难点理解基本准确，方案适合本项目采购需求，完整详细，具有可行性、实用性和针对性，得 3 分；</w:t>
            </w:r>
          </w:p>
          <w:p w14:paraId="6F8294E4">
            <w:pPr>
              <w:pStyle w:val="116"/>
              <w:keepNext w:val="0"/>
              <w:keepLines w:val="0"/>
              <w:pageBreakBefore w:val="0"/>
              <w:widowControl w:val="0"/>
              <w:kinsoku/>
              <w:wordWrap/>
              <w:overflowPunct/>
              <w:topLinePunct w:val="0"/>
              <w:autoSpaceDE/>
              <w:autoSpaceDN/>
              <w:bidi w:val="0"/>
              <w:spacing w:line="240" w:lineRule="exact"/>
              <w:ind w:left="107" w:right="99"/>
              <w:jc w:val="both"/>
              <w:textAlignment w:val="auto"/>
              <w:rPr>
                <w:rFonts w:hint="eastAsia" w:ascii="宋体" w:hAnsi="宋体" w:eastAsia="宋体" w:cs="宋体"/>
                <w:spacing w:val="-5"/>
                <w:sz w:val="21"/>
                <w:szCs w:val="21"/>
                <w:highlight w:val="none"/>
                <w:lang w:eastAsia="en-US"/>
              </w:rPr>
            </w:pPr>
            <w:r>
              <w:rPr>
                <w:rFonts w:hint="eastAsia" w:ascii="宋体" w:hAnsi="宋体" w:eastAsia="宋体" w:cs="宋体"/>
                <w:spacing w:val="-5"/>
                <w:sz w:val="21"/>
                <w:szCs w:val="21"/>
                <w:highlight w:val="none"/>
                <w:lang w:eastAsia="en-US"/>
              </w:rPr>
              <w:t>(3)对本项目特点和难点理解有待提升，方案基本适合本项目采购需求，可行性、实用性、针对性有待改善，得 1 分；</w:t>
            </w:r>
          </w:p>
          <w:p w14:paraId="4D119C12">
            <w:pPr>
              <w:pStyle w:val="116"/>
              <w:keepNext w:val="0"/>
              <w:keepLines w:val="0"/>
              <w:pageBreakBefore w:val="0"/>
              <w:widowControl w:val="0"/>
              <w:kinsoku/>
              <w:wordWrap/>
              <w:overflowPunct/>
              <w:topLinePunct w:val="0"/>
              <w:autoSpaceDE/>
              <w:autoSpaceDN/>
              <w:bidi w:val="0"/>
              <w:spacing w:line="240" w:lineRule="exact"/>
              <w:textAlignment w:val="auto"/>
              <w:rPr>
                <w:rFonts w:hint="eastAsia" w:ascii="宋体" w:hAnsi="宋体" w:eastAsia="宋体" w:cs="宋体"/>
                <w:sz w:val="21"/>
                <w:szCs w:val="21"/>
                <w:highlight w:val="none"/>
              </w:rPr>
            </w:pPr>
            <w:r>
              <w:rPr>
                <w:rFonts w:hint="eastAsia" w:ascii="宋体" w:hAnsi="宋体" w:eastAsia="宋体" w:cs="宋体"/>
                <w:spacing w:val="-5"/>
                <w:sz w:val="21"/>
                <w:szCs w:val="21"/>
                <w:highlight w:val="none"/>
                <w:lang w:eastAsia="en-US"/>
              </w:rPr>
              <w:t>(4)方案不可行或者未提供得 0 分。</w:t>
            </w:r>
          </w:p>
        </w:tc>
        <w:tc>
          <w:tcPr>
            <w:tcW w:w="913" w:type="dxa"/>
            <w:noWrap w:val="0"/>
            <w:vAlign w:val="center"/>
          </w:tcPr>
          <w:p w14:paraId="2B85C3D8">
            <w:pPr>
              <w:pStyle w:val="116"/>
              <w:keepNext w:val="0"/>
              <w:keepLines w:val="0"/>
              <w:pageBreakBefore w:val="0"/>
              <w:widowControl w:val="0"/>
              <w:kinsoku/>
              <w:wordWrap/>
              <w:overflowPunct/>
              <w:topLinePunct w:val="0"/>
              <w:autoSpaceDE/>
              <w:autoSpaceDN/>
              <w:bidi w:val="0"/>
              <w:adjustRightInd w:val="0"/>
              <w:snapToGrid w:val="0"/>
              <w:spacing w:line="240" w:lineRule="exact"/>
              <w:ind w:left="0"/>
              <w:jc w:val="center"/>
              <w:textAlignment w:val="auto"/>
              <w:rPr>
                <w:rFonts w:hint="eastAsia" w:ascii="宋体" w:hAnsi="宋体" w:eastAsia="宋体" w:cs="宋体"/>
                <w:color w:val="FF0000"/>
                <w:sz w:val="21"/>
                <w:szCs w:val="21"/>
                <w:highlight w:val="none"/>
              </w:rPr>
            </w:pPr>
            <w:r>
              <w:rPr>
                <w:rFonts w:hint="eastAsia" w:eastAsia="宋体" w:cs="宋体"/>
                <w:color w:val="000000"/>
                <w:sz w:val="21"/>
                <w:szCs w:val="21"/>
                <w:highlight w:val="none"/>
                <w:lang w:val="en-US" w:eastAsia="zh-CN"/>
              </w:rPr>
              <w:t>5</w:t>
            </w:r>
            <w:r>
              <w:rPr>
                <w:rFonts w:hint="eastAsia" w:ascii="宋体" w:hAnsi="宋体" w:eastAsia="宋体" w:cs="宋体"/>
                <w:color w:val="000000"/>
                <w:sz w:val="21"/>
                <w:szCs w:val="21"/>
                <w:highlight w:val="none"/>
              </w:rPr>
              <w:t>分</w:t>
            </w:r>
          </w:p>
        </w:tc>
      </w:tr>
      <w:tr w14:paraId="009CBE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jc w:val="center"/>
        </w:trPr>
        <w:tc>
          <w:tcPr>
            <w:tcW w:w="728" w:type="dxa"/>
            <w:vMerge w:val="continue"/>
            <w:noWrap w:val="0"/>
            <w:vAlign w:val="top"/>
          </w:tcPr>
          <w:p w14:paraId="7626619F">
            <w:pPr>
              <w:pStyle w:val="116"/>
              <w:rPr>
                <w:rFonts w:hint="eastAsia" w:ascii="宋体" w:hAnsi="宋体" w:eastAsia="宋体" w:cs="宋体"/>
                <w:sz w:val="21"/>
                <w:szCs w:val="21"/>
                <w:highlight w:val="none"/>
              </w:rPr>
            </w:pPr>
          </w:p>
        </w:tc>
        <w:tc>
          <w:tcPr>
            <w:tcW w:w="1355" w:type="dxa"/>
            <w:noWrap w:val="0"/>
            <w:vAlign w:val="center"/>
          </w:tcPr>
          <w:p w14:paraId="2D4AD442">
            <w:pPr>
              <w:pStyle w:val="116"/>
              <w:keepNext w:val="0"/>
              <w:keepLines w:val="0"/>
              <w:pageBreakBefore w:val="0"/>
              <w:widowControl w:val="0"/>
              <w:kinsoku/>
              <w:wordWrap/>
              <w:overflowPunct/>
              <w:topLinePunct w:val="0"/>
              <w:autoSpaceDE/>
              <w:autoSpaceDN/>
              <w:bidi w:val="0"/>
              <w:spacing w:line="24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自助餐菜单品种</w:t>
            </w:r>
            <w:r>
              <w:rPr>
                <w:rFonts w:hint="eastAsia" w:cs="宋体"/>
                <w:color w:val="auto"/>
                <w:sz w:val="21"/>
                <w:szCs w:val="21"/>
                <w:highlight w:val="none"/>
                <w:lang w:val="en-US" w:eastAsia="zh-CN"/>
              </w:rPr>
              <w:t>（早餐、自助午餐、工作餐）</w:t>
            </w:r>
          </w:p>
        </w:tc>
        <w:tc>
          <w:tcPr>
            <w:tcW w:w="6750" w:type="dxa"/>
            <w:noWrap w:val="0"/>
            <w:vAlign w:val="top"/>
          </w:tcPr>
          <w:p w14:paraId="2E2A81CB">
            <w:pPr>
              <w:pStyle w:val="116"/>
              <w:keepNext w:val="0"/>
              <w:keepLines w:val="0"/>
              <w:pageBreakBefore w:val="0"/>
              <w:widowControl w:val="0"/>
              <w:numPr>
                <w:ilvl w:val="0"/>
                <w:numId w:val="0"/>
              </w:numPr>
              <w:tabs>
                <w:tab w:val="left" w:pos="709"/>
              </w:tabs>
              <w:kinsoku/>
              <w:wordWrap/>
              <w:overflowPunct/>
              <w:topLinePunct w:val="0"/>
              <w:autoSpaceDE/>
              <w:autoSpaceDN/>
              <w:bidi w:val="0"/>
              <w:spacing w:before="4" w:after="0" w:line="240" w:lineRule="exact"/>
              <w:ind w:right="174" w:rightChars="0"/>
              <w:jc w:val="left"/>
              <w:textAlignment w:val="auto"/>
              <w:rPr>
                <w:rFonts w:hint="eastAsia" w:ascii="宋体" w:hAnsi="宋体" w:eastAsia="宋体" w:cs="宋体"/>
                <w:color w:val="auto"/>
                <w:spacing w:val="-1"/>
                <w:sz w:val="21"/>
                <w:szCs w:val="21"/>
                <w:highlight w:val="none"/>
                <w:lang w:val="en-US" w:eastAsia="zh-CN"/>
              </w:rPr>
            </w:pPr>
            <w:r>
              <w:rPr>
                <w:rFonts w:hint="eastAsia" w:ascii="宋体" w:hAnsi="宋体" w:eastAsia="宋体" w:cs="宋体"/>
                <w:color w:val="auto"/>
                <w:spacing w:val="-1"/>
                <w:sz w:val="21"/>
                <w:szCs w:val="21"/>
                <w:highlight w:val="none"/>
                <w:lang w:val="en-US" w:eastAsia="zh-CN"/>
              </w:rPr>
              <w:t>供应商提供菜肴的品种，评委横向比较，进行打分。</w:t>
            </w:r>
          </w:p>
          <w:p w14:paraId="298E1FEB">
            <w:pPr>
              <w:pStyle w:val="116"/>
              <w:keepNext w:val="0"/>
              <w:keepLines w:val="0"/>
              <w:pageBreakBefore w:val="0"/>
              <w:widowControl w:val="0"/>
              <w:numPr>
                <w:ilvl w:val="0"/>
                <w:numId w:val="0"/>
              </w:numPr>
              <w:tabs>
                <w:tab w:val="left" w:pos="709"/>
              </w:tabs>
              <w:kinsoku/>
              <w:wordWrap/>
              <w:overflowPunct/>
              <w:topLinePunct w:val="0"/>
              <w:autoSpaceDE/>
              <w:autoSpaceDN/>
              <w:bidi w:val="0"/>
              <w:spacing w:before="4" w:after="0" w:line="240" w:lineRule="exact"/>
              <w:ind w:right="174" w:rightChars="0"/>
              <w:jc w:val="left"/>
              <w:textAlignment w:val="auto"/>
              <w:rPr>
                <w:rFonts w:hint="eastAsia" w:ascii="宋体" w:hAnsi="宋体" w:eastAsia="宋体" w:cs="宋体"/>
                <w:color w:val="auto"/>
                <w:spacing w:val="-1"/>
                <w:sz w:val="21"/>
                <w:szCs w:val="21"/>
                <w:highlight w:val="none"/>
              </w:rPr>
            </w:pPr>
            <w:r>
              <w:rPr>
                <w:rFonts w:hint="eastAsia" w:ascii="宋体" w:hAnsi="宋体" w:eastAsia="宋体" w:cs="宋体"/>
                <w:color w:val="auto"/>
                <w:spacing w:val="-1"/>
                <w:kern w:val="0"/>
                <w:sz w:val="21"/>
                <w:szCs w:val="21"/>
                <w:highlight w:val="none"/>
                <w:lang w:val="en-US" w:eastAsia="en-US" w:bidi="ar-SA"/>
              </w:rPr>
              <w:t>（1）</w:t>
            </w:r>
            <w:r>
              <w:rPr>
                <w:rFonts w:hint="eastAsia" w:ascii="宋体" w:hAnsi="宋体" w:eastAsia="宋体" w:cs="宋体"/>
                <w:color w:val="auto"/>
                <w:spacing w:val="-1"/>
                <w:sz w:val="21"/>
                <w:szCs w:val="21"/>
                <w:highlight w:val="none"/>
                <w:lang w:eastAsia="zh-CN"/>
              </w:rPr>
              <w:t>供应商提供的菜单品种齐全、种类多样、营养丰富、</w:t>
            </w:r>
            <w:r>
              <w:rPr>
                <w:rFonts w:hint="eastAsia" w:ascii="宋体" w:hAnsi="宋体" w:eastAsia="宋体" w:cs="宋体"/>
                <w:color w:val="auto"/>
                <w:spacing w:val="-1"/>
                <w:sz w:val="21"/>
                <w:szCs w:val="21"/>
                <w:highlight w:val="none"/>
                <w:lang w:val="en-US" w:eastAsia="zh-CN"/>
              </w:rPr>
              <w:t>食材来源</w:t>
            </w:r>
            <w:r>
              <w:rPr>
                <w:rFonts w:hint="eastAsia" w:ascii="宋体" w:hAnsi="宋体" w:eastAsia="宋体" w:cs="宋体"/>
                <w:color w:val="auto"/>
                <w:spacing w:val="-1"/>
                <w:sz w:val="21"/>
                <w:szCs w:val="21"/>
                <w:highlight w:val="none"/>
                <w:lang w:eastAsia="zh-CN"/>
              </w:rPr>
              <w:t>非常好的得</w:t>
            </w:r>
            <w:r>
              <w:rPr>
                <w:rFonts w:hint="eastAsia" w:eastAsia="宋体" w:cs="宋体"/>
                <w:color w:val="auto"/>
                <w:spacing w:val="-1"/>
                <w:sz w:val="21"/>
                <w:szCs w:val="21"/>
                <w:highlight w:val="none"/>
                <w:lang w:val="en-US" w:eastAsia="zh-CN"/>
              </w:rPr>
              <w:t>4</w:t>
            </w:r>
            <w:r>
              <w:rPr>
                <w:rFonts w:hint="eastAsia" w:ascii="宋体" w:hAnsi="宋体" w:eastAsia="宋体" w:cs="宋体"/>
                <w:color w:val="auto"/>
                <w:spacing w:val="-1"/>
                <w:sz w:val="21"/>
                <w:szCs w:val="21"/>
                <w:highlight w:val="none"/>
                <w:lang w:val="en-US" w:eastAsia="zh-CN"/>
              </w:rPr>
              <w:t>-</w:t>
            </w:r>
            <w:r>
              <w:rPr>
                <w:rFonts w:hint="eastAsia" w:eastAsia="宋体" w:cs="宋体"/>
                <w:color w:val="auto"/>
                <w:spacing w:val="-1"/>
                <w:sz w:val="21"/>
                <w:szCs w:val="21"/>
                <w:highlight w:val="none"/>
                <w:lang w:val="en-US" w:eastAsia="zh-CN"/>
              </w:rPr>
              <w:t>5</w:t>
            </w:r>
            <w:r>
              <w:rPr>
                <w:rFonts w:hint="eastAsia" w:ascii="宋体" w:hAnsi="宋体" w:eastAsia="宋体" w:cs="宋体"/>
                <w:color w:val="auto"/>
                <w:spacing w:val="-1"/>
                <w:sz w:val="21"/>
                <w:szCs w:val="21"/>
                <w:highlight w:val="none"/>
                <w:lang w:val="en-US" w:eastAsia="zh-CN"/>
              </w:rPr>
              <w:t>分；</w:t>
            </w:r>
          </w:p>
          <w:p w14:paraId="2645B884">
            <w:pPr>
              <w:pStyle w:val="116"/>
              <w:keepNext w:val="0"/>
              <w:keepLines w:val="0"/>
              <w:pageBreakBefore w:val="0"/>
              <w:widowControl w:val="0"/>
              <w:numPr>
                <w:ilvl w:val="0"/>
                <w:numId w:val="0"/>
              </w:numPr>
              <w:tabs>
                <w:tab w:val="left" w:pos="709"/>
              </w:tabs>
              <w:kinsoku/>
              <w:wordWrap/>
              <w:overflowPunct/>
              <w:topLinePunct w:val="0"/>
              <w:autoSpaceDE/>
              <w:autoSpaceDN/>
              <w:bidi w:val="0"/>
              <w:spacing w:before="4" w:after="0" w:line="240" w:lineRule="exact"/>
              <w:ind w:right="174" w:rightChars="0"/>
              <w:jc w:val="left"/>
              <w:textAlignment w:val="auto"/>
              <w:rPr>
                <w:rFonts w:hint="eastAsia" w:ascii="宋体" w:hAnsi="宋体" w:eastAsia="宋体" w:cs="宋体"/>
                <w:color w:val="auto"/>
                <w:spacing w:val="-1"/>
                <w:sz w:val="21"/>
                <w:szCs w:val="21"/>
                <w:highlight w:val="none"/>
              </w:rPr>
            </w:pPr>
            <w:r>
              <w:rPr>
                <w:rFonts w:hint="eastAsia" w:ascii="宋体" w:hAnsi="宋体" w:eastAsia="宋体" w:cs="宋体"/>
                <w:color w:val="auto"/>
                <w:spacing w:val="-1"/>
                <w:kern w:val="0"/>
                <w:sz w:val="21"/>
                <w:szCs w:val="21"/>
                <w:highlight w:val="none"/>
                <w:lang w:val="en-US" w:eastAsia="en-US" w:bidi="ar-SA"/>
              </w:rPr>
              <w:t>（2）</w:t>
            </w:r>
            <w:r>
              <w:rPr>
                <w:rFonts w:hint="eastAsia" w:ascii="宋体" w:hAnsi="宋体" w:eastAsia="宋体" w:cs="宋体"/>
                <w:color w:val="auto"/>
                <w:spacing w:val="-1"/>
                <w:sz w:val="21"/>
                <w:szCs w:val="21"/>
                <w:highlight w:val="none"/>
                <w:lang w:eastAsia="zh-CN"/>
              </w:rPr>
              <w:t>供应商提供的菜单品种较齐全、种类较多、营养较丰富、</w:t>
            </w:r>
            <w:r>
              <w:rPr>
                <w:rFonts w:hint="eastAsia" w:ascii="宋体" w:hAnsi="宋体" w:eastAsia="宋体" w:cs="宋体"/>
                <w:color w:val="auto"/>
                <w:spacing w:val="-1"/>
                <w:sz w:val="21"/>
                <w:szCs w:val="21"/>
                <w:highlight w:val="none"/>
                <w:lang w:val="en-US" w:eastAsia="zh-CN"/>
              </w:rPr>
              <w:t>食材来源</w:t>
            </w:r>
            <w:r>
              <w:rPr>
                <w:rFonts w:hint="eastAsia" w:ascii="宋体" w:hAnsi="宋体" w:eastAsia="宋体" w:cs="宋体"/>
                <w:color w:val="auto"/>
                <w:spacing w:val="-1"/>
                <w:sz w:val="21"/>
                <w:szCs w:val="21"/>
                <w:highlight w:val="none"/>
                <w:lang w:eastAsia="zh-CN"/>
              </w:rPr>
              <w:t>较好的得</w:t>
            </w:r>
            <w:r>
              <w:rPr>
                <w:rFonts w:hint="eastAsia" w:eastAsia="宋体" w:cs="宋体"/>
                <w:color w:val="auto"/>
                <w:spacing w:val="-1"/>
                <w:sz w:val="21"/>
                <w:szCs w:val="21"/>
                <w:highlight w:val="none"/>
                <w:lang w:val="en-US" w:eastAsia="zh-CN"/>
              </w:rPr>
              <w:t>3</w:t>
            </w:r>
            <w:r>
              <w:rPr>
                <w:rFonts w:hint="eastAsia" w:ascii="宋体" w:hAnsi="宋体" w:eastAsia="宋体" w:cs="宋体"/>
                <w:color w:val="auto"/>
                <w:spacing w:val="-1"/>
                <w:sz w:val="21"/>
                <w:szCs w:val="21"/>
                <w:highlight w:val="none"/>
                <w:lang w:val="en-US" w:eastAsia="zh-CN"/>
              </w:rPr>
              <w:t>-</w:t>
            </w:r>
            <w:r>
              <w:rPr>
                <w:rFonts w:hint="eastAsia" w:eastAsia="宋体" w:cs="宋体"/>
                <w:color w:val="auto"/>
                <w:spacing w:val="-1"/>
                <w:sz w:val="21"/>
                <w:szCs w:val="21"/>
                <w:highlight w:val="none"/>
                <w:lang w:val="en-US" w:eastAsia="zh-CN"/>
              </w:rPr>
              <w:t>4</w:t>
            </w:r>
            <w:r>
              <w:rPr>
                <w:rFonts w:hint="eastAsia" w:ascii="宋体" w:hAnsi="宋体" w:eastAsia="宋体" w:cs="宋体"/>
                <w:color w:val="auto"/>
                <w:spacing w:val="-1"/>
                <w:sz w:val="21"/>
                <w:szCs w:val="21"/>
                <w:highlight w:val="none"/>
                <w:lang w:val="en-US" w:eastAsia="zh-CN"/>
              </w:rPr>
              <w:t>分；</w:t>
            </w:r>
          </w:p>
          <w:p w14:paraId="43C688C2">
            <w:pPr>
              <w:pStyle w:val="116"/>
              <w:keepNext w:val="0"/>
              <w:keepLines w:val="0"/>
              <w:pageBreakBefore w:val="0"/>
              <w:widowControl w:val="0"/>
              <w:numPr>
                <w:ilvl w:val="0"/>
                <w:numId w:val="0"/>
              </w:numPr>
              <w:tabs>
                <w:tab w:val="left" w:pos="709"/>
              </w:tabs>
              <w:kinsoku/>
              <w:wordWrap/>
              <w:overflowPunct/>
              <w:topLinePunct w:val="0"/>
              <w:autoSpaceDE/>
              <w:autoSpaceDN/>
              <w:bidi w:val="0"/>
              <w:spacing w:before="4" w:after="0" w:line="240" w:lineRule="exact"/>
              <w:ind w:right="174" w:righ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en-US" w:bidi="ar-SA"/>
              </w:rPr>
              <w:t>（3）</w:t>
            </w:r>
            <w:r>
              <w:rPr>
                <w:rFonts w:hint="eastAsia" w:ascii="宋体" w:hAnsi="宋体" w:eastAsia="宋体" w:cs="宋体"/>
                <w:color w:val="auto"/>
                <w:spacing w:val="-1"/>
                <w:sz w:val="21"/>
                <w:szCs w:val="21"/>
                <w:highlight w:val="none"/>
                <w:lang w:eastAsia="zh-CN"/>
              </w:rPr>
              <w:t>供应商提供的菜单品种基本齐全、种类基本满足、营养一般的、</w:t>
            </w:r>
            <w:r>
              <w:rPr>
                <w:rFonts w:hint="eastAsia" w:ascii="宋体" w:hAnsi="宋体" w:eastAsia="宋体" w:cs="宋体"/>
                <w:color w:val="auto"/>
                <w:spacing w:val="-1"/>
                <w:sz w:val="21"/>
                <w:szCs w:val="21"/>
                <w:highlight w:val="none"/>
                <w:lang w:val="en-US" w:eastAsia="zh-CN"/>
              </w:rPr>
              <w:t>食材来源</w:t>
            </w:r>
            <w:r>
              <w:rPr>
                <w:rFonts w:hint="eastAsia" w:ascii="宋体" w:hAnsi="宋体" w:eastAsia="宋体" w:cs="宋体"/>
                <w:color w:val="auto"/>
                <w:spacing w:val="-1"/>
                <w:sz w:val="21"/>
                <w:szCs w:val="21"/>
                <w:highlight w:val="none"/>
                <w:lang w:eastAsia="zh-CN"/>
              </w:rPr>
              <w:t>一般的得</w:t>
            </w:r>
            <w:r>
              <w:rPr>
                <w:rFonts w:hint="eastAsia" w:ascii="宋体" w:hAnsi="宋体" w:eastAsia="宋体" w:cs="宋体"/>
                <w:color w:val="auto"/>
                <w:spacing w:val="-1"/>
                <w:sz w:val="21"/>
                <w:szCs w:val="21"/>
                <w:highlight w:val="none"/>
                <w:lang w:val="en-US" w:eastAsia="zh-CN"/>
              </w:rPr>
              <w:t>1-</w:t>
            </w:r>
            <w:r>
              <w:rPr>
                <w:rFonts w:hint="eastAsia" w:eastAsia="宋体" w:cs="宋体"/>
                <w:color w:val="auto"/>
                <w:spacing w:val="-1"/>
                <w:sz w:val="21"/>
                <w:szCs w:val="21"/>
                <w:highlight w:val="none"/>
                <w:lang w:val="en-US" w:eastAsia="zh-CN"/>
              </w:rPr>
              <w:t>3</w:t>
            </w:r>
            <w:r>
              <w:rPr>
                <w:rFonts w:hint="eastAsia" w:ascii="宋体" w:hAnsi="宋体" w:eastAsia="宋体" w:cs="宋体"/>
                <w:color w:val="auto"/>
                <w:spacing w:val="-1"/>
                <w:sz w:val="21"/>
                <w:szCs w:val="21"/>
                <w:highlight w:val="none"/>
                <w:lang w:val="en-US" w:eastAsia="zh-CN"/>
              </w:rPr>
              <w:t>分；</w:t>
            </w:r>
          </w:p>
          <w:p w14:paraId="2E576314">
            <w:pPr>
              <w:pStyle w:val="116"/>
              <w:keepNext w:val="0"/>
              <w:keepLines w:val="0"/>
              <w:pageBreakBefore w:val="0"/>
              <w:widowControl w:val="0"/>
              <w:numPr>
                <w:ilvl w:val="0"/>
                <w:numId w:val="0"/>
              </w:numPr>
              <w:tabs>
                <w:tab w:val="left" w:pos="709"/>
              </w:tabs>
              <w:kinsoku/>
              <w:wordWrap/>
              <w:overflowPunct/>
              <w:topLinePunct w:val="0"/>
              <w:autoSpaceDE/>
              <w:autoSpaceDN/>
              <w:bidi w:val="0"/>
              <w:spacing w:before="4" w:after="0" w:line="240" w:lineRule="exact"/>
              <w:ind w:right="174" w:righ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en-US" w:bidi="ar-SA"/>
              </w:rPr>
              <w:t>（4）</w:t>
            </w:r>
            <w:r>
              <w:rPr>
                <w:rFonts w:hint="eastAsia" w:ascii="宋体" w:hAnsi="宋体" w:eastAsia="宋体" w:cs="宋体"/>
                <w:color w:val="auto"/>
                <w:sz w:val="21"/>
                <w:szCs w:val="21"/>
                <w:highlight w:val="none"/>
              </w:rPr>
              <w:t>未提供不得分。</w:t>
            </w:r>
          </w:p>
        </w:tc>
        <w:tc>
          <w:tcPr>
            <w:tcW w:w="913" w:type="dxa"/>
            <w:noWrap w:val="0"/>
            <w:vAlign w:val="center"/>
          </w:tcPr>
          <w:p w14:paraId="31FEE182">
            <w:pPr>
              <w:pStyle w:val="116"/>
              <w:keepNext w:val="0"/>
              <w:keepLines w:val="0"/>
              <w:pageBreakBefore w:val="0"/>
              <w:widowControl w:val="0"/>
              <w:kinsoku/>
              <w:wordWrap/>
              <w:overflowPunct/>
              <w:topLinePunct w:val="0"/>
              <w:autoSpaceDE/>
              <w:autoSpaceDN/>
              <w:bidi w:val="0"/>
              <w:adjustRightInd w:val="0"/>
              <w:snapToGrid w:val="0"/>
              <w:spacing w:line="24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eastAsia="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分</w:t>
            </w:r>
          </w:p>
        </w:tc>
      </w:tr>
      <w:tr w14:paraId="63F39E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jc w:val="center"/>
        </w:trPr>
        <w:tc>
          <w:tcPr>
            <w:tcW w:w="728" w:type="dxa"/>
            <w:vMerge w:val="continue"/>
            <w:noWrap w:val="0"/>
            <w:vAlign w:val="top"/>
          </w:tcPr>
          <w:p w14:paraId="778BF127">
            <w:pPr>
              <w:pStyle w:val="116"/>
              <w:rPr>
                <w:rFonts w:hint="eastAsia" w:ascii="宋体" w:hAnsi="宋体" w:eastAsia="宋体" w:cs="宋体"/>
                <w:sz w:val="21"/>
                <w:szCs w:val="21"/>
                <w:highlight w:val="none"/>
              </w:rPr>
            </w:pPr>
          </w:p>
        </w:tc>
        <w:tc>
          <w:tcPr>
            <w:tcW w:w="1355" w:type="dxa"/>
            <w:noWrap w:val="0"/>
            <w:vAlign w:val="center"/>
          </w:tcPr>
          <w:p w14:paraId="6D4ABFFD">
            <w:pPr>
              <w:pStyle w:val="116"/>
              <w:keepNext w:val="0"/>
              <w:keepLines w:val="0"/>
              <w:pageBreakBefore w:val="0"/>
              <w:widowControl w:val="0"/>
              <w:numPr>
                <w:ilvl w:val="0"/>
                <w:numId w:val="0"/>
              </w:numPr>
              <w:tabs>
                <w:tab w:val="left" w:pos="709"/>
              </w:tabs>
              <w:kinsoku/>
              <w:wordWrap/>
              <w:overflowPunct/>
              <w:topLinePunct w:val="0"/>
              <w:autoSpaceDE/>
              <w:autoSpaceDN/>
              <w:bidi w:val="0"/>
              <w:spacing w:before="4" w:after="0" w:line="240" w:lineRule="exact"/>
              <w:ind w:right="174" w:rightChars="0"/>
              <w:jc w:val="center"/>
              <w:textAlignment w:val="auto"/>
              <w:rPr>
                <w:rFonts w:hint="eastAsia" w:ascii="宋体" w:hAnsi="宋体" w:eastAsia="宋体" w:cs="宋体"/>
                <w:spacing w:val="-1"/>
                <w:sz w:val="21"/>
                <w:szCs w:val="21"/>
                <w:highlight w:val="none"/>
                <w:lang w:val="en-US" w:eastAsia="zh-CN"/>
              </w:rPr>
            </w:pPr>
            <w:r>
              <w:rPr>
                <w:rFonts w:hint="eastAsia" w:ascii="宋体" w:hAnsi="宋体" w:eastAsia="宋体" w:cs="宋体"/>
                <w:color w:val="000000"/>
                <w:spacing w:val="-1"/>
                <w:sz w:val="21"/>
                <w:szCs w:val="21"/>
                <w:highlight w:val="none"/>
                <w:lang w:val="en-US" w:eastAsia="zh-CN"/>
              </w:rPr>
              <w:t>桌餐菜单品种</w:t>
            </w:r>
          </w:p>
        </w:tc>
        <w:tc>
          <w:tcPr>
            <w:tcW w:w="6750" w:type="dxa"/>
            <w:noWrap w:val="0"/>
            <w:vAlign w:val="top"/>
          </w:tcPr>
          <w:p w14:paraId="64207C8F">
            <w:pPr>
              <w:pStyle w:val="116"/>
              <w:keepNext w:val="0"/>
              <w:keepLines w:val="0"/>
              <w:pageBreakBefore w:val="0"/>
              <w:widowControl w:val="0"/>
              <w:numPr>
                <w:ilvl w:val="0"/>
                <w:numId w:val="0"/>
              </w:numPr>
              <w:tabs>
                <w:tab w:val="left" w:pos="709"/>
              </w:tabs>
              <w:kinsoku/>
              <w:wordWrap/>
              <w:overflowPunct/>
              <w:topLinePunct w:val="0"/>
              <w:autoSpaceDE/>
              <w:autoSpaceDN/>
              <w:bidi w:val="0"/>
              <w:spacing w:before="4" w:after="0" w:line="240" w:lineRule="exact"/>
              <w:ind w:right="174" w:rightChars="0"/>
              <w:jc w:val="left"/>
              <w:textAlignment w:val="auto"/>
              <w:rPr>
                <w:rFonts w:hint="eastAsia" w:ascii="宋体" w:hAnsi="宋体" w:eastAsia="宋体" w:cs="宋体"/>
                <w:color w:val="000000"/>
                <w:spacing w:val="-1"/>
                <w:sz w:val="21"/>
                <w:szCs w:val="21"/>
                <w:highlight w:val="none"/>
                <w:lang w:val="en-US" w:eastAsia="zh-CN"/>
              </w:rPr>
            </w:pPr>
            <w:r>
              <w:rPr>
                <w:rFonts w:hint="eastAsia" w:ascii="宋体" w:hAnsi="宋体" w:eastAsia="宋体" w:cs="宋体"/>
                <w:color w:val="000000"/>
                <w:spacing w:val="-1"/>
                <w:sz w:val="21"/>
                <w:szCs w:val="21"/>
                <w:highlight w:val="none"/>
                <w:lang w:val="en-US" w:eastAsia="zh-CN"/>
              </w:rPr>
              <w:t>供应商按10-12人用餐、800元标准(不含酒水)自行配菜，制作菜单1份(菜单格式自拟)，需注明菜系名称、食材产地、食材重量、价格等。评委横向比较，进行打分。</w:t>
            </w:r>
          </w:p>
          <w:p w14:paraId="501F6707">
            <w:pPr>
              <w:pStyle w:val="116"/>
              <w:keepNext w:val="0"/>
              <w:keepLines w:val="0"/>
              <w:pageBreakBefore w:val="0"/>
              <w:widowControl w:val="0"/>
              <w:numPr>
                <w:ilvl w:val="0"/>
                <w:numId w:val="0"/>
              </w:numPr>
              <w:tabs>
                <w:tab w:val="left" w:pos="709"/>
              </w:tabs>
              <w:kinsoku/>
              <w:wordWrap/>
              <w:overflowPunct/>
              <w:topLinePunct w:val="0"/>
              <w:autoSpaceDE/>
              <w:autoSpaceDN/>
              <w:bidi w:val="0"/>
              <w:spacing w:before="4" w:after="0" w:line="240" w:lineRule="exact"/>
              <w:ind w:right="174" w:rightChars="0"/>
              <w:jc w:val="left"/>
              <w:textAlignment w:val="auto"/>
              <w:rPr>
                <w:rFonts w:hint="eastAsia" w:ascii="宋体" w:hAnsi="宋体" w:eastAsia="宋体" w:cs="宋体"/>
                <w:color w:val="000000"/>
                <w:spacing w:val="-1"/>
                <w:sz w:val="21"/>
                <w:szCs w:val="21"/>
                <w:highlight w:val="none"/>
                <w:lang w:val="en-US" w:eastAsia="zh-CN"/>
              </w:rPr>
            </w:pPr>
            <w:r>
              <w:rPr>
                <w:rFonts w:hint="eastAsia" w:eastAsia="宋体" w:cs="宋体"/>
                <w:color w:val="000000"/>
                <w:spacing w:val="-1"/>
                <w:sz w:val="21"/>
                <w:szCs w:val="21"/>
                <w:highlight w:val="none"/>
                <w:lang w:val="en-US" w:eastAsia="zh-CN"/>
              </w:rPr>
              <w:t>（1）</w:t>
            </w:r>
            <w:r>
              <w:rPr>
                <w:rFonts w:hint="eastAsia" w:ascii="宋体" w:hAnsi="宋体" w:eastAsia="宋体" w:cs="宋体"/>
                <w:color w:val="000000"/>
                <w:spacing w:val="-1"/>
                <w:sz w:val="21"/>
                <w:szCs w:val="21"/>
                <w:highlight w:val="none"/>
                <w:lang w:val="en-US" w:eastAsia="zh-CN"/>
              </w:rPr>
              <w:t>供应商提供的菜单品种多样、食材质地好、荤素搭配科学、营养均衡、价格实惠的得</w:t>
            </w:r>
            <w:r>
              <w:rPr>
                <w:rFonts w:hint="eastAsia" w:eastAsia="宋体" w:cs="宋体"/>
                <w:color w:val="000000"/>
                <w:spacing w:val="-1"/>
                <w:sz w:val="21"/>
                <w:szCs w:val="21"/>
                <w:highlight w:val="none"/>
                <w:lang w:val="en-US" w:eastAsia="zh-CN"/>
              </w:rPr>
              <w:t>4</w:t>
            </w:r>
            <w:r>
              <w:rPr>
                <w:rFonts w:hint="eastAsia" w:ascii="宋体" w:hAnsi="宋体" w:eastAsia="宋体" w:cs="宋体"/>
                <w:color w:val="000000"/>
                <w:spacing w:val="-1"/>
                <w:sz w:val="21"/>
                <w:szCs w:val="21"/>
                <w:highlight w:val="none"/>
                <w:lang w:val="en-US" w:eastAsia="zh-CN"/>
              </w:rPr>
              <w:t>-</w:t>
            </w:r>
            <w:r>
              <w:rPr>
                <w:rFonts w:hint="eastAsia" w:eastAsia="宋体" w:cs="宋体"/>
                <w:color w:val="000000"/>
                <w:spacing w:val="-1"/>
                <w:sz w:val="21"/>
                <w:szCs w:val="21"/>
                <w:highlight w:val="none"/>
                <w:lang w:val="en-US" w:eastAsia="zh-CN"/>
              </w:rPr>
              <w:t>5</w:t>
            </w:r>
            <w:r>
              <w:rPr>
                <w:rFonts w:hint="eastAsia" w:ascii="宋体" w:hAnsi="宋体" w:eastAsia="宋体" w:cs="宋体"/>
                <w:color w:val="000000"/>
                <w:spacing w:val="-1"/>
                <w:sz w:val="21"/>
                <w:szCs w:val="21"/>
                <w:highlight w:val="none"/>
                <w:lang w:val="en-US" w:eastAsia="zh-CN"/>
              </w:rPr>
              <w:t>分；</w:t>
            </w:r>
          </w:p>
          <w:p w14:paraId="7356F12F">
            <w:pPr>
              <w:pStyle w:val="116"/>
              <w:keepNext w:val="0"/>
              <w:keepLines w:val="0"/>
              <w:pageBreakBefore w:val="0"/>
              <w:widowControl w:val="0"/>
              <w:numPr>
                <w:ilvl w:val="0"/>
                <w:numId w:val="0"/>
              </w:numPr>
              <w:tabs>
                <w:tab w:val="left" w:pos="709"/>
              </w:tabs>
              <w:kinsoku/>
              <w:wordWrap/>
              <w:overflowPunct/>
              <w:topLinePunct w:val="0"/>
              <w:autoSpaceDE/>
              <w:autoSpaceDN/>
              <w:bidi w:val="0"/>
              <w:spacing w:before="4" w:after="0" w:line="240" w:lineRule="exact"/>
              <w:ind w:right="174" w:rightChars="0"/>
              <w:jc w:val="left"/>
              <w:textAlignment w:val="auto"/>
              <w:rPr>
                <w:rFonts w:hint="eastAsia" w:ascii="宋体" w:hAnsi="宋体" w:eastAsia="宋体" w:cs="宋体"/>
                <w:color w:val="000000"/>
                <w:spacing w:val="-1"/>
                <w:sz w:val="21"/>
                <w:szCs w:val="21"/>
                <w:highlight w:val="none"/>
              </w:rPr>
            </w:pPr>
            <w:r>
              <w:rPr>
                <w:rFonts w:hint="eastAsia" w:eastAsia="宋体" w:cs="宋体"/>
                <w:color w:val="000000"/>
                <w:spacing w:val="-1"/>
                <w:sz w:val="21"/>
                <w:szCs w:val="21"/>
                <w:highlight w:val="none"/>
                <w:lang w:eastAsia="zh-CN"/>
              </w:rPr>
              <w:t>（</w:t>
            </w:r>
            <w:r>
              <w:rPr>
                <w:rFonts w:hint="eastAsia" w:eastAsia="宋体" w:cs="宋体"/>
                <w:color w:val="000000"/>
                <w:spacing w:val="-1"/>
                <w:sz w:val="21"/>
                <w:szCs w:val="21"/>
                <w:highlight w:val="none"/>
                <w:lang w:val="en-US" w:eastAsia="zh-CN"/>
              </w:rPr>
              <w:t>2</w:t>
            </w:r>
            <w:r>
              <w:rPr>
                <w:rFonts w:hint="eastAsia" w:eastAsia="宋体" w:cs="宋体"/>
                <w:color w:val="000000"/>
                <w:spacing w:val="-1"/>
                <w:sz w:val="21"/>
                <w:szCs w:val="21"/>
                <w:highlight w:val="none"/>
                <w:lang w:eastAsia="zh-CN"/>
              </w:rPr>
              <w:t>）</w:t>
            </w:r>
            <w:r>
              <w:rPr>
                <w:rFonts w:hint="eastAsia" w:ascii="宋体" w:hAnsi="宋体" w:eastAsia="宋体" w:cs="宋体"/>
                <w:color w:val="000000"/>
                <w:spacing w:val="-1"/>
                <w:sz w:val="21"/>
                <w:szCs w:val="21"/>
                <w:highlight w:val="none"/>
                <w:lang w:eastAsia="zh-CN"/>
              </w:rPr>
              <w:t>供应商提供的菜单品种较齐全、</w:t>
            </w:r>
            <w:r>
              <w:rPr>
                <w:rFonts w:hint="eastAsia" w:ascii="宋体" w:hAnsi="宋体" w:eastAsia="宋体" w:cs="宋体"/>
                <w:color w:val="000000"/>
                <w:spacing w:val="-1"/>
                <w:sz w:val="21"/>
                <w:szCs w:val="21"/>
                <w:highlight w:val="none"/>
                <w:lang w:val="en-US" w:eastAsia="zh-CN"/>
              </w:rPr>
              <w:t>食材质地</w:t>
            </w:r>
            <w:r>
              <w:rPr>
                <w:rFonts w:hint="eastAsia" w:ascii="宋体" w:hAnsi="宋体" w:eastAsia="宋体" w:cs="宋体"/>
                <w:color w:val="000000"/>
                <w:spacing w:val="-1"/>
                <w:sz w:val="21"/>
                <w:szCs w:val="21"/>
                <w:highlight w:val="none"/>
                <w:lang w:eastAsia="zh-CN"/>
              </w:rPr>
              <w:t>较好、</w:t>
            </w:r>
            <w:r>
              <w:rPr>
                <w:rFonts w:hint="eastAsia" w:ascii="宋体" w:hAnsi="宋体" w:eastAsia="宋体" w:cs="宋体"/>
                <w:color w:val="000000"/>
                <w:spacing w:val="-1"/>
                <w:sz w:val="21"/>
                <w:szCs w:val="21"/>
                <w:highlight w:val="none"/>
                <w:lang w:val="en-US" w:eastAsia="zh-CN"/>
              </w:rPr>
              <w:t>搭配较科学</w:t>
            </w:r>
            <w:r>
              <w:rPr>
                <w:rFonts w:hint="eastAsia" w:ascii="宋体" w:hAnsi="宋体" w:eastAsia="宋体" w:cs="宋体"/>
                <w:color w:val="000000"/>
                <w:spacing w:val="-1"/>
                <w:sz w:val="21"/>
                <w:szCs w:val="21"/>
                <w:highlight w:val="none"/>
                <w:lang w:eastAsia="zh-CN"/>
              </w:rPr>
              <w:t>、营养较</w:t>
            </w:r>
            <w:r>
              <w:rPr>
                <w:rFonts w:hint="eastAsia" w:ascii="宋体" w:hAnsi="宋体" w:eastAsia="宋体" w:cs="宋体"/>
                <w:color w:val="000000"/>
                <w:spacing w:val="-1"/>
                <w:sz w:val="21"/>
                <w:szCs w:val="21"/>
                <w:highlight w:val="none"/>
                <w:lang w:val="en-US" w:eastAsia="zh-CN"/>
              </w:rPr>
              <w:t>均衡</w:t>
            </w:r>
            <w:r>
              <w:rPr>
                <w:rFonts w:hint="eastAsia" w:ascii="宋体" w:hAnsi="宋体" w:eastAsia="宋体" w:cs="宋体"/>
                <w:color w:val="000000"/>
                <w:spacing w:val="-1"/>
                <w:sz w:val="21"/>
                <w:szCs w:val="21"/>
                <w:highlight w:val="none"/>
                <w:lang w:eastAsia="zh-CN"/>
              </w:rPr>
              <w:t>、价格较实惠的得</w:t>
            </w:r>
            <w:r>
              <w:rPr>
                <w:rFonts w:hint="eastAsia" w:eastAsia="宋体" w:cs="宋体"/>
                <w:color w:val="000000"/>
                <w:spacing w:val="-1"/>
                <w:sz w:val="21"/>
                <w:szCs w:val="21"/>
                <w:highlight w:val="none"/>
                <w:lang w:val="en-US" w:eastAsia="zh-CN"/>
              </w:rPr>
              <w:t>3</w:t>
            </w:r>
            <w:r>
              <w:rPr>
                <w:rFonts w:hint="eastAsia" w:ascii="宋体" w:hAnsi="宋体" w:eastAsia="宋体" w:cs="宋体"/>
                <w:color w:val="000000"/>
                <w:spacing w:val="-1"/>
                <w:sz w:val="21"/>
                <w:szCs w:val="21"/>
                <w:highlight w:val="none"/>
                <w:lang w:val="en-US" w:eastAsia="zh-CN"/>
              </w:rPr>
              <w:t>-</w:t>
            </w:r>
            <w:r>
              <w:rPr>
                <w:rFonts w:hint="eastAsia" w:eastAsia="宋体" w:cs="宋体"/>
                <w:color w:val="000000"/>
                <w:spacing w:val="-1"/>
                <w:sz w:val="21"/>
                <w:szCs w:val="21"/>
                <w:highlight w:val="none"/>
                <w:lang w:val="en-US" w:eastAsia="zh-CN"/>
              </w:rPr>
              <w:t>4</w:t>
            </w:r>
            <w:r>
              <w:rPr>
                <w:rFonts w:hint="eastAsia" w:ascii="宋体" w:hAnsi="宋体" w:eastAsia="宋体" w:cs="宋体"/>
                <w:color w:val="000000"/>
                <w:spacing w:val="-1"/>
                <w:sz w:val="21"/>
                <w:szCs w:val="21"/>
                <w:highlight w:val="none"/>
                <w:lang w:val="en-US" w:eastAsia="zh-CN"/>
              </w:rPr>
              <w:t>分；</w:t>
            </w:r>
          </w:p>
          <w:p w14:paraId="543B5E67">
            <w:pPr>
              <w:pStyle w:val="116"/>
              <w:keepNext w:val="0"/>
              <w:keepLines w:val="0"/>
              <w:pageBreakBefore w:val="0"/>
              <w:widowControl w:val="0"/>
              <w:numPr>
                <w:ilvl w:val="0"/>
                <w:numId w:val="0"/>
              </w:numPr>
              <w:tabs>
                <w:tab w:val="left" w:pos="709"/>
              </w:tabs>
              <w:kinsoku/>
              <w:wordWrap/>
              <w:overflowPunct/>
              <w:topLinePunct w:val="0"/>
              <w:autoSpaceDE/>
              <w:autoSpaceDN/>
              <w:bidi w:val="0"/>
              <w:spacing w:before="4" w:after="0" w:line="240" w:lineRule="exact"/>
              <w:ind w:right="174" w:rightChars="0"/>
              <w:jc w:val="left"/>
              <w:textAlignment w:val="auto"/>
              <w:rPr>
                <w:rFonts w:hint="eastAsia" w:ascii="宋体" w:hAnsi="宋体" w:eastAsia="宋体" w:cs="宋体"/>
                <w:color w:val="000000"/>
                <w:spacing w:val="-1"/>
                <w:sz w:val="21"/>
                <w:szCs w:val="21"/>
                <w:highlight w:val="none"/>
              </w:rPr>
            </w:pPr>
            <w:r>
              <w:rPr>
                <w:rFonts w:hint="eastAsia" w:eastAsia="宋体" w:cs="宋体"/>
                <w:color w:val="000000"/>
                <w:spacing w:val="-1"/>
                <w:sz w:val="21"/>
                <w:szCs w:val="21"/>
                <w:highlight w:val="none"/>
                <w:lang w:eastAsia="zh-CN"/>
              </w:rPr>
              <w:t>（</w:t>
            </w:r>
            <w:r>
              <w:rPr>
                <w:rFonts w:hint="eastAsia" w:eastAsia="宋体" w:cs="宋体"/>
                <w:color w:val="000000"/>
                <w:spacing w:val="-1"/>
                <w:sz w:val="21"/>
                <w:szCs w:val="21"/>
                <w:highlight w:val="none"/>
                <w:lang w:val="en-US" w:eastAsia="zh-CN"/>
              </w:rPr>
              <w:t>3</w:t>
            </w:r>
            <w:r>
              <w:rPr>
                <w:rFonts w:hint="eastAsia" w:eastAsia="宋体" w:cs="宋体"/>
                <w:color w:val="000000"/>
                <w:spacing w:val="-1"/>
                <w:sz w:val="21"/>
                <w:szCs w:val="21"/>
                <w:highlight w:val="none"/>
                <w:lang w:eastAsia="zh-CN"/>
              </w:rPr>
              <w:t>）</w:t>
            </w:r>
            <w:r>
              <w:rPr>
                <w:rFonts w:hint="eastAsia" w:ascii="宋体" w:hAnsi="宋体" w:eastAsia="宋体" w:cs="宋体"/>
                <w:color w:val="000000"/>
                <w:spacing w:val="-1"/>
                <w:sz w:val="21"/>
                <w:szCs w:val="21"/>
                <w:highlight w:val="none"/>
                <w:lang w:eastAsia="zh-CN"/>
              </w:rPr>
              <w:t>供应商提供的菜单品种</w:t>
            </w:r>
            <w:r>
              <w:rPr>
                <w:rFonts w:hint="eastAsia" w:ascii="宋体" w:hAnsi="宋体" w:eastAsia="宋体" w:cs="宋体"/>
                <w:color w:val="000000"/>
                <w:spacing w:val="-1"/>
                <w:sz w:val="21"/>
                <w:szCs w:val="21"/>
                <w:highlight w:val="none"/>
                <w:lang w:val="en-US" w:eastAsia="zh-CN"/>
              </w:rPr>
              <w:t>基本</w:t>
            </w:r>
            <w:r>
              <w:rPr>
                <w:rFonts w:hint="eastAsia" w:ascii="宋体" w:hAnsi="宋体" w:eastAsia="宋体" w:cs="宋体"/>
                <w:color w:val="000000"/>
                <w:spacing w:val="-1"/>
                <w:sz w:val="21"/>
                <w:szCs w:val="21"/>
                <w:highlight w:val="none"/>
                <w:lang w:eastAsia="zh-CN"/>
              </w:rPr>
              <w:t>齐全、</w:t>
            </w:r>
            <w:r>
              <w:rPr>
                <w:rFonts w:hint="eastAsia" w:ascii="宋体" w:hAnsi="宋体" w:eastAsia="宋体" w:cs="宋体"/>
                <w:color w:val="000000"/>
                <w:spacing w:val="-1"/>
                <w:sz w:val="21"/>
                <w:szCs w:val="21"/>
                <w:highlight w:val="none"/>
                <w:lang w:val="en-US" w:eastAsia="zh-CN"/>
              </w:rPr>
              <w:t>食材质地</w:t>
            </w:r>
            <w:r>
              <w:rPr>
                <w:rFonts w:hint="eastAsia" w:ascii="宋体" w:hAnsi="宋体" w:eastAsia="宋体" w:cs="宋体"/>
                <w:color w:val="000000"/>
                <w:spacing w:val="-1"/>
                <w:sz w:val="21"/>
                <w:szCs w:val="21"/>
                <w:highlight w:val="none"/>
                <w:lang w:eastAsia="zh-CN"/>
              </w:rPr>
              <w:t>较好、</w:t>
            </w:r>
            <w:r>
              <w:rPr>
                <w:rFonts w:hint="eastAsia" w:ascii="宋体" w:hAnsi="宋体" w:eastAsia="宋体" w:cs="宋体"/>
                <w:color w:val="000000"/>
                <w:spacing w:val="-1"/>
                <w:sz w:val="21"/>
                <w:szCs w:val="21"/>
                <w:highlight w:val="none"/>
                <w:lang w:val="en-US" w:eastAsia="zh-CN"/>
              </w:rPr>
              <w:t>搭配基本科学</w:t>
            </w:r>
            <w:r>
              <w:rPr>
                <w:rFonts w:hint="eastAsia" w:ascii="宋体" w:hAnsi="宋体" w:eastAsia="宋体" w:cs="宋体"/>
                <w:color w:val="000000"/>
                <w:spacing w:val="-1"/>
                <w:sz w:val="21"/>
                <w:szCs w:val="21"/>
                <w:highlight w:val="none"/>
                <w:lang w:eastAsia="zh-CN"/>
              </w:rPr>
              <w:t>、营养</w:t>
            </w:r>
            <w:r>
              <w:rPr>
                <w:rFonts w:hint="eastAsia" w:ascii="宋体" w:hAnsi="宋体" w:eastAsia="宋体" w:cs="宋体"/>
                <w:color w:val="000000"/>
                <w:spacing w:val="-1"/>
                <w:sz w:val="21"/>
                <w:szCs w:val="21"/>
                <w:highlight w:val="none"/>
                <w:lang w:val="en-US" w:eastAsia="zh-CN"/>
              </w:rPr>
              <w:t>基本均衡</w:t>
            </w:r>
            <w:r>
              <w:rPr>
                <w:rFonts w:hint="eastAsia" w:ascii="宋体" w:hAnsi="宋体" w:eastAsia="宋体" w:cs="宋体"/>
                <w:color w:val="000000"/>
                <w:spacing w:val="-1"/>
                <w:sz w:val="21"/>
                <w:szCs w:val="21"/>
                <w:highlight w:val="none"/>
                <w:lang w:eastAsia="zh-CN"/>
              </w:rPr>
              <w:t>、价格较实惠的得</w:t>
            </w:r>
            <w:r>
              <w:rPr>
                <w:rFonts w:hint="eastAsia" w:eastAsia="宋体" w:cs="宋体"/>
                <w:color w:val="000000"/>
                <w:spacing w:val="-1"/>
                <w:sz w:val="21"/>
                <w:szCs w:val="21"/>
                <w:highlight w:val="none"/>
                <w:lang w:val="en-US" w:eastAsia="zh-CN"/>
              </w:rPr>
              <w:t>2</w:t>
            </w:r>
            <w:r>
              <w:rPr>
                <w:rFonts w:hint="eastAsia" w:ascii="宋体" w:hAnsi="宋体" w:eastAsia="宋体" w:cs="宋体"/>
                <w:color w:val="000000"/>
                <w:spacing w:val="-1"/>
                <w:sz w:val="21"/>
                <w:szCs w:val="21"/>
                <w:highlight w:val="none"/>
                <w:lang w:val="en-US" w:eastAsia="zh-CN"/>
              </w:rPr>
              <w:t>-</w:t>
            </w:r>
            <w:r>
              <w:rPr>
                <w:rFonts w:hint="eastAsia" w:eastAsia="宋体" w:cs="宋体"/>
                <w:color w:val="000000"/>
                <w:spacing w:val="-1"/>
                <w:sz w:val="21"/>
                <w:szCs w:val="21"/>
                <w:highlight w:val="none"/>
                <w:lang w:val="en-US" w:eastAsia="zh-CN"/>
              </w:rPr>
              <w:t>3</w:t>
            </w:r>
            <w:r>
              <w:rPr>
                <w:rFonts w:hint="eastAsia" w:ascii="宋体" w:hAnsi="宋体" w:eastAsia="宋体" w:cs="宋体"/>
                <w:color w:val="000000"/>
                <w:spacing w:val="-1"/>
                <w:sz w:val="21"/>
                <w:szCs w:val="21"/>
                <w:highlight w:val="none"/>
                <w:lang w:val="en-US" w:eastAsia="zh-CN"/>
              </w:rPr>
              <w:t>分；</w:t>
            </w:r>
          </w:p>
          <w:p w14:paraId="3628D075">
            <w:pPr>
              <w:pStyle w:val="116"/>
              <w:keepNext w:val="0"/>
              <w:keepLines w:val="0"/>
              <w:pageBreakBefore w:val="0"/>
              <w:widowControl w:val="0"/>
              <w:numPr>
                <w:ilvl w:val="0"/>
                <w:numId w:val="0"/>
              </w:numPr>
              <w:tabs>
                <w:tab w:val="left" w:pos="709"/>
              </w:tabs>
              <w:kinsoku/>
              <w:wordWrap/>
              <w:overflowPunct/>
              <w:topLinePunct w:val="0"/>
              <w:autoSpaceDE/>
              <w:autoSpaceDN/>
              <w:bidi w:val="0"/>
              <w:spacing w:before="4" w:after="0" w:line="240" w:lineRule="exact"/>
              <w:ind w:right="174" w:rightChars="0"/>
              <w:jc w:val="left"/>
              <w:textAlignment w:val="auto"/>
              <w:rPr>
                <w:rFonts w:hint="eastAsia" w:ascii="宋体" w:hAnsi="宋体" w:eastAsia="宋体" w:cs="宋体"/>
                <w:color w:val="000000"/>
                <w:spacing w:val="-1"/>
                <w:sz w:val="21"/>
                <w:szCs w:val="21"/>
                <w:highlight w:val="none"/>
              </w:rPr>
            </w:pPr>
            <w:r>
              <w:rPr>
                <w:rFonts w:hint="eastAsia" w:eastAsia="宋体" w:cs="宋体"/>
                <w:color w:val="000000"/>
                <w:spacing w:val="-1"/>
                <w:sz w:val="21"/>
                <w:szCs w:val="21"/>
                <w:highlight w:val="none"/>
                <w:lang w:eastAsia="zh-CN"/>
              </w:rPr>
              <w:t>（</w:t>
            </w:r>
            <w:r>
              <w:rPr>
                <w:rFonts w:hint="eastAsia" w:eastAsia="宋体" w:cs="宋体"/>
                <w:color w:val="000000"/>
                <w:spacing w:val="-1"/>
                <w:sz w:val="21"/>
                <w:szCs w:val="21"/>
                <w:highlight w:val="none"/>
                <w:lang w:val="en-US" w:eastAsia="zh-CN"/>
              </w:rPr>
              <w:t>4</w:t>
            </w:r>
            <w:r>
              <w:rPr>
                <w:rFonts w:hint="eastAsia" w:eastAsia="宋体" w:cs="宋体"/>
                <w:color w:val="000000"/>
                <w:spacing w:val="-1"/>
                <w:sz w:val="21"/>
                <w:szCs w:val="21"/>
                <w:highlight w:val="none"/>
                <w:lang w:eastAsia="zh-CN"/>
              </w:rPr>
              <w:t>）</w:t>
            </w:r>
            <w:r>
              <w:rPr>
                <w:rFonts w:hint="eastAsia" w:ascii="宋体" w:hAnsi="宋体" w:eastAsia="宋体" w:cs="宋体"/>
                <w:color w:val="000000"/>
                <w:spacing w:val="-1"/>
                <w:sz w:val="21"/>
                <w:szCs w:val="21"/>
                <w:highlight w:val="none"/>
                <w:lang w:eastAsia="zh-CN"/>
              </w:rPr>
              <w:t>供应商提供的菜单品种基本齐全、</w:t>
            </w:r>
            <w:r>
              <w:rPr>
                <w:rFonts w:hint="eastAsia" w:ascii="宋体" w:hAnsi="宋体" w:eastAsia="宋体" w:cs="宋体"/>
                <w:color w:val="000000"/>
                <w:spacing w:val="-1"/>
                <w:sz w:val="21"/>
                <w:szCs w:val="21"/>
                <w:highlight w:val="none"/>
                <w:lang w:val="en-US" w:eastAsia="zh-CN"/>
              </w:rPr>
              <w:t>食材质地</w:t>
            </w:r>
            <w:r>
              <w:rPr>
                <w:rFonts w:hint="eastAsia" w:ascii="宋体" w:hAnsi="宋体" w:eastAsia="宋体" w:cs="宋体"/>
                <w:color w:val="000000"/>
                <w:spacing w:val="-1"/>
                <w:sz w:val="21"/>
                <w:szCs w:val="21"/>
                <w:highlight w:val="none"/>
                <w:lang w:eastAsia="zh-CN"/>
              </w:rPr>
              <w:t>一般、</w:t>
            </w:r>
            <w:r>
              <w:rPr>
                <w:rFonts w:hint="eastAsia" w:ascii="宋体" w:hAnsi="宋体" w:eastAsia="宋体" w:cs="宋体"/>
                <w:color w:val="000000"/>
                <w:spacing w:val="-1"/>
                <w:sz w:val="21"/>
                <w:szCs w:val="21"/>
                <w:highlight w:val="none"/>
                <w:lang w:val="en-US" w:eastAsia="zh-CN"/>
              </w:rPr>
              <w:t>搭配一般、</w:t>
            </w:r>
            <w:r>
              <w:rPr>
                <w:rFonts w:hint="eastAsia" w:ascii="宋体" w:hAnsi="宋体" w:eastAsia="宋体" w:cs="宋体"/>
                <w:color w:val="000000"/>
                <w:spacing w:val="-1"/>
                <w:sz w:val="21"/>
                <w:szCs w:val="21"/>
                <w:highlight w:val="none"/>
                <w:lang w:eastAsia="zh-CN"/>
              </w:rPr>
              <w:t>营养一般、价格较贵的得</w:t>
            </w:r>
            <w:r>
              <w:rPr>
                <w:rFonts w:hint="eastAsia" w:ascii="宋体" w:hAnsi="宋体" w:eastAsia="宋体" w:cs="宋体"/>
                <w:color w:val="000000"/>
                <w:spacing w:val="-1"/>
                <w:sz w:val="21"/>
                <w:szCs w:val="21"/>
                <w:highlight w:val="none"/>
                <w:lang w:val="en-US" w:eastAsia="zh-CN"/>
              </w:rPr>
              <w:t>1-</w:t>
            </w:r>
            <w:r>
              <w:rPr>
                <w:rFonts w:hint="eastAsia" w:eastAsia="宋体" w:cs="宋体"/>
                <w:color w:val="000000"/>
                <w:spacing w:val="-1"/>
                <w:sz w:val="21"/>
                <w:szCs w:val="21"/>
                <w:highlight w:val="none"/>
                <w:lang w:val="en-US" w:eastAsia="zh-CN"/>
              </w:rPr>
              <w:t>2</w:t>
            </w:r>
            <w:r>
              <w:rPr>
                <w:rFonts w:hint="eastAsia" w:ascii="宋体" w:hAnsi="宋体" w:eastAsia="宋体" w:cs="宋体"/>
                <w:color w:val="000000"/>
                <w:spacing w:val="-1"/>
                <w:sz w:val="21"/>
                <w:szCs w:val="21"/>
                <w:highlight w:val="none"/>
                <w:lang w:val="en-US" w:eastAsia="zh-CN"/>
              </w:rPr>
              <w:t>分；</w:t>
            </w:r>
          </w:p>
          <w:p w14:paraId="64A75215">
            <w:pPr>
              <w:pStyle w:val="116"/>
              <w:keepNext w:val="0"/>
              <w:keepLines w:val="0"/>
              <w:pageBreakBefore w:val="0"/>
              <w:widowControl w:val="0"/>
              <w:numPr>
                <w:ilvl w:val="0"/>
                <w:numId w:val="0"/>
              </w:numPr>
              <w:tabs>
                <w:tab w:val="left" w:pos="709"/>
              </w:tabs>
              <w:kinsoku/>
              <w:wordWrap/>
              <w:overflowPunct/>
              <w:topLinePunct w:val="0"/>
              <w:autoSpaceDE/>
              <w:autoSpaceDN/>
              <w:bidi w:val="0"/>
              <w:spacing w:before="4" w:after="0" w:line="240" w:lineRule="exact"/>
              <w:ind w:right="174" w:rightChars="0"/>
              <w:jc w:val="left"/>
              <w:textAlignment w:val="auto"/>
              <w:rPr>
                <w:rFonts w:hint="eastAsia" w:ascii="宋体" w:hAnsi="宋体" w:eastAsia="宋体" w:cs="宋体"/>
                <w:spacing w:val="-1"/>
                <w:sz w:val="21"/>
                <w:szCs w:val="21"/>
                <w:highlight w:val="none"/>
                <w:lang w:val="en-US" w:eastAsia="zh-CN"/>
              </w:rPr>
            </w:pPr>
            <w:r>
              <w:rPr>
                <w:rFonts w:hint="eastAsia" w:ascii="宋体" w:hAnsi="宋体" w:eastAsia="宋体" w:cs="宋体"/>
                <w:color w:val="000000"/>
                <w:sz w:val="21"/>
                <w:szCs w:val="21"/>
                <w:highlight w:val="none"/>
                <w:lang w:val="en-US" w:eastAsia="zh-CN"/>
              </w:rPr>
              <w:t>注：</w:t>
            </w:r>
            <w:r>
              <w:rPr>
                <w:rFonts w:hint="eastAsia" w:ascii="宋体" w:hAnsi="宋体" w:eastAsia="宋体" w:cs="宋体"/>
                <w:b/>
                <w:bCs/>
                <w:color w:val="000000"/>
                <w:sz w:val="21"/>
                <w:szCs w:val="21"/>
                <w:highlight w:val="none"/>
                <w:lang w:val="en-US" w:eastAsia="zh-CN"/>
              </w:rPr>
              <w:t>供应商所报菜单价格将作为今后职工就餐结账的依据，在合作服务期内不得擅自更改。</w:t>
            </w:r>
          </w:p>
        </w:tc>
        <w:tc>
          <w:tcPr>
            <w:tcW w:w="913" w:type="dxa"/>
            <w:noWrap w:val="0"/>
            <w:vAlign w:val="center"/>
          </w:tcPr>
          <w:p w14:paraId="798FB06D">
            <w:pPr>
              <w:pStyle w:val="116"/>
              <w:keepNext w:val="0"/>
              <w:keepLines w:val="0"/>
              <w:pageBreakBefore w:val="0"/>
              <w:widowControl w:val="0"/>
              <w:kinsoku/>
              <w:wordWrap/>
              <w:overflowPunct/>
              <w:topLinePunct w:val="0"/>
              <w:autoSpaceDE/>
              <w:autoSpaceDN/>
              <w:bidi w:val="0"/>
              <w:adjustRightInd w:val="0"/>
              <w:snapToGrid w:val="0"/>
              <w:spacing w:line="240" w:lineRule="exact"/>
              <w:ind w:left="0" w:right="0"/>
              <w:jc w:val="center"/>
              <w:textAlignment w:val="auto"/>
              <w:rPr>
                <w:rFonts w:hint="eastAsia" w:ascii="宋体" w:hAnsi="宋体" w:eastAsia="宋体" w:cs="宋体"/>
                <w:sz w:val="21"/>
                <w:szCs w:val="21"/>
                <w:highlight w:val="none"/>
                <w:lang w:val="en-US" w:eastAsia="zh-CN"/>
              </w:rPr>
            </w:pPr>
            <w:r>
              <w:rPr>
                <w:rFonts w:hint="eastAsia" w:eastAsia="宋体" w:cs="宋体"/>
                <w:color w:val="000000"/>
                <w:sz w:val="21"/>
                <w:szCs w:val="21"/>
                <w:highlight w:val="none"/>
                <w:lang w:val="en-US" w:eastAsia="zh-CN"/>
              </w:rPr>
              <w:t>5</w:t>
            </w:r>
            <w:r>
              <w:rPr>
                <w:rFonts w:hint="eastAsia" w:ascii="宋体" w:hAnsi="宋体" w:eastAsia="宋体" w:cs="宋体"/>
                <w:color w:val="000000"/>
                <w:sz w:val="21"/>
                <w:szCs w:val="21"/>
                <w:highlight w:val="none"/>
                <w:lang w:val="en-US" w:eastAsia="zh-CN"/>
              </w:rPr>
              <w:t>分</w:t>
            </w:r>
          </w:p>
        </w:tc>
      </w:tr>
      <w:tr w14:paraId="3D712F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jc w:val="center"/>
        </w:trPr>
        <w:tc>
          <w:tcPr>
            <w:tcW w:w="728" w:type="dxa"/>
            <w:vMerge w:val="continue"/>
            <w:noWrap w:val="0"/>
            <w:vAlign w:val="top"/>
          </w:tcPr>
          <w:p w14:paraId="2FE7334E">
            <w:pPr>
              <w:pStyle w:val="116"/>
              <w:rPr>
                <w:rFonts w:hint="eastAsia" w:ascii="宋体" w:hAnsi="宋体" w:eastAsia="宋体" w:cs="宋体"/>
                <w:sz w:val="21"/>
                <w:szCs w:val="21"/>
                <w:highlight w:val="none"/>
              </w:rPr>
            </w:pPr>
          </w:p>
        </w:tc>
        <w:tc>
          <w:tcPr>
            <w:tcW w:w="1355" w:type="dxa"/>
            <w:noWrap w:val="0"/>
            <w:vAlign w:val="center"/>
          </w:tcPr>
          <w:p w14:paraId="2D7A6DCE">
            <w:pPr>
              <w:pStyle w:val="116"/>
              <w:keepNext w:val="0"/>
              <w:keepLines w:val="0"/>
              <w:pageBreakBefore w:val="0"/>
              <w:widowControl w:val="0"/>
              <w:numPr>
                <w:ilvl w:val="0"/>
                <w:numId w:val="0"/>
              </w:numPr>
              <w:tabs>
                <w:tab w:val="left" w:pos="709"/>
              </w:tabs>
              <w:kinsoku/>
              <w:wordWrap/>
              <w:overflowPunct/>
              <w:topLinePunct w:val="0"/>
              <w:autoSpaceDE/>
              <w:autoSpaceDN/>
              <w:bidi w:val="0"/>
              <w:spacing w:before="4" w:after="0" w:line="240" w:lineRule="exact"/>
              <w:ind w:right="174" w:rightChars="0"/>
              <w:jc w:val="center"/>
              <w:textAlignment w:val="auto"/>
              <w:rPr>
                <w:rFonts w:hint="eastAsia" w:ascii="宋体" w:hAnsi="宋体" w:eastAsia="宋体" w:cs="宋体"/>
                <w:color w:val="000000"/>
                <w:spacing w:val="-1"/>
                <w:sz w:val="21"/>
                <w:szCs w:val="21"/>
                <w:highlight w:val="none"/>
                <w:lang w:val="en-US" w:eastAsia="zh-CN"/>
              </w:rPr>
            </w:pPr>
            <w:r>
              <w:rPr>
                <w:rFonts w:hint="eastAsia" w:ascii="宋体" w:hAnsi="宋体" w:eastAsia="宋体" w:cs="宋体"/>
                <w:color w:val="000000"/>
                <w:spacing w:val="-1"/>
                <w:sz w:val="21"/>
                <w:szCs w:val="21"/>
                <w:highlight w:val="none"/>
                <w:lang w:val="en-US" w:eastAsia="zh-CN"/>
              </w:rPr>
              <w:t>企业资信</w:t>
            </w:r>
          </w:p>
        </w:tc>
        <w:tc>
          <w:tcPr>
            <w:tcW w:w="6750" w:type="dxa"/>
            <w:noWrap w:val="0"/>
            <w:vAlign w:val="center"/>
          </w:tcPr>
          <w:p w14:paraId="37FCE9F8">
            <w:pPr>
              <w:pStyle w:val="116"/>
              <w:keepNext w:val="0"/>
              <w:keepLines w:val="0"/>
              <w:pageBreakBefore w:val="0"/>
              <w:widowControl w:val="0"/>
              <w:numPr>
                <w:ilvl w:val="0"/>
                <w:numId w:val="0"/>
              </w:numPr>
              <w:tabs>
                <w:tab w:val="left" w:pos="709"/>
              </w:tabs>
              <w:kinsoku/>
              <w:wordWrap/>
              <w:overflowPunct/>
              <w:topLinePunct w:val="0"/>
              <w:autoSpaceDE/>
              <w:autoSpaceDN/>
              <w:bidi w:val="0"/>
              <w:spacing w:before="4" w:after="0" w:line="240" w:lineRule="exact"/>
              <w:ind w:right="174" w:rightChars="0"/>
              <w:jc w:val="left"/>
              <w:textAlignment w:val="auto"/>
              <w:rPr>
                <w:rFonts w:hint="eastAsia" w:ascii="宋体" w:hAnsi="宋体" w:eastAsia="宋体" w:cs="宋体"/>
                <w:color w:val="000000"/>
                <w:spacing w:val="-1"/>
                <w:sz w:val="21"/>
                <w:szCs w:val="21"/>
                <w:highlight w:val="none"/>
                <w:lang w:val="en-US" w:eastAsia="zh-CN"/>
              </w:rPr>
            </w:pPr>
            <w:r>
              <w:rPr>
                <w:rFonts w:hint="eastAsia" w:ascii="宋体" w:hAnsi="宋体" w:eastAsia="宋体" w:cs="宋体"/>
                <w:color w:val="000000"/>
                <w:spacing w:val="-1"/>
                <w:sz w:val="21"/>
                <w:szCs w:val="21"/>
                <w:highlight w:val="none"/>
                <w:lang w:val="en-US" w:eastAsia="zh-CN"/>
              </w:rPr>
              <w:t>供应商自2021年1月1日以来具有党政机关或企事业单位委托的食堂餐饮服务业绩且经营期内年度评价满意度为优秀的得5分，最高得5分。</w:t>
            </w:r>
          </w:p>
          <w:p w14:paraId="28148595">
            <w:pPr>
              <w:pStyle w:val="116"/>
              <w:keepNext w:val="0"/>
              <w:keepLines w:val="0"/>
              <w:pageBreakBefore w:val="0"/>
              <w:widowControl w:val="0"/>
              <w:numPr>
                <w:ilvl w:val="0"/>
                <w:numId w:val="0"/>
              </w:numPr>
              <w:tabs>
                <w:tab w:val="left" w:pos="709"/>
              </w:tabs>
              <w:kinsoku/>
              <w:wordWrap/>
              <w:overflowPunct/>
              <w:topLinePunct w:val="0"/>
              <w:autoSpaceDE/>
              <w:autoSpaceDN/>
              <w:bidi w:val="0"/>
              <w:spacing w:before="4" w:after="0" w:line="240" w:lineRule="exact"/>
              <w:ind w:right="174" w:rightChars="0"/>
              <w:jc w:val="left"/>
              <w:textAlignment w:val="auto"/>
              <w:rPr>
                <w:rFonts w:hint="eastAsia" w:ascii="宋体" w:hAnsi="宋体" w:eastAsia="宋体" w:cs="宋体"/>
                <w:color w:val="000000"/>
                <w:spacing w:val="-1"/>
                <w:sz w:val="21"/>
                <w:szCs w:val="21"/>
                <w:highlight w:val="none"/>
                <w:lang w:val="en-US" w:eastAsia="zh-CN"/>
              </w:rPr>
            </w:pPr>
            <w:r>
              <w:rPr>
                <w:rFonts w:hint="eastAsia" w:ascii="宋体" w:hAnsi="宋体" w:eastAsia="宋体" w:cs="宋体"/>
                <w:color w:val="000000"/>
                <w:spacing w:val="-1"/>
                <w:sz w:val="21"/>
                <w:szCs w:val="21"/>
                <w:highlight w:val="none"/>
                <w:lang w:val="en-US" w:eastAsia="zh-CN"/>
              </w:rPr>
              <w:t>备注：（1）党政机关包括党的机关、人大机关、行政机关、政协机关、审判机关、检察机关，及各级党政机关派出机构、直属事业单位及工会、共青团、妇联等；（2）响应文件中提供合同扫描件和评价满意度扫描件（评价满意度的年度考核结果佐证资料需服务单位加盖公章），未提供不得分。</w:t>
            </w:r>
          </w:p>
        </w:tc>
        <w:tc>
          <w:tcPr>
            <w:tcW w:w="913" w:type="dxa"/>
            <w:noWrap w:val="0"/>
            <w:vAlign w:val="top"/>
          </w:tcPr>
          <w:p w14:paraId="5796E6E1">
            <w:pPr>
              <w:pStyle w:val="116"/>
              <w:keepNext w:val="0"/>
              <w:keepLines w:val="0"/>
              <w:pageBreakBefore w:val="0"/>
              <w:widowControl w:val="0"/>
              <w:numPr>
                <w:ilvl w:val="0"/>
                <w:numId w:val="0"/>
              </w:numPr>
              <w:tabs>
                <w:tab w:val="left" w:pos="709"/>
              </w:tabs>
              <w:kinsoku/>
              <w:wordWrap/>
              <w:overflowPunct/>
              <w:topLinePunct w:val="0"/>
              <w:autoSpaceDE/>
              <w:autoSpaceDN/>
              <w:bidi w:val="0"/>
              <w:spacing w:before="4" w:after="0" w:line="240" w:lineRule="exact"/>
              <w:ind w:right="174" w:rightChars="0"/>
              <w:jc w:val="left"/>
              <w:textAlignment w:val="auto"/>
              <w:rPr>
                <w:rFonts w:hint="eastAsia" w:ascii="宋体" w:hAnsi="宋体" w:eastAsia="宋体" w:cs="宋体"/>
                <w:color w:val="000000"/>
                <w:spacing w:val="-1"/>
                <w:sz w:val="21"/>
                <w:szCs w:val="21"/>
                <w:highlight w:val="none"/>
                <w:lang w:val="en-US" w:eastAsia="zh-CN"/>
              </w:rPr>
            </w:pPr>
          </w:p>
          <w:p w14:paraId="2291B65A">
            <w:pPr>
              <w:pStyle w:val="116"/>
              <w:keepNext w:val="0"/>
              <w:keepLines w:val="0"/>
              <w:pageBreakBefore w:val="0"/>
              <w:widowControl w:val="0"/>
              <w:numPr>
                <w:ilvl w:val="0"/>
                <w:numId w:val="0"/>
              </w:numPr>
              <w:tabs>
                <w:tab w:val="left" w:pos="709"/>
              </w:tabs>
              <w:kinsoku/>
              <w:wordWrap/>
              <w:overflowPunct/>
              <w:topLinePunct w:val="0"/>
              <w:autoSpaceDE/>
              <w:autoSpaceDN/>
              <w:bidi w:val="0"/>
              <w:spacing w:before="4" w:after="0" w:line="240" w:lineRule="exact"/>
              <w:ind w:right="174" w:rightChars="0"/>
              <w:jc w:val="left"/>
              <w:textAlignment w:val="auto"/>
              <w:rPr>
                <w:rFonts w:hint="eastAsia" w:ascii="宋体" w:hAnsi="宋体" w:eastAsia="宋体" w:cs="宋体"/>
                <w:color w:val="000000"/>
                <w:spacing w:val="-1"/>
                <w:sz w:val="21"/>
                <w:szCs w:val="21"/>
                <w:highlight w:val="none"/>
                <w:lang w:val="en-US" w:eastAsia="zh-CN"/>
              </w:rPr>
            </w:pPr>
          </w:p>
          <w:p w14:paraId="45A2BA58">
            <w:pPr>
              <w:pStyle w:val="116"/>
              <w:keepNext w:val="0"/>
              <w:keepLines w:val="0"/>
              <w:pageBreakBefore w:val="0"/>
              <w:widowControl w:val="0"/>
              <w:numPr>
                <w:ilvl w:val="0"/>
                <w:numId w:val="0"/>
              </w:numPr>
              <w:tabs>
                <w:tab w:val="left" w:pos="709"/>
              </w:tabs>
              <w:kinsoku/>
              <w:wordWrap/>
              <w:overflowPunct/>
              <w:topLinePunct w:val="0"/>
              <w:autoSpaceDE/>
              <w:autoSpaceDN/>
              <w:bidi w:val="0"/>
              <w:spacing w:before="4" w:after="0" w:line="240" w:lineRule="exact"/>
              <w:ind w:right="174" w:rightChars="0"/>
              <w:jc w:val="center"/>
              <w:textAlignment w:val="auto"/>
              <w:rPr>
                <w:rFonts w:hint="eastAsia" w:ascii="宋体" w:hAnsi="宋体" w:eastAsia="宋体" w:cs="宋体"/>
                <w:color w:val="000000"/>
                <w:spacing w:val="-1"/>
                <w:sz w:val="21"/>
                <w:szCs w:val="21"/>
                <w:highlight w:val="none"/>
                <w:lang w:val="en-US" w:eastAsia="zh-CN"/>
              </w:rPr>
            </w:pPr>
            <w:r>
              <w:rPr>
                <w:rFonts w:hint="eastAsia" w:ascii="宋体" w:hAnsi="宋体" w:eastAsia="宋体" w:cs="宋体"/>
                <w:color w:val="000000"/>
                <w:spacing w:val="-1"/>
                <w:sz w:val="21"/>
                <w:szCs w:val="21"/>
                <w:highlight w:val="none"/>
                <w:lang w:val="en-US" w:eastAsia="zh-CN"/>
              </w:rPr>
              <w:t>0-5分</w:t>
            </w:r>
          </w:p>
        </w:tc>
      </w:tr>
      <w:tr w14:paraId="69A0C0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jc w:val="center"/>
        </w:trPr>
        <w:tc>
          <w:tcPr>
            <w:tcW w:w="728" w:type="dxa"/>
            <w:vMerge w:val="continue"/>
            <w:noWrap w:val="0"/>
            <w:vAlign w:val="top"/>
          </w:tcPr>
          <w:p w14:paraId="5E367889">
            <w:pPr>
              <w:rPr>
                <w:rFonts w:hint="eastAsia" w:ascii="宋体" w:hAnsi="宋体" w:eastAsia="宋体" w:cs="宋体"/>
                <w:sz w:val="21"/>
                <w:szCs w:val="21"/>
                <w:highlight w:val="none"/>
              </w:rPr>
            </w:pPr>
          </w:p>
        </w:tc>
        <w:tc>
          <w:tcPr>
            <w:tcW w:w="1355" w:type="dxa"/>
            <w:noWrap w:val="0"/>
            <w:vAlign w:val="center"/>
          </w:tcPr>
          <w:p w14:paraId="18DA8041">
            <w:pPr>
              <w:pStyle w:val="116"/>
              <w:keepNext w:val="0"/>
              <w:keepLines w:val="0"/>
              <w:pageBreakBefore w:val="0"/>
              <w:widowControl w:val="0"/>
              <w:kinsoku/>
              <w:wordWrap/>
              <w:overflowPunct/>
              <w:topLinePunct w:val="0"/>
              <w:autoSpaceDE/>
              <w:autoSpaceDN/>
              <w:bidi w:val="0"/>
              <w:spacing w:line="24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经营面积</w:t>
            </w:r>
          </w:p>
        </w:tc>
        <w:tc>
          <w:tcPr>
            <w:tcW w:w="6750" w:type="dxa"/>
            <w:noWrap w:val="0"/>
            <w:vAlign w:val="top"/>
          </w:tcPr>
          <w:p w14:paraId="259D9D01">
            <w:pPr>
              <w:pStyle w:val="116"/>
              <w:keepNext w:val="0"/>
              <w:keepLines w:val="0"/>
              <w:pageBreakBefore w:val="0"/>
              <w:widowControl w:val="0"/>
              <w:kinsoku/>
              <w:wordWrap/>
              <w:overflowPunct/>
              <w:topLinePunct w:val="0"/>
              <w:autoSpaceDE/>
              <w:autoSpaceDN/>
              <w:bidi w:val="0"/>
              <w:spacing w:line="240" w:lineRule="exact"/>
              <w:ind w:left="107"/>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①供应商实体店经营面积在1600㎡及以上的，得10分；</w:t>
            </w:r>
          </w:p>
          <w:p w14:paraId="004FB19F">
            <w:pPr>
              <w:pStyle w:val="116"/>
              <w:keepNext w:val="0"/>
              <w:keepLines w:val="0"/>
              <w:pageBreakBefore w:val="0"/>
              <w:widowControl w:val="0"/>
              <w:kinsoku/>
              <w:wordWrap/>
              <w:overflowPunct/>
              <w:topLinePunct w:val="0"/>
              <w:autoSpaceDE/>
              <w:autoSpaceDN/>
              <w:bidi w:val="0"/>
              <w:spacing w:line="240" w:lineRule="exact"/>
              <w:ind w:left="107"/>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②供应商实体店经营面积在1400㎡及以上的，得8分；</w:t>
            </w:r>
          </w:p>
          <w:p w14:paraId="5ED9CA3E">
            <w:pPr>
              <w:pStyle w:val="116"/>
              <w:keepNext w:val="0"/>
              <w:keepLines w:val="0"/>
              <w:pageBreakBefore w:val="0"/>
              <w:widowControl w:val="0"/>
              <w:kinsoku/>
              <w:wordWrap/>
              <w:overflowPunct/>
              <w:topLinePunct w:val="0"/>
              <w:autoSpaceDE/>
              <w:autoSpaceDN/>
              <w:bidi w:val="0"/>
              <w:spacing w:line="240" w:lineRule="exact"/>
              <w:ind w:left="107"/>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③供应商实体店经营面积在1200㎡及以上的，得6分；</w:t>
            </w:r>
          </w:p>
          <w:p w14:paraId="0676CEFF">
            <w:pPr>
              <w:pStyle w:val="116"/>
              <w:keepNext w:val="0"/>
              <w:keepLines w:val="0"/>
              <w:pageBreakBefore w:val="0"/>
              <w:widowControl w:val="0"/>
              <w:kinsoku/>
              <w:wordWrap/>
              <w:overflowPunct/>
              <w:topLinePunct w:val="0"/>
              <w:autoSpaceDE/>
              <w:autoSpaceDN/>
              <w:bidi w:val="0"/>
              <w:spacing w:line="240" w:lineRule="exact"/>
              <w:ind w:left="107"/>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④供应商实体店经营面积在1000㎡及以上的，得4分；</w:t>
            </w:r>
          </w:p>
          <w:p w14:paraId="5D0CB6FE">
            <w:pPr>
              <w:pStyle w:val="116"/>
              <w:keepNext w:val="0"/>
              <w:keepLines w:val="0"/>
              <w:pageBreakBefore w:val="0"/>
              <w:widowControl w:val="0"/>
              <w:kinsoku/>
              <w:wordWrap/>
              <w:overflowPunct/>
              <w:topLinePunct w:val="0"/>
              <w:autoSpaceDE/>
              <w:autoSpaceDN/>
              <w:bidi w:val="0"/>
              <w:spacing w:line="240" w:lineRule="exact"/>
              <w:ind w:left="107"/>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注：经营面积不含酒店客房面积；提供房产证或租赁合同扫描件，外加场地图片，未提供或提供不全的不得分。</w:t>
            </w:r>
          </w:p>
        </w:tc>
        <w:tc>
          <w:tcPr>
            <w:tcW w:w="913" w:type="dxa"/>
            <w:noWrap w:val="0"/>
            <w:vAlign w:val="center"/>
          </w:tcPr>
          <w:p w14:paraId="7F1C2CD3">
            <w:pPr>
              <w:pStyle w:val="116"/>
              <w:keepNext w:val="0"/>
              <w:keepLines w:val="0"/>
              <w:pageBreakBefore w:val="0"/>
              <w:widowControl w:val="0"/>
              <w:kinsoku/>
              <w:wordWrap/>
              <w:overflowPunct/>
              <w:topLinePunct w:val="0"/>
              <w:autoSpaceDE/>
              <w:autoSpaceDN/>
              <w:bidi w:val="0"/>
              <w:adjustRightInd w:val="0"/>
              <w:snapToGrid w:val="0"/>
              <w:spacing w:line="240" w:lineRule="exact"/>
              <w:ind w:left="0" w:right="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10分</w:t>
            </w:r>
          </w:p>
        </w:tc>
      </w:tr>
      <w:tr w14:paraId="4ED492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4" w:hRule="atLeast"/>
          <w:jc w:val="center"/>
        </w:trPr>
        <w:tc>
          <w:tcPr>
            <w:tcW w:w="728" w:type="dxa"/>
            <w:vMerge w:val="continue"/>
            <w:noWrap w:val="0"/>
            <w:vAlign w:val="top"/>
          </w:tcPr>
          <w:p w14:paraId="398B7887">
            <w:pPr>
              <w:pStyle w:val="116"/>
              <w:rPr>
                <w:rFonts w:hint="eastAsia" w:ascii="宋体" w:hAnsi="宋体" w:eastAsia="宋体" w:cs="宋体"/>
                <w:sz w:val="21"/>
                <w:szCs w:val="21"/>
                <w:highlight w:val="none"/>
              </w:rPr>
            </w:pPr>
          </w:p>
        </w:tc>
        <w:tc>
          <w:tcPr>
            <w:tcW w:w="1355" w:type="dxa"/>
            <w:noWrap w:val="0"/>
            <w:vAlign w:val="center"/>
          </w:tcPr>
          <w:p w14:paraId="0C02E91D">
            <w:pPr>
              <w:pStyle w:val="116"/>
              <w:keepNext w:val="0"/>
              <w:keepLines w:val="0"/>
              <w:pageBreakBefore w:val="0"/>
              <w:widowControl w:val="0"/>
              <w:kinsoku/>
              <w:wordWrap/>
              <w:overflowPunct/>
              <w:topLinePunct w:val="0"/>
              <w:autoSpaceDE/>
              <w:autoSpaceDN/>
              <w:bidi w:val="0"/>
              <w:spacing w:line="240" w:lineRule="exact"/>
              <w:ind w:left="129" w:right="118"/>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人员配备</w:t>
            </w:r>
          </w:p>
        </w:tc>
        <w:tc>
          <w:tcPr>
            <w:tcW w:w="6750" w:type="dxa"/>
            <w:noWrap w:val="0"/>
            <w:vAlign w:val="top"/>
          </w:tcPr>
          <w:p w14:paraId="60119B0A">
            <w:pPr>
              <w:pStyle w:val="116"/>
              <w:keepNext w:val="0"/>
              <w:keepLines w:val="0"/>
              <w:pageBreakBefore w:val="0"/>
              <w:widowControl w:val="0"/>
              <w:numPr>
                <w:ilvl w:val="0"/>
                <w:numId w:val="0"/>
              </w:numPr>
              <w:tabs>
                <w:tab w:val="left" w:pos="709"/>
              </w:tabs>
              <w:kinsoku/>
              <w:wordWrap/>
              <w:overflowPunct/>
              <w:topLinePunct w:val="0"/>
              <w:autoSpaceDE/>
              <w:autoSpaceDN/>
              <w:bidi w:val="0"/>
              <w:spacing w:before="4" w:after="0" w:line="240" w:lineRule="exact"/>
              <w:ind w:right="174" w:rightChars="0"/>
              <w:jc w:val="left"/>
              <w:textAlignment w:val="auto"/>
              <w:rPr>
                <w:rFonts w:hint="eastAsia" w:ascii="宋体" w:hAnsi="宋体" w:eastAsia="宋体" w:cs="宋体"/>
                <w:color w:val="000000"/>
                <w:spacing w:val="-1"/>
                <w:sz w:val="21"/>
                <w:szCs w:val="21"/>
                <w:highlight w:val="none"/>
                <w:lang w:eastAsia="zh-CN"/>
              </w:rPr>
            </w:pPr>
            <w:r>
              <w:rPr>
                <w:rFonts w:hint="eastAsia" w:ascii="宋体" w:hAnsi="宋体" w:eastAsia="宋体" w:cs="宋体"/>
                <w:color w:val="000000"/>
                <w:spacing w:val="-1"/>
                <w:sz w:val="21"/>
                <w:szCs w:val="21"/>
                <w:highlight w:val="none"/>
                <w:lang w:eastAsia="zh-CN"/>
              </w:rPr>
              <w:t>1、拟任项目负责人：</w:t>
            </w:r>
          </w:p>
          <w:p w14:paraId="5E260398">
            <w:pPr>
              <w:pStyle w:val="116"/>
              <w:keepNext w:val="0"/>
              <w:keepLines w:val="0"/>
              <w:pageBreakBefore w:val="0"/>
              <w:widowControl w:val="0"/>
              <w:numPr>
                <w:ilvl w:val="0"/>
                <w:numId w:val="0"/>
              </w:numPr>
              <w:tabs>
                <w:tab w:val="left" w:pos="709"/>
              </w:tabs>
              <w:kinsoku/>
              <w:wordWrap/>
              <w:overflowPunct/>
              <w:topLinePunct w:val="0"/>
              <w:autoSpaceDE/>
              <w:autoSpaceDN/>
              <w:bidi w:val="0"/>
              <w:spacing w:before="4" w:after="0" w:line="240" w:lineRule="exact"/>
              <w:ind w:right="174" w:rightChars="0"/>
              <w:jc w:val="left"/>
              <w:textAlignment w:val="auto"/>
              <w:rPr>
                <w:rFonts w:hint="eastAsia" w:ascii="宋体" w:hAnsi="宋体" w:eastAsia="宋体" w:cs="宋体"/>
                <w:color w:val="000000"/>
                <w:spacing w:val="-1"/>
                <w:sz w:val="21"/>
                <w:szCs w:val="21"/>
                <w:highlight w:val="none"/>
                <w:lang w:eastAsia="zh-CN"/>
              </w:rPr>
            </w:pPr>
            <w:r>
              <w:rPr>
                <w:rFonts w:hint="eastAsia" w:ascii="宋体" w:hAnsi="宋体" w:eastAsia="宋体" w:cs="宋体"/>
                <w:color w:val="000000"/>
                <w:spacing w:val="-1"/>
                <w:sz w:val="21"/>
                <w:szCs w:val="21"/>
                <w:highlight w:val="none"/>
                <w:lang w:eastAsia="zh-CN"/>
              </w:rPr>
              <w:t>（</w:t>
            </w:r>
            <w:r>
              <w:rPr>
                <w:rFonts w:hint="eastAsia" w:ascii="宋体" w:hAnsi="宋体" w:eastAsia="宋体" w:cs="宋体"/>
                <w:color w:val="000000"/>
                <w:spacing w:val="-1"/>
                <w:sz w:val="21"/>
                <w:szCs w:val="21"/>
                <w:highlight w:val="none"/>
                <w:lang w:val="en-US" w:eastAsia="zh-CN"/>
              </w:rPr>
              <w:t>1</w:t>
            </w:r>
            <w:r>
              <w:rPr>
                <w:rFonts w:hint="eastAsia" w:ascii="宋体" w:hAnsi="宋体" w:eastAsia="宋体" w:cs="宋体"/>
                <w:color w:val="000000"/>
                <w:spacing w:val="-1"/>
                <w:sz w:val="21"/>
                <w:szCs w:val="21"/>
                <w:highlight w:val="none"/>
                <w:lang w:eastAsia="zh-CN"/>
              </w:rPr>
              <w:t>）具有一级厨师证的得3分；二级厨师证的得2分。</w:t>
            </w:r>
          </w:p>
          <w:p w14:paraId="55855B40">
            <w:pPr>
              <w:pStyle w:val="116"/>
              <w:keepNext w:val="0"/>
              <w:keepLines w:val="0"/>
              <w:pageBreakBefore w:val="0"/>
              <w:widowControl w:val="0"/>
              <w:numPr>
                <w:ilvl w:val="0"/>
                <w:numId w:val="0"/>
              </w:numPr>
              <w:tabs>
                <w:tab w:val="left" w:pos="709"/>
              </w:tabs>
              <w:kinsoku/>
              <w:wordWrap/>
              <w:overflowPunct/>
              <w:topLinePunct w:val="0"/>
              <w:autoSpaceDE/>
              <w:autoSpaceDN/>
              <w:bidi w:val="0"/>
              <w:spacing w:before="4" w:after="0" w:line="240" w:lineRule="exact"/>
              <w:ind w:right="174" w:rightChars="0"/>
              <w:jc w:val="left"/>
              <w:textAlignment w:val="auto"/>
              <w:rPr>
                <w:rFonts w:hint="eastAsia" w:ascii="宋体" w:hAnsi="宋体" w:eastAsia="宋体" w:cs="宋体"/>
                <w:color w:val="000000"/>
                <w:spacing w:val="-1"/>
                <w:sz w:val="21"/>
                <w:szCs w:val="21"/>
                <w:highlight w:val="none"/>
                <w:lang w:eastAsia="zh-CN"/>
              </w:rPr>
            </w:pPr>
            <w:r>
              <w:rPr>
                <w:rFonts w:hint="eastAsia" w:ascii="宋体" w:hAnsi="宋体" w:eastAsia="宋体" w:cs="宋体"/>
                <w:color w:val="000000"/>
                <w:spacing w:val="-1"/>
                <w:sz w:val="21"/>
                <w:szCs w:val="21"/>
                <w:highlight w:val="none"/>
                <w:lang w:eastAsia="zh-CN"/>
              </w:rPr>
              <w:t>（</w:t>
            </w:r>
            <w:r>
              <w:rPr>
                <w:rFonts w:hint="eastAsia" w:ascii="宋体" w:hAnsi="宋体" w:eastAsia="宋体" w:cs="宋体"/>
                <w:color w:val="000000"/>
                <w:spacing w:val="-1"/>
                <w:sz w:val="21"/>
                <w:szCs w:val="21"/>
                <w:highlight w:val="none"/>
                <w:lang w:val="en-US" w:eastAsia="zh-CN"/>
              </w:rPr>
              <w:t>2</w:t>
            </w:r>
            <w:r>
              <w:rPr>
                <w:rFonts w:hint="eastAsia" w:ascii="宋体" w:hAnsi="宋体" w:eastAsia="宋体" w:cs="宋体"/>
                <w:color w:val="000000"/>
                <w:spacing w:val="-1"/>
                <w:sz w:val="21"/>
                <w:szCs w:val="21"/>
                <w:highlight w:val="none"/>
                <w:lang w:eastAsia="zh-CN"/>
              </w:rPr>
              <w:t>）项目负责人从业厨师年限10年及以上的，得</w:t>
            </w:r>
            <w:r>
              <w:rPr>
                <w:rFonts w:hint="eastAsia" w:ascii="宋体" w:hAnsi="宋体" w:eastAsia="宋体" w:cs="宋体"/>
                <w:color w:val="000000"/>
                <w:spacing w:val="-1"/>
                <w:sz w:val="21"/>
                <w:szCs w:val="21"/>
                <w:highlight w:val="none"/>
                <w:lang w:val="en-US" w:eastAsia="zh-CN"/>
              </w:rPr>
              <w:t>2</w:t>
            </w:r>
            <w:r>
              <w:rPr>
                <w:rFonts w:hint="eastAsia" w:ascii="宋体" w:hAnsi="宋体" w:eastAsia="宋体" w:cs="宋体"/>
                <w:color w:val="000000"/>
                <w:spacing w:val="-1"/>
                <w:sz w:val="21"/>
                <w:szCs w:val="21"/>
                <w:highlight w:val="none"/>
                <w:lang w:eastAsia="zh-CN"/>
              </w:rPr>
              <w:t>分。</w:t>
            </w:r>
          </w:p>
          <w:p w14:paraId="6528D463">
            <w:pPr>
              <w:pStyle w:val="116"/>
              <w:keepNext w:val="0"/>
              <w:keepLines w:val="0"/>
              <w:pageBreakBefore w:val="0"/>
              <w:widowControl w:val="0"/>
              <w:numPr>
                <w:ilvl w:val="0"/>
                <w:numId w:val="0"/>
              </w:numPr>
              <w:tabs>
                <w:tab w:val="left" w:pos="709"/>
              </w:tabs>
              <w:kinsoku/>
              <w:wordWrap/>
              <w:overflowPunct/>
              <w:topLinePunct w:val="0"/>
              <w:autoSpaceDE/>
              <w:autoSpaceDN/>
              <w:bidi w:val="0"/>
              <w:spacing w:before="4" w:after="0" w:line="240" w:lineRule="exact"/>
              <w:ind w:right="174" w:rightChars="0"/>
              <w:jc w:val="left"/>
              <w:textAlignment w:val="auto"/>
              <w:rPr>
                <w:rFonts w:hint="eastAsia" w:ascii="宋体" w:hAnsi="宋体" w:eastAsia="宋体" w:cs="宋体"/>
                <w:color w:val="000000"/>
                <w:spacing w:val="-1"/>
                <w:sz w:val="21"/>
                <w:szCs w:val="21"/>
                <w:highlight w:val="none"/>
                <w:lang w:eastAsia="zh-CN"/>
              </w:rPr>
            </w:pPr>
            <w:r>
              <w:rPr>
                <w:rFonts w:hint="eastAsia" w:ascii="宋体" w:hAnsi="宋体" w:eastAsia="宋体" w:cs="宋体"/>
                <w:color w:val="000000"/>
                <w:spacing w:val="-1"/>
                <w:sz w:val="21"/>
                <w:szCs w:val="21"/>
                <w:highlight w:val="none"/>
                <w:lang w:eastAsia="zh-CN"/>
              </w:rPr>
              <w:t>本项满分</w:t>
            </w:r>
            <w:r>
              <w:rPr>
                <w:rFonts w:hint="eastAsia" w:ascii="宋体" w:hAnsi="宋体" w:eastAsia="宋体" w:cs="宋体"/>
                <w:color w:val="000000"/>
                <w:spacing w:val="-1"/>
                <w:sz w:val="21"/>
                <w:szCs w:val="21"/>
                <w:highlight w:val="none"/>
                <w:lang w:val="en-US" w:eastAsia="zh-CN"/>
              </w:rPr>
              <w:t>5</w:t>
            </w:r>
            <w:r>
              <w:rPr>
                <w:rFonts w:hint="eastAsia" w:ascii="宋体" w:hAnsi="宋体" w:eastAsia="宋体" w:cs="宋体"/>
                <w:color w:val="000000"/>
                <w:spacing w:val="-1"/>
                <w:sz w:val="21"/>
                <w:szCs w:val="21"/>
                <w:highlight w:val="none"/>
                <w:lang w:eastAsia="zh-CN"/>
              </w:rPr>
              <w:t>分。</w:t>
            </w:r>
          </w:p>
          <w:p w14:paraId="7AB6D89B">
            <w:pPr>
              <w:pStyle w:val="116"/>
              <w:keepNext w:val="0"/>
              <w:keepLines w:val="0"/>
              <w:pageBreakBefore w:val="0"/>
              <w:widowControl w:val="0"/>
              <w:numPr>
                <w:ilvl w:val="0"/>
                <w:numId w:val="0"/>
              </w:numPr>
              <w:tabs>
                <w:tab w:val="left" w:pos="709"/>
              </w:tabs>
              <w:kinsoku/>
              <w:wordWrap/>
              <w:overflowPunct/>
              <w:topLinePunct w:val="0"/>
              <w:autoSpaceDE/>
              <w:autoSpaceDN/>
              <w:bidi w:val="0"/>
              <w:spacing w:before="4" w:after="0" w:line="240" w:lineRule="exact"/>
              <w:ind w:right="174" w:rightChars="0"/>
              <w:jc w:val="left"/>
              <w:textAlignment w:val="auto"/>
              <w:rPr>
                <w:rFonts w:hint="eastAsia" w:ascii="宋体" w:hAnsi="宋体" w:eastAsia="宋体" w:cs="宋体"/>
                <w:color w:val="000000"/>
                <w:spacing w:val="-1"/>
                <w:sz w:val="21"/>
                <w:szCs w:val="21"/>
                <w:highlight w:val="none"/>
                <w:lang w:eastAsia="zh-CN"/>
              </w:rPr>
            </w:pPr>
            <w:r>
              <w:rPr>
                <w:rFonts w:hint="eastAsia" w:ascii="宋体" w:hAnsi="宋体" w:eastAsia="宋体" w:cs="宋体"/>
                <w:color w:val="000000"/>
                <w:spacing w:val="-1"/>
                <w:sz w:val="21"/>
                <w:szCs w:val="21"/>
                <w:highlight w:val="none"/>
                <w:lang w:eastAsia="zh-CN"/>
              </w:rPr>
              <w:t>2、其他人员配备（除项目负责人）：</w:t>
            </w:r>
          </w:p>
          <w:p w14:paraId="5BEC0503">
            <w:pPr>
              <w:pStyle w:val="116"/>
              <w:keepNext w:val="0"/>
              <w:keepLines w:val="0"/>
              <w:pageBreakBefore w:val="0"/>
              <w:widowControl w:val="0"/>
              <w:numPr>
                <w:ilvl w:val="0"/>
                <w:numId w:val="0"/>
              </w:numPr>
              <w:tabs>
                <w:tab w:val="left" w:pos="709"/>
              </w:tabs>
              <w:kinsoku/>
              <w:wordWrap/>
              <w:overflowPunct/>
              <w:topLinePunct w:val="0"/>
              <w:autoSpaceDE/>
              <w:autoSpaceDN/>
              <w:bidi w:val="0"/>
              <w:spacing w:before="4" w:after="0" w:line="240" w:lineRule="exact"/>
              <w:ind w:right="174" w:rightChars="0"/>
              <w:jc w:val="left"/>
              <w:textAlignment w:val="auto"/>
              <w:rPr>
                <w:rFonts w:hint="eastAsia" w:ascii="宋体" w:hAnsi="宋体" w:eastAsia="宋体" w:cs="宋体"/>
                <w:color w:val="000000"/>
                <w:spacing w:val="-1"/>
                <w:sz w:val="21"/>
                <w:szCs w:val="21"/>
                <w:highlight w:val="none"/>
                <w:lang w:eastAsia="zh-CN"/>
              </w:rPr>
            </w:pPr>
            <w:r>
              <w:rPr>
                <w:rFonts w:hint="eastAsia" w:ascii="宋体" w:hAnsi="宋体" w:eastAsia="宋体" w:cs="宋体"/>
                <w:color w:val="000000"/>
                <w:spacing w:val="-1"/>
                <w:sz w:val="21"/>
                <w:szCs w:val="21"/>
                <w:highlight w:val="none"/>
                <w:lang w:eastAsia="zh-CN"/>
              </w:rPr>
              <w:t>其他人员，企业有专职食品安全管理员、专职厨师、专职健康管理师、专职营养师、专职面点师、中式烹调师等且具有相应从业资格证书的，每有一个得</w:t>
            </w:r>
            <w:r>
              <w:rPr>
                <w:rFonts w:hint="eastAsia" w:ascii="宋体" w:hAnsi="宋体" w:eastAsia="宋体" w:cs="宋体"/>
                <w:color w:val="000000"/>
                <w:spacing w:val="-1"/>
                <w:sz w:val="21"/>
                <w:szCs w:val="21"/>
                <w:highlight w:val="none"/>
                <w:lang w:val="en-US" w:eastAsia="zh-CN"/>
              </w:rPr>
              <w:t>1</w:t>
            </w:r>
            <w:r>
              <w:rPr>
                <w:rFonts w:hint="eastAsia" w:ascii="宋体" w:hAnsi="宋体" w:eastAsia="宋体" w:cs="宋体"/>
                <w:color w:val="000000"/>
                <w:spacing w:val="-1"/>
                <w:sz w:val="21"/>
                <w:szCs w:val="21"/>
                <w:highlight w:val="none"/>
                <w:lang w:eastAsia="zh-CN"/>
              </w:rPr>
              <w:t>分，此项最高得</w:t>
            </w:r>
            <w:r>
              <w:rPr>
                <w:rFonts w:hint="eastAsia" w:ascii="宋体" w:hAnsi="宋体" w:eastAsia="宋体" w:cs="宋体"/>
                <w:color w:val="000000"/>
                <w:spacing w:val="-1"/>
                <w:sz w:val="21"/>
                <w:szCs w:val="21"/>
                <w:highlight w:val="none"/>
                <w:lang w:val="en-US" w:eastAsia="zh-CN"/>
              </w:rPr>
              <w:t>6</w:t>
            </w:r>
            <w:r>
              <w:rPr>
                <w:rFonts w:hint="eastAsia" w:ascii="宋体" w:hAnsi="宋体" w:eastAsia="宋体" w:cs="宋体"/>
                <w:color w:val="000000"/>
                <w:spacing w:val="-1"/>
                <w:sz w:val="21"/>
                <w:szCs w:val="21"/>
                <w:highlight w:val="none"/>
                <w:lang w:eastAsia="zh-CN"/>
              </w:rPr>
              <w:t>分。</w:t>
            </w:r>
          </w:p>
          <w:p w14:paraId="4C736AEA">
            <w:pPr>
              <w:pStyle w:val="116"/>
              <w:keepNext w:val="0"/>
              <w:keepLines w:val="0"/>
              <w:pageBreakBefore w:val="0"/>
              <w:widowControl w:val="0"/>
              <w:numPr>
                <w:ilvl w:val="0"/>
                <w:numId w:val="0"/>
              </w:numPr>
              <w:tabs>
                <w:tab w:val="left" w:pos="709"/>
              </w:tabs>
              <w:kinsoku/>
              <w:wordWrap/>
              <w:overflowPunct/>
              <w:topLinePunct w:val="0"/>
              <w:autoSpaceDE/>
              <w:autoSpaceDN/>
              <w:bidi w:val="0"/>
              <w:spacing w:before="4" w:after="0" w:line="240" w:lineRule="exact"/>
              <w:ind w:right="174" w:rightChars="0"/>
              <w:jc w:val="left"/>
              <w:textAlignment w:val="auto"/>
              <w:rPr>
                <w:rFonts w:hint="eastAsia" w:ascii="宋体" w:hAnsi="宋体" w:eastAsia="宋体" w:cs="宋体"/>
                <w:color w:val="000000"/>
                <w:spacing w:val="-1"/>
                <w:sz w:val="21"/>
                <w:szCs w:val="21"/>
                <w:highlight w:val="none"/>
                <w:lang w:eastAsia="zh-CN"/>
              </w:rPr>
            </w:pPr>
            <w:r>
              <w:rPr>
                <w:rFonts w:hint="eastAsia" w:ascii="宋体" w:hAnsi="宋体" w:eastAsia="宋体" w:cs="宋体"/>
                <w:color w:val="000000"/>
                <w:spacing w:val="-1"/>
                <w:sz w:val="21"/>
                <w:szCs w:val="21"/>
                <w:highlight w:val="none"/>
                <w:lang w:eastAsia="zh-CN"/>
              </w:rPr>
              <w:t>3、供应商实体店服务人员为10人的得</w:t>
            </w:r>
            <w:r>
              <w:rPr>
                <w:rFonts w:hint="eastAsia" w:ascii="宋体" w:hAnsi="宋体" w:eastAsia="宋体" w:cs="宋体"/>
                <w:color w:val="000000"/>
                <w:spacing w:val="-1"/>
                <w:sz w:val="21"/>
                <w:szCs w:val="21"/>
                <w:highlight w:val="none"/>
                <w:lang w:val="en-US" w:eastAsia="zh-CN"/>
              </w:rPr>
              <w:t>7</w:t>
            </w:r>
            <w:r>
              <w:rPr>
                <w:rFonts w:hint="eastAsia" w:ascii="宋体" w:hAnsi="宋体" w:eastAsia="宋体" w:cs="宋体"/>
                <w:color w:val="000000"/>
                <w:spacing w:val="-1"/>
                <w:sz w:val="21"/>
                <w:szCs w:val="21"/>
                <w:highlight w:val="none"/>
                <w:lang w:eastAsia="zh-CN"/>
              </w:rPr>
              <w:t>分</w:t>
            </w:r>
            <w:r>
              <w:rPr>
                <w:rFonts w:hint="eastAsia" w:cs="宋体"/>
                <w:color w:val="000000"/>
                <w:spacing w:val="-1"/>
                <w:sz w:val="21"/>
                <w:szCs w:val="21"/>
                <w:highlight w:val="none"/>
                <w:lang w:eastAsia="zh-CN"/>
              </w:rPr>
              <w:t>；</w:t>
            </w:r>
            <w:r>
              <w:rPr>
                <w:rFonts w:hint="eastAsia" w:ascii="宋体" w:hAnsi="宋体" w:eastAsia="宋体" w:cs="宋体"/>
                <w:color w:val="000000"/>
                <w:spacing w:val="-1"/>
                <w:sz w:val="21"/>
                <w:szCs w:val="21"/>
                <w:highlight w:val="none"/>
                <w:lang w:eastAsia="zh-CN"/>
              </w:rPr>
              <w:t>每增加 1 人得0.5 分，最多得 7 分，本项满分</w:t>
            </w:r>
            <w:r>
              <w:rPr>
                <w:rFonts w:hint="eastAsia" w:ascii="宋体" w:hAnsi="宋体" w:eastAsia="宋体" w:cs="宋体"/>
                <w:color w:val="000000"/>
                <w:spacing w:val="-1"/>
                <w:sz w:val="21"/>
                <w:szCs w:val="21"/>
                <w:highlight w:val="none"/>
                <w:lang w:val="en-US" w:eastAsia="zh-CN"/>
              </w:rPr>
              <w:t>14</w:t>
            </w:r>
            <w:r>
              <w:rPr>
                <w:rFonts w:hint="eastAsia" w:ascii="宋体" w:hAnsi="宋体" w:eastAsia="宋体" w:cs="宋体"/>
                <w:color w:val="000000"/>
                <w:spacing w:val="-1"/>
                <w:sz w:val="21"/>
                <w:szCs w:val="21"/>
                <w:highlight w:val="none"/>
                <w:lang w:eastAsia="zh-CN"/>
              </w:rPr>
              <w:t>分。</w:t>
            </w:r>
          </w:p>
          <w:p w14:paraId="65999DBB">
            <w:pPr>
              <w:pStyle w:val="116"/>
              <w:keepNext w:val="0"/>
              <w:keepLines w:val="0"/>
              <w:pageBreakBefore w:val="0"/>
              <w:widowControl w:val="0"/>
              <w:kinsoku/>
              <w:wordWrap/>
              <w:overflowPunct/>
              <w:topLinePunct w:val="0"/>
              <w:autoSpaceDE/>
              <w:autoSpaceDN/>
              <w:bidi w:val="0"/>
              <w:spacing w:before="2" w:line="240" w:lineRule="exact"/>
              <w:ind w:left="107" w:right="38"/>
              <w:textAlignment w:val="auto"/>
              <w:rPr>
                <w:rFonts w:hint="eastAsia" w:ascii="宋体" w:hAnsi="宋体" w:eastAsia="宋体" w:cs="宋体"/>
                <w:sz w:val="21"/>
                <w:szCs w:val="21"/>
                <w:highlight w:val="none"/>
                <w:lang w:val="en-US" w:eastAsia="zh-CN"/>
              </w:rPr>
            </w:pPr>
            <w:r>
              <w:rPr>
                <w:rFonts w:ascii="宋体" w:hAnsi="宋体" w:cs="宋体"/>
                <w:b/>
                <w:bCs/>
                <w:color w:val="auto"/>
                <w:sz w:val="22"/>
                <w:szCs w:val="22"/>
              </w:rPr>
              <w:t>注:上述从业人员需提供相关劳动合同、资格证书</w:t>
            </w:r>
            <w:r>
              <w:rPr>
                <w:rFonts w:hint="eastAsia" w:ascii="宋体" w:hAnsi="宋体" w:cs="宋体"/>
                <w:b/>
                <w:bCs/>
                <w:color w:val="auto"/>
                <w:sz w:val="22"/>
                <w:szCs w:val="22"/>
                <w:lang w:eastAsia="zh-CN"/>
              </w:rPr>
              <w:t>（</w:t>
            </w:r>
            <w:r>
              <w:rPr>
                <w:rFonts w:ascii="宋体" w:hAnsi="宋体" w:cs="宋体"/>
                <w:b/>
                <w:bCs/>
                <w:color w:val="auto"/>
                <w:sz w:val="22"/>
                <w:szCs w:val="22"/>
              </w:rPr>
              <w:t>或培训证书</w:t>
            </w:r>
            <w:r>
              <w:rPr>
                <w:rFonts w:hint="eastAsia" w:ascii="宋体" w:hAnsi="宋体" w:cs="宋体"/>
                <w:b/>
                <w:bCs/>
                <w:color w:val="auto"/>
                <w:sz w:val="22"/>
                <w:szCs w:val="22"/>
                <w:lang w:eastAsia="zh-CN"/>
              </w:rPr>
              <w:t>）</w:t>
            </w:r>
            <w:r>
              <w:rPr>
                <w:rFonts w:hint="eastAsia" w:ascii="宋体" w:hAnsi="宋体" w:cs="宋体"/>
                <w:b/>
                <w:bCs/>
                <w:color w:val="auto"/>
                <w:sz w:val="22"/>
                <w:szCs w:val="22"/>
              </w:rPr>
              <w:t>、</w:t>
            </w:r>
            <w:r>
              <w:rPr>
                <w:b/>
                <w:color w:val="auto"/>
                <w:sz w:val="22"/>
                <w:szCs w:val="22"/>
              </w:rPr>
              <w:t>健康证明</w:t>
            </w:r>
            <w:r>
              <w:rPr>
                <w:rFonts w:ascii="宋体" w:hAnsi="宋体" w:cs="宋体"/>
                <w:b/>
                <w:bCs/>
                <w:color w:val="auto"/>
                <w:sz w:val="22"/>
                <w:szCs w:val="22"/>
              </w:rPr>
              <w:t>，以及所在餐饮公司半年以上工资发放名册等。合同中不能反映项目负责人等人员详细信息的，以发包人出具的证明材料为准。</w:t>
            </w:r>
          </w:p>
        </w:tc>
        <w:tc>
          <w:tcPr>
            <w:tcW w:w="913" w:type="dxa"/>
            <w:noWrap w:val="0"/>
            <w:vAlign w:val="center"/>
          </w:tcPr>
          <w:p w14:paraId="1901C365">
            <w:pPr>
              <w:pStyle w:val="116"/>
              <w:keepNext w:val="0"/>
              <w:keepLines w:val="0"/>
              <w:pageBreakBefore w:val="0"/>
              <w:widowControl w:val="0"/>
              <w:kinsoku/>
              <w:wordWrap/>
              <w:overflowPunct/>
              <w:topLinePunct w:val="0"/>
              <w:autoSpaceDE/>
              <w:autoSpaceDN/>
              <w:bidi w:val="0"/>
              <w:adjustRightInd w:val="0"/>
              <w:snapToGrid w:val="0"/>
              <w:spacing w:line="240" w:lineRule="exact"/>
              <w:ind w:left="0" w:right="0"/>
              <w:jc w:val="center"/>
              <w:textAlignment w:val="auto"/>
              <w:rPr>
                <w:rFonts w:hint="eastAsia" w:ascii="宋体" w:hAnsi="宋体" w:eastAsia="宋体" w:cs="宋体"/>
                <w:sz w:val="21"/>
                <w:szCs w:val="21"/>
                <w:highlight w:val="none"/>
              </w:rPr>
            </w:pPr>
            <w:r>
              <w:rPr>
                <w:rFonts w:hint="eastAsia" w:eastAsia="宋体" w:cs="宋体"/>
                <w:color w:val="000000"/>
                <w:sz w:val="21"/>
                <w:szCs w:val="21"/>
                <w:highlight w:val="none"/>
                <w:lang w:val="en-US" w:eastAsia="zh-CN"/>
              </w:rPr>
              <w:t>25</w:t>
            </w:r>
            <w:r>
              <w:rPr>
                <w:rFonts w:hint="eastAsia" w:ascii="宋体" w:hAnsi="宋体" w:eastAsia="宋体" w:cs="宋体"/>
                <w:color w:val="000000"/>
                <w:sz w:val="21"/>
                <w:szCs w:val="21"/>
                <w:highlight w:val="none"/>
              </w:rPr>
              <w:t>分</w:t>
            </w:r>
          </w:p>
        </w:tc>
      </w:tr>
      <w:tr w14:paraId="6515DD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2083" w:type="dxa"/>
            <w:gridSpan w:val="2"/>
            <w:noWrap w:val="0"/>
            <w:vAlign w:val="center"/>
          </w:tcPr>
          <w:p w14:paraId="651D6F62">
            <w:pPr>
              <w:pStyle w:val="116"/>
              <w:keepNext w:val="0"/>
              <w:keepLines w:val="0"/>
              <w:pageBreakBefore w:val="0"/>
              <w:widowControl w:val="0"/>
              <w:numPr>
                <w:ilvl w:val="0"/>
                <w:numId w:val="0"/>
              </w:numPr>
              <w:tabs>
                <w:tab w:val="left" w:pos="709"/>
              </w:tabs>
              <w:kinsoku/>
              <w:wordWrap/>
              <w:overflowPunct/>
              <w:topLinePunct w:val="0"/>
              <w:autoSpaceDE/>
              <w:autoSpaceDN/>
              <w:bidi w:val="0"/>
              <w:spacing w:before="4" w:after="0" w:line="240" w:lineRule="exact"/>
              <w:ind w:right="174" w:rightChars="0"/>
              <w:jc w:val="center"/>
              <w:textAlignment w:val="auto"/>
              <w:rPr>
                <w:rFonts w:hint="eastAsia" w:ascii="宋体" w:hAnsi="宋体" w:eastAsia="宋体" w:cs="宋体"/>
                <w:color w:val="000000"/>
                <w:spacing w:val="-1"/>
                <w:sz w:val="21"/>
                <w:szCs w:val="21"/>
                <w:highlight w:val="none"/>
                <w:lang w:eastAsia="zh-CN"/>
              </w:rPr>
            </w:pPr>
            <w:r>
              <w:rPr>
                <w:rFonts w:hint="eastAsia" w:ascii="宋体" w:hAnsi="宋体" w:eastAsia="宋体" w:cs="宋体"/>
                <w:color w:val="000000"/>
                <w:spacing w:val="-1"/>
                <w:sz w:val="21"/>
                <w:szCs w:val="21"/>
                <w:highlight w:val="none"/>
                <w:lang w:eastAsia="zh-CN"/>
              </w:rPr>
              <w:t>投标人经营场所实地现场考核</w:t>
            </w:r>
          </w:p>
          <w:p w14:paraId="3DC4869A">
            <w:pPr>
              <w:pStyle w:val="116"/>
              <w:keepNext w:val="0"/>
              <w:keepLines w:val="0"/>
              <w:pageBreakBefore w:val="0"/>
              <w:widowControl w:val="0"/>
              <w:numPr>
                <w:ilvl w:val="0"/>
                <w:numId w:val="0"/>
              </w:numPr>
              <w:tabs>
                <w:tab w:val="left" w:pos="709"/>
              </w:tabs>
              <w:kinsoku/>
              <w:wordWrap/>
              <w:overflowPunct/>
              <w:topLinePunct w:val="0"/>
              <w:autoSpaceDE/>
              <w:autoSpaceDN/>
              <w:bidi w:val="0"/>
              <w:spacing w:before="4" w:after="0" w:line="240" w:lineRule="exact"/>
              <w:ind w:right="174" w:rightChars="0"/>
              <w:jc w:val="center"/>
              <w:textAlignment w:val="auto"/>
              <w:rPr>
                <w:rFonts w:hint="eastAsia" w:ascii="宋体" w:hAnsi="宋体" w:eastAsia="宋体" w:cs="宋体"/>
                <w:color w:val="000000"/>
                <w:spacing w:val="-1"/>
                <w:sz w:val="21"/>
                <w:szCs w:val="21"/>
                <w:highlight w:val="none"/>
                <w:lang w:val="en-US" w:eastAsia="zh-CN"/>
              </w:rPr>
            </w:pPr>
            <w:r>
              <w:rPr>
                <w:rFonts w:hint="eastAsia" w:cs="宋体"/>
                <w:color w:val="000000"/>
                <w:spacing w:val="-1"/>
                <w:sz w:val="21"/>
                <w:szCs w:val="21"/>
                <w:highlight w:val="none"/>
                <w:lang w:eastAsia="zh-CN"/>
              </w:rPr>
              <w:t>（</w:t>
            </w:r>
            <w:r>
              <w:rPr>
                <w:rFonts w:hint="eastAsia" w:cs="宋体"/>
                <w:color w:val="000000"/>
                <w:spacing w:val="-1"/>
                <w:sz w:val="21"/>
                <w:szCs w:val="21"/>
                <w:highlight w:val="none"/>
                <w:lang w:val="en-US" w:eastAsia="zh-CN"/>
              </w:rPr>
              <w:t>由监督人员带领评审小组现场打分</w:t>
            </w:r>
            <w:r>
              <w:rPr>
                <w:rFonts w:hint="eastAsia" w:cs="宋体"/>
                <w:color w:val="000000"/>
                <w:spacing w:val="-1"/>
                <w:sz w:val="21"/>
                <w:szCs w:val="21"/>
                <w:highlight w:val="none"/>
                <w:lang w:eastAsia="zh-CN"/>
              </w:rPr>
              <w:t>）</w:t>
            </w:r>
          </w:p>
        </w:tc>
        <w:tc>
          <w:tcPr>
            <w:tcW w:w="6750" w:type="dxa"/>
            <w:noWrap w:val="0"/>
            <w:vAlign w:val="top"/>
          </w:tcPr>
          <w:p w14:paraId="1B12B020">
            <w:pPr>
              <w:pStyle w:val="116"/>
              <w:keepNext w:val="0"/>
              <w:keepLines w:val="0"/>
              <w:pageBreakBefore w:val="0"/>
              <w:widowControl w:val="0"/>
              <w:numPr>
                <w:ilvl w:val="0"/>
                <w:numId w:val="0"/>
              </w:numPr>
              <w:tabs>
                <w:tab w:val="left" w:pos="709"/>
              </w:tabs>
              <w:kinsoku/>
              <w:wordWrap/>
              <w:overflowPunct/>
              <w:topLinePunct w:val="0"/>
              <w:autoSpaceDE/>
              <w:autoSpaceDN/>
              <w:bidi w:val="0"/>
              <w:spacing w:before="4" w:after="0" w:line="240" w:lineRule="exact"/>
              <w:ind w:right="174" w:rightChars="0"/>
              <w:jc w:val="left"/>
              <w:textAlignment w:val="auto"/>
              <w:rPr>
                <w:rFonts w:hint="eastAsia" w:ascii="宋体" w:hAnsi="宋体" w:eastAsia="宋体" w:cs="宋体"/>
                <w:color w:val="000000"/>
                <w:spacing w:val="-1"/>
                <w:sz w:val="21"/>
                <w:szCs w:val="21"/>
                <w:highlight w:val="none"/>
                <w:lang w:eastAsia="zh-CN"/>
              </w:rPr>
            </w:pPr>
            <w:r>
              <w:rPr>
                <w:rFonts w:hint="eastAsia" w:ascii="宋体" w:hAnsi="宋体" w:eastAsia="宋体" w:cs="宋体"/>
                <w:color w:val="000000"/>
                <w:spacing w:val="-1"/>
                <w:sz w:val="21"/>
                <w:szCs w:val="21"/>
                <w:highlight w:val="none"/>
                <w:lang w:val="en-US" w:eastAsia="zh-CN"/>
              </w:rPr>
              <w:t>1、</w:t>
            </w:r>
            <w:r>
              <w:rPr>
                <w:rFonts w:hint="eastAsia" w:ascii="宋体" w:hAnsi="宋体" w:eastAsia="宋体" w:cs="宋体"/>
                <w:color w:val="000000"/>
                <w:spacing w:val="-1"/>
                <w:sz w:val="21"/>
                <w:szCs w:val="21"/>
                <w:highlight w:val="none"/>
                <w:lang w:eastAsia="zh-CN"/>
              </w:rPr>
              <w:t>证照公示、健康证上墙，台账完整（</w:t>
            </w:r>
            <w:r>
              <w:rPr>
                <w:rFonts w:hint="eastAsia" w:cs="宋体"/>
                <w:color w:val="000000"/>
                <w:spacing w:val="-1"/>
                <w:sz w:val="21"/>
                <w:szCs w:val="21"/>
                <w:highlight w:val="none"/>
                <w:lang w:val="en-US" w:eastAsia="zh-CN"/>
              </w:rPr>
              <w:t>5</w:t>
            </w:r>
            <w:r>
              <w:rPr>
                <w:rFonts w:hint="eastAsia" w:ascii="宋体" w:hAnsi="宋体" w:eastAsia="宋体" w:cs="宋体"/>
                <w:color w:val="000000"/>
                <w:spacing w:val="-1"/>
                <w:sz w:val="21"/>
                <w:szCs w:val="21"/>
                <w:highlight w:val="none"/>
                <w:lang w:eastAsia="zh-CN"/>
              </w:rPr>
              <w:t>分）</w:t>
            </w:r>
          </w:p>
          <w:p w14:paraId="1011217B">
            <w:pPr>
              <w:pStyle w:val="116"/>
              <w:keepNext w:val="0"/>
              <w:keepLines w:val="0"/>
              <w:pageBreakBefore w:val="0"/>
              <w:widowControl w:val="0"/>
              <w:numPr>
                <w:ilvl w:val="0"/>
                <w:numId w:val="0"/>
              </w:numPr>
              <w:tabs>
                <w:tab w:val="left" w:pos="709"/>
              </w:tabs>
              <w:kinsoku/>
              <w:wordWrap/>
              <w:overflowPunct/>
              <w:topLinePunct w:val="0"/>
              <w:autoSpaceDE/>
              <w:autoSpaceDN/>
              <w:bidi w:val="0"/>
              <w:spacing w:before="4" w:after="0" w:line="240" w:lineRule="exact"/>
              <w:ind w:right="174" w:rightChars="0"/>
              <w:jc w:val="left"/>
              <w:textAlignment w:val="auto"/>
              <w:rPr>
                <w:rFonts w:hint="eastAsia" w:ascii="宋体" w:hAnsi="宋体" w:eastAsia="宋体" w:cs="宋体"/>
                <w:color w:val="000000"/>
                <w:spacing w:val="-1"/>
                <w:sz w:val="21"/>
                <w:szCs w:val="21"/>
                <w:highlight w:val="none"/>
                <w:lang w:eastAsia="zh-CN"/>
              </w:rPr>
            </w:pPr>
            <w:r>
              <w:rPr>
                <w:rFonts w:hint="eastAsia" w:ascii="宋体" w:hAnsi="宋体" w:eastAsia="宋体" w:cs="宋体"/>
                <w:color w:val="000000"/>
                <w:spacing w:val="-1"/>
                <w:sz w:val="21"/>
                <w:szCs w:val="21"/>
                <w:highlight w:val="none"/>
                <w:lang w:eastAsia="zh-CN"/>
              </w:rPr>
              <w:t>证照齐全公示、进货台账、消毒记录、留样记录完整3</w:t>
            </w:r>
            <w:r>
              <w:rPr>
                <w:rFonts w:hint="eastAsia" w:ascii="宋体" w:hAnsi="宋体" w:eastAsia="宋体" w:cs="宋体"/>
                <w:color w:val="000000"/>
                <w:spacing w:val="-1"/>
                <w:sz w:val="21"/>
                <w:szCs w:val="21"/>
                <w:highlight w:val="none"/>
                <w:lang w:val="en-US" w:eastAsia="zh-CN"/>
              </w:rPr>
              <w:t>-</w:t>
            </w:r>
            <w:r>
              <w:rPr>
                <w:rFonts w:hint="eastAsia" w:cs="宋体"/>
                <w:color w:val="000000"/>
                <w:spacing w:val="-1"/>
                <w:sz w:val="21"/>
                <w:szCs w:val="21"/>
                <w:highlight w:val="none"/>
                <w:lang w:val="en-US" w:eastAsia="zh-CN"/>
              </w:rPr>
              <w:t>5</w:t>
            </w:r>
            <w:r>
              <w:rPr>
                <w:rFonts w:hint="eastAsia" w:ascii="宋体" w:hAnsi="宋体" w:eastAsia="宋体" w:cs="宋体"/>
                <w:color w:val="000000"/>
                <w:spacing w:val="-1"/>
                <w:sz w:val="21"/>
                <w:szCs w:val="21"/>
                <w:highlight w:val="none"/>
                <w:lang w:eastAsia="zh-CN"/>
              </w:rPr>
              <w:t>分；部分缺失</w:t>
            </w:r>
            <w:r>
              <w:rPr>
                <w:rFonts w:hint="eastAsia" w:ascii="宋体" w:hAnsi="宋体" w:eastAsia="宋体" w:cs="宋体"/>
                <w:color w:val="000000"/>
                <w:spacing w:val="-1"/>
                <w:sz w:val="21"/>
                <w:szCs w:val="21"/>
                <w:highlight w:val="none"/>
                <w:lang w:val="en-US" w:eastAsia="zh-CN"/>
              </w:rPr>
              <w:t>1-</w:t>
            </w:r>
            <w:r>
              <w:rPr>
                <w:rFonts w:hint="eastAsia" w:cs="宋体"/>
                <w:color w:val="000000"/>
                <w:spacing w:val="-1"/>
                <w:sz w:val="21"/>
                <w:szCs w:val="21"/>
                <w:highlight w:val="none"/>
                <w:lang w:val="en-US" w:eastAsia="zh-CN"/>
              </w:rPr>
              <w:t>3</w:t>
            </w:r>
            <w:r>
              <w:rPr>
                <w:rFonts w:hint="eastAsia" w:ascii="宋体" w:hAnsi="宋体" w:eastAsia="宋体" w:cs="宋体"/>
                <w:color w:val="000000"/>
                <w:spacing w:val="-1"/>
                <w:sz w:val="21"/>
                <w:szCs w:val="21"/>
                <w:highlight w:val="none"/>
                <w:lang w:eastAsia="zh-CN"/>
              </w:rPr>
              <w:t>分；无台账0分。</w:t>
            </w:r>
          </w:p>
          <w:p w14:paraId="76B86DFE">
            <w:pPr>
              <w:pStyle w:val="116"/>
              <w:keepNext w:val="0"/>
              <w:keepLines w:val="0"/>
              <w:pageBreakBefore w:val="0"/>
              <w:widowControl w:val="0"/>
              <w:numPr>
                <w:ilvl w:val="0"/>
                <w:numId w:val="0"/>
              </w:numPr>
              <w:tabs>
                <w:tab w:val="left" w:pos="709"/>
              </w:tabs>
              <w:kinsoku/>
              <w:wordWrap/>
              <w:overflowPunct/>
              <w:topLinePunct w:val="0"/>
              <w:autoSpaceDE/>
              <w:autoSpaceDN/>
              <w:bidi w:val="0"/>
              <w:spacing w:before="4" w:after="0" w:line="240" w:lineRule="exact"/>
              <w:ind w:right="174" w:rightChars="0"/>
              <w:jc w:val="left"/>
              <w:textAlignment w:val="auto"/>
              <w:rPr>
                <w:rFonts w:hint="eastAsia" w:ascii="宋体" w:hAnsi="宋体" w:eastAsia="宋体" w:cs="宋体"/>
                <w:color w:val="000000"/>
                <w:spacing w:val="-1"/>
                <w:sz w:val="21"/>
                <w:szCs w:val="21"/>
                <w:highlight w:val="none"/>
                <w:lang w:eastAsia="zh-CN"/>
              </w:rPr>
            </w:pPr>
            <w:r>
              <w:rPr>
                <w:rFonts w:hint="eastAsia" w:ascii="宋体" w:hAnsi="宋体" w:eastAsia="宋体" w:cs="宋体"/>
                <w:color w:val="000000"/>
                <w:spacing w:val="-1"/>
                <w:sz w:val="21"/>
                <w:szCs w:val="21"/>
                <w:highlight w:val="none"/>
                <w:lang w:val="en-US" w:eastAsia="zh-CN"/>
              </w:rPr>
              <w:t>2、</w:t>
            </w:r>
            <w:r>
              <w:rPr>
                <w:rFonts w:hint="eastAsia" w:ascii="宋体" w:hAnsi="宋体" w:eastAsia="宋体" w:cs="宋体"/>
                <w:color w:val="000000"/>
                <w:spacing w:val="-1"/>
                <w:sz w:val="21"/>
                <w:szCs w:val="21"/>
                <w:highlight w:val="none"/>
                <w:lang w:eastAsia="zh-CN"/>
              </w:rPr>
              <w:t>后厨布局、生熟分区、色标管理、三防设施到位（</w:t>
            </w:r>
            <w:r>
              <w:rPr>
                <w:rFonts w:hint="eastAsia" w:cs="宋体"/>
                <w:color w:val="000000"/>
                <w:spacing w:val="-1"/>
                <w:sz w:val="21"/>
                <w:szCs w:val="21"/>
                <w:highlight w:val="none"/>
                <w:lang w:val="en-US" w:eastAsia="zh-CN"/>
              </w:rPr>
              <w:t>5</w:t>
            </w:r>
            <w:r>
              <w:rPr>
                <w:rFonts w:hint="eastAsia" w:ascii="宋体" w:hAnsi="宋体" w:eastAsia="宋体" w:cs="宋体"/>
                <w:color w:val="000000"/>
                <w:spacing w:val="-1"/>
                <w:sz w:val="21"/>
                <w:szCs w:val="21"/>
                <w:highlight w:val="none"/>
                <w:lang w:eastAsia="zh-CN"/>
              </w:rPr>
              <w:t>分）</w:t>
            </w:r>
          </w:p>
          <w:p w14:paraId="6B21D644">
            <w:pPr>
              <w:pStyle w:val="116"/>
              <w:keepNext w:val="0"/>
              <w:keepLines w:val="0"/>
              <w:pageBreakBefore w:val="0"/>
              <w:widowControl w:val="0"/>
              <w:numPr>
                <w:ilvl w:val="0"/>
                <w:numId w:val="0"/>
              </w:numPr>
              <w:tabs>
                <w:tab w:val="left" w:pos="709"/>
              </w:tabs>
              <w:kinsoku/>
              <w:wordWrap/>
              <w:overflowPunct/>
              <w:topLinePunct w:val="0"/>
              <w:autoSpaceDE/>
              <w:autoSpaceDN/>
              <w:bidi w:val="0"/>
              <w:spacing w:before="4" w:after="0" w:line="240" w:lineRule="exact"/>
              <w:ind w:right="174" w:rightChars="0"/>
              <w:jc w:val="left"/>
              <w:textAlignment w:val="auto"/>
              <w:rPr>
                <w:rFonts w:hint="eastAsia" w:ascii="宋体" w:hAnsi="宋体" w:eastAsia="宋体" w:cs="宋体"/>
                <w:color w:val="000000"/>
                <w:spacing w:val="-1"/>
                <w:sz w:val="21"/>
                <w:szCs w:val="21"/>
                <w:highlight w:val="none"/>
                <w:lang w:eastAsia="zh-CN"/>
              </w:rPr>
            </w:pPr>
            <w:r>
              <w:rPr>
                <w:rFonts w:hint="eastAsia" w:ascii="宋体" w:hAnsi="宋体" w:eastAsia="宋体" w:cs="宋体"/>
                <w:color w:val="000000"/>
                <w:spacing w:val="-1"/>
                <w:sz w:val="21"/>
                <w:szCs w:val="21"/>
                <w:highlight w:val="none"/>
                <w:lang w:eastAsia="zh-CN"/>
              </w:rPr>
              <w:t>分区清晰、三防齐全3</w:t>
            </w:r>
            <w:r>
              <w:rPr>
                <w:rFonts w:hint="eastAsia" w:ascii="宋体" w:hAnsi="宋体" w:eastAsia="宋体" w:cs="宋体"/>
                <w:color w:val="000000"/>
                <w:spacing w:val="-1"/>
                <w:sz w:val="21"/>
                <w:szCs w:val="21"/>
                <w:highlight w:val="none"/>
                <w:lang w:val="en-US" w:eastAsia="zh-CN"/>
              </w:rPr>
              <w:t>-</w:t>
            </w:r>
            <w:r>
              <w:rPr>
                <w:rFonts w:hint="eastAsia" w:cs="宋体"/>
                <w:color w:val="000000"/>
                <w:spacing w:val="-1"/>
                <w:sz w:val="21"/>
                <w:szCs w:val="21"/>
                <w:highlight w:val="none"/>
                <w:lang w:val="en-US" w:eastAsia="zh-CN"/>
              </w:rPr>
              <w:t>5</w:t>
            </w:r>
            <w:r>
              <w:rPr>
                <w:rFonts w:hint="eastAsia" w:ascii="宋体" w:hAnsi="宋体" w:eastAsia="宋体" w:cs="宋体"/>
                <w:color w:val="000000"/>
                <w:spacing w:val="-1"/>
                <w:sz w:val="21"/>
                <w:szCs w:val="21"/>
                <w:highlight w:val="none"/>
                <w:lang w:eastAsia="zh-CN"/>
              </w:rPr>
              <w:t>分；存在交叉污染隐患1</w:t>
            </w:r>
            <w:r>
              <w:rPr>
                <w:rFonts w:hint="eastAsia" w:ascii="宋体" w:hAnsi="宋体" w:eastAsia="宋体" w:cs="宋体"/>
                <w:color w:val="000000"/>
                <w:spacing w:val="-1"/>
                <w:sz w:val="21"/>
                <w:szCs w:val="21"/>
                <w:highlight w:val="none"/>
                <w:lang w:val="en-US" w:eastAsia="zh-CN"/>
              </w:rPr>
              <w:t>-</w:t>
            </w:r>
            <w:r>
              <w:rPr>
                <w:rFonts w:hint="eastAsia" w:cs="宋体"/>
                <w:color w:val="000000"/>
                <w:spacing w:val="-1"/>
                <w:sz w:val="21"/>
                <w:szCs w:val="21"/>
                <w:highlight w:val="none"/>
                <w:lang w:val="en-US" w:eastAsia="zh-CN"/>
              </w:rPr>
              <w:t>3</w:t>
            </w:r>
            <w:r>
              <w:rPr>
                <w:rFonts w:hint="eastAsia" w:ascii="宋体" w:hAnsi="宋体" w:eastAsia="宋体" w:cs="宋体"/>
                <w:color w:val="000000"/>
                <w:spacing w:val="-1"/>
                <w:sz w:val="21"/>
                <w:szCs w:val="21"/>
                <w:highlight w:val="none"/>
                <w:lang w:eastAsia="zh-CN"/>
              </w:rPr>
              <w:t>分；布局混乱0分。</w:t>
            </w:r>
          </w:p>
          <w:p w14:paraId="1DF1F1ED">
            <w:pPr>
              <w:pStyle w:val="116"/>
              <w:keepNext w:val="0"/>
              <w:keepLines w:val="0"/>
              <w:pageBreakBefore w:val="0"/>
              <w:widowControl w:val="0"/>
              <w:numPr>
                <w:ilvl w:val="0"/>
                <w:numId w:val="0"/>
              </w:numPr>
              <w:tabs>
                <w:tab w:val="left" w:pos="709"/>
              </w:tabs>
              <w:kinsoku/>
              <w:wordWrap/>
              <w:overflowPunct/>
              <w:topLinePunct w:val="0"/>
              <w:autoSpaceDE/>
              <w:autoSpaceDN/>
              <w:bidi w:val="0"/>
              <w:spacing w:before="4" w:after="0" w:line="240" w:lineRule="exact"/>
              <w:ind w:right="174" w:rightChars="0"/>
              <w:jc w:val="left"/>
              <w:textAlignment w:val="auto"/>
              <w:rPr>
                <w:rFonts w:hint="eastAsia" w:ascii="宋体" w:hAnsi="宋体" w:eastAsia="宋体" w:cs="宋体"/>
                <w:color w:val="000000"/>
                <w:spacing w:val="-1"/>
                <w:sz w:val="21"/>
                <w:szCs w:val="21"/>
                <w:highlight w:val="none"/>
                <w:lang w:eastAsia="zh-CN"/>
              </w:rPr>
            </w:pPr>
            <w:r>
              <w:rPr>
                <w:rFonts w:hint="eastAsia" w:ascii="宋体" w:hAnsi="宋体" w:eastAsia="宋体" w:cs="宋体"/>
                <w:color w:val="000000"/>
                <w:spacing w:val="-1"/>
                <w:sz w:val="21"/>
                <w:szCs w:val="21"/>
                <w:highlight w:val="none"/>
                <w:lang w:val="en-US" w:eastAsia="zh-CN"/>
              </w:rPr>
              <w:t>3、</w:t>
            </w:r>
            <w:r>
              <w:rPr>
                <w:rFonts w:hint="eastAsia" w:ascii="宋体" w:hAnsi="宋体" w:eastAsia="宋体" w:cs="宋体"/>
                <w:color w:val="000000"/>
                <w:spacing w:val="-1"/>
                <w:sz w:val="21"/>
                <w:szCs w:val="21"/>
                <w:highlight w:val="none"/>
                <w:lang w:eastAsia="zh-CN"/>
              </w:rPr>
              <w:t>环境卫生：地面、排烟、储物间、冰箱、保洁状况（</w:t>
            </w:r>
            <w:r>
              <w:rPr>
                <w:rFonts w:hint="eastAsia" w:cs="宋体"/>
                <w:color w:val="000000"/>
                <w:spacing w:val="-1"/>
                <w:sz w:val="21"/>
                <w:szCs w:val="21"/>
                <w:highlight w:val="none"/>
                <w:lang w:val="en-US" w:eastAsia="zh-CN"/>
              </w:rPr>
              <w:t>5</w:t>
            </w:r>
            <w:r>
              <w:rPr>
                <w:rFonts w:hint="eastAsia" w:ascii="宋体" w:hAnsi="宋体" w:eastAsia="宋体" w:cs="宋体"/>
                <w:color w:val="000000"/>
                <w:spacing w:val="-1"/>
                <w:sz w:val="21"/>
                <w:szCs w:val="21"/>
                <w:highlight w:val="none"/>
                <w:lang w:eastAsia="zh-CN"/>
              </w:rPr>
              <w:t>分）</w:t>
            </w:r>
          </w:p>
          <w:p w14:paraId="474E8726">
            <w:pPr>
              <w:pStyle w:val="116"/>
              <w:keepNext w:val="0"/>
              <w:keepLines w:val="0"/>
              <w:pageBreakBefore w:val="0"/>
              <w:widowControl w:val="0"/>
              <w:numPr>
                <w:ilvl w:val="0"/>
                <w:numId w:val="0"/>
              </w:numPr>
              <w:tabs>
                <w:tab w:val="left" w:pos="709"/>
              </w:tabs>
              <w:kinsoku/>
              <w:wordWrap/>
              <w:overflowPunct/>
              <w:topLinePunct w:val="0"/>
              <w:autoSpaceDE/>
              <w:autoSpaceDN/>
              <w:bidi w:val="0"/>
              <w:spacing w:before="4" w:after="0" w:line="240" w:lineRule="exact"/>
              <w:ind w:right="174" w:rightChars="0"/>
              <w:jc w:val="left"/>
              <w:textAlignment w:val="auto"/>
              <w:rPr>
                <w:rFonts w:hint="eastAsia" w:ascii="宋体" w:hAnsi="宋体" w:eastAsia="宋体" w:cs="宋体"/>
                <w:color w:val="000000"/>
                <w:spacing w:val="-1"/>
                <w:sz w:val="21"/>
                <w:szCs w:val="21"/>
                <w:highlight w:val="none"/>
                <w:lang w:eastAsia="zh-CN"/>
              </w:rPr>
            </w:pPr>
            <w:r>
              <w:rPr>
                <w:rFonts w:hint="eastAsia" w:ascii="宋体" w:hAnsi="宋体" w:eastAsia="宋体" w:cs="宋体"/>
                <w:color w:val="000000"/>
                <w:spacing w:val="-1"/>
                <w:sz w:val="21"/>
                <w:szCs w:val="21"/>
                <w:highlight w:val="none"/>
                <w:lang w:eastAsia="zh-CN"/>
              </w:rPr>
              <w:t>干净无油污无积水3</w:t>
            </w:r>
            <w:r>
              <w:rPr>
                <w:rFonts w:hint="eastAsia" w:ascii="宋体" w:hAnsi="宋体" w:eastAsia="宋体" w:cs="宋体"/>
                <w:color w:val="000000"/>
                <w:spacing w:val="-1"/>
                <w:sz w:val="21"/>
                <w:szCs w:val="21"/>
                <w:highlight w:val="none"/>
                <w:lang w:val="en-US" w:eastAsia="zh-CN"/>
              </w:rPr>
              <w:t>-</w:t>
            </w:r>
            <w:r>
              <w:rPr>
                <w:rFonts w:hint="eastAsia" w:cs="宋体"/>
                <w:color w:val="000000"/>
                <w:spacing w:val="-1"/>
                <w:sz w:val="21"/>
                <w:szCs w:val="21"/>
                <w:highlight w:val="none"/>
                <w:lang w:val="en-US" w:eastAsia="zh-CN"/>
              </w:rPr>
              <w:t>5</w:t>
            </w:r>
            <w:r>
              <w:rPr>
                <w:rFonts w:hint="eastAsia" w:ascii="宋体" w:hAnsi="宋体" w:eastAsia="宋体" w:cs="宋体"/>
                <w:color w:val="000000"/>
                <w:spacing w:val="-1"/>
                <w:sz w:val="21"/>
                <w:szCs w:val="21"/>
                <w:highlight w:val="none"/>
                <w:lang w:eastAsia="zh-CN"/>
              </w:rPr>
              <w:t>分；一般1</w:t>
            </w:r>
            <w:r>
              <w:rPr>
                <w:rFonts w:hint="eastAsia" w:ascii="宋体" w:hAnsi="宋体" w:eastAsia="宋体" w:cs="宋体"/>
                <w:color w:val="000000"/>
                <w:spacing w:val="-1"/>
                <w:sz w:val="21"/>
                <w:szCs w:val="21"/>
                <w:highlight w:val="none"/>
                <w:lang w:val="en-US" w:eastAsia="zh-CN"/>
              </w:rPr>
              <w:t>-</w:t>
            </w:r>
            <w:r>
              <w:rPr>
                <w:rFonts w:hint="eastAsia" w:cs="宋体"/>
                <w:color w:val="000000"/>
                <w:spacing w:val="-1"/>
                <w:sz w:val="21"/>
                <w:szCs w:val="21"/>
                <w:highlight w:val="none"/>
                <w:lang w:val="en-US" w:eastAsia="zh-CN"/>
              </w:rPr>
              <w:t>3</w:t>
            </w:r>
            <w:r>
              <w:rPr>
                <w:rFonts w:hint="eastAsia" w:ascii="宋体" w:hAnsi="宋体" w:eastAsia="宋体" w:cs="宋体"/>
                <w:color w:val="000000"/>
                <w:spacing w:val="-1"/>
                <w:sz w:val="21"/>
                <w:szCs w:val="21"/>
                <w:highlight w:val="none"/>
                <w:lang w:eastAsia="zh-CN"/>
              </w:rPr>
              <w:t>分；脏乱0分。</w:t>
            </w:r>
          </w:p>
          <w:p w14:paraId="025EE5AC">
            <w:pPr>
              <w:pStyle w:val="116"/>
              <w:keepNext w:val="0"/>
              <w:keepLines w:val="0"/>
              <w:pageBreakBefore w:val="0"/>
              <w:widowControl w:val="0"/>
              <w:numPr>
                <w:ilvl w:val="0"/>
                <w:numId w:val="0"/>
              </w:numPr>
              <w:tabs>
                <w:tab w:val="left" w:pos="709"/>
              </w:tabs>
              <w:kinsoku/>
              <w:wordWrap/>
              <w:overflowPunct/>
              <w:topLinePunct w:val="0"/>
              <w:autoSpaceDE/>
              <w:autoSpaceDN/>
              <w:bidi w:val="0"/>
              <w:spacing w:before="4" w:after="0" w:line="240" w:lineRule="exact"/>
              <w:ind w:right="174" w:rightChars="0"/>
              <w:jc w:val="left"/>
              <w:textAlignment w:val="auto"/>
              <w:rPr>
                <w:rFonts w:hint="eastAsia" w:ascii="宋体" w:hAnsi="宋体" w:eastAsia="宋体" w:cs="宋体"/>
                <w:color w:val="000000"/>
                <w:spacing w:val="-1"/>
                <w:sz w:val="21"/>
                <w:szCs w:val="21"/>
                <w:highlight w:val="none"/>
                <w:lang w:val="en-US" w:eastAsia="zh-CN"/>
              </w:rPr>
            </w:pPr>
            <w:r>
              <w:rPr>
                <w:rFonts w:hint="eastAsia" w:ascii="宋体" w:hAnsi="宋体" w:eastAsia="宋体" w:cs="宋体"/>
                <w:color w:val="000000"/>
                <w:spacing w:val="-1"/>
                <w:sz w:val="21"/>
                <w:szCs w:val="21"/>
                <w:highlight w:val="none"/>
                <w:lang w:val="en-US" w:eastAsia="zh-CN"/>
              </w:rPr>
              <w:t xml:space="preserve">4、餐具清洗、高温消毒、保洁存放落实情况（5分） </w:t>
            </w:r>
          </w:p>
          <w:p w14:paraId="0C7E5D48">
            <w:pPr>
              <w:pStyle w:val="116"/>
              <w:keepNext w:val="0"/>
              <w:keepLines w:val="0"/>
              <w:pageBreakBefore w:val="0"/>
              <w:widowControl w:val="0"/>
              <w:numPr>
                <w:ilvl w:val="0"/>
                <w:numId w:val="0"/>
              </w:numPr>
              <w:tabs>
                <w:tab w:val="left" w:pos="709"/>
              </w:tabs>
              <w:kinsoku/>
              <w:wordWrap/>
              <w:overflowPunct/>
              <w:topLinePunct w:val="0"/>
              <w:autoSpaceDE/>
              <w:autoSpaceDN/>
              <w:bidi w:val="0"/>
              <w:spacing w:before="4" w:after="0" w:line="240" w:lineRule="exact"/>
              <w:ind w:right="174" w:rightChars="0"/>
              <w:jc w:val="left"/>
              <w:textAlignment w:val="auto"/>
              <w:rPr>
                <w:rFonts w:hint="eastAsia" w:ascii="宋体" w:hAnsi="宋体" w:eastAsia="宋体" w:cs="宋体"/>
                <w:color w:val="000000"/>
                <w:spacing w:val="-1"/>
                <w:sz w:val="21"/>
                <w:szCs w:val="21"/>
                <w:highlight w:val="none"/>
                <w:lang w:val="en-US" w:eastAsia="zh-CN"/>
              </w:rPr>
            </w:pPr>
            <w:r>
              <w:rPr>
                <w:rFonts w:hint="eastAsia" w:ascii="宋体" w:hAnsi="宋体" w:eastAsia="宋体" w:cs="宋体"/>
                <w:color w:val="000000"/>
                <w:spacing w:val="-1"/>
                <w:sz w:val="21"/>
                <w:szCs w:val="21"/>
                <w:highlight w:val="none"/>
                <w:lang w:val="en-US" w:eastAsia="zh-CN"/>
              </w:rPr>
              <w:t xml:space="preserve">流程规范，严格执行的得3-5分；流程完整，个别记录存在小瑕疵得1-3分；流程不全，缺少环节的得0-1分。 </w:t>
            </w:r>
          </w:p>
          <w:p w14:paraId="4D6B72AC">
            <w:pPr>
              <w:pStyle w:val="116"/>
              <w:keepNext w:val="0"/>
              <w:keepLines w:val="0"/>
              <w:pageBreakBefore w:val="0"/>
              <w:widowControl w:val="0"/>
              <w:numPr>
                <w:ilvl w:val="0"/>
                <w:numId w:val="0"/>
              </w:numPr>
              <w:tabs>
                <w:tab w:val="left" w:pos="709"/>
              </w:tabs>
              <w:kinsoku/>
              <w:wordWrap/>
              <w:overflowPunct/>
              <w:topLinePunct w:val="0"/>
              <w:autoSpaceDE/>
              <w:autoSpaceDN/>
              <w:bidi w:val="0"/>
              <w:spacing w:before="4" w:after="0" w:line="240" w:lineRule="exact"/>
              <w:ind w:right="174" w:rightChars="0"/>
              <w:jc w:val="left"/>
              <w:textAlignment w:val="auto"/>
              <w:rPr>
                <w:rFonts w:hint="eastAsia" w:ascii="宋体" w:hAnsi="宋体" w:eastAsia="宋体" w:cs="宋体"/>
                <w:color w:val="000000"/>
                <w:spacing w:val="-1"/>
                <w:sz w:val="21"/>
                <w:szCs w:val="21"/>
                <w:highlight w:val="none"/>
                <w:lang w:val="en-US" w:eastAsia="zh-CN"/>
              </w:rPr>
            </w:pPr>
            <w:r>
              <w:rPr>
                <w:rFonts w:hint="eastAsia" w:ascii="宋体" w:hAnsi="宋体" w:eastAsia="宋体" w:cs="宋体"/>
                <w:color w:val="000000"/>
                <w:spacing w:val="-1"/>
                <w:sz w:val="21"/>
                <w:szCs w:val="21"/>
                <w:highlight w:val="none"/>
                <w:lang w:val="en-US" w:eastAsia="zh-CN"/>
              </w:rPr>
              <w:t>5、菜品留样、冷藏冷冻温度管控、食材新鲜度（5分）</w:t>
            </w:r>
          </w:p>
          <w:p w14:paraId="6F1C43BB">
            <w:pPr>
              <w:pStyle w:val="116"/>
              <w:keepNext w:val="0"/>
              <w:keepLines w:val="0"/>
              <w:pageBreakBefore w:val="0"/>
              <w:widowControl w:val="0"/>
              <w:numPr>
                <w:ilvl w:val="0"/>
                <w:numId w:val="0"/>
              </w:numPr>
              <w:tabs>
                <w:tab w:val="left" w:pos="709"/>
              </w:tabs>
              <w:kinsoku/>
              <w:wordWrap/>
              <w:overflowPunct/>
              <w:topLinePunct w:val="0"/>
              <w:autoSpaceDE/>
              <w:autoSpaceDN/>
              <w:bidi w:val="0"/>
              <w:spacing w:before="4" w:after="0" w:line="240" w:lineRule="exact"/>
              <w:ind w:right="174" w:rightChars="0"/>
              <w:jc w:val="left"/>
              <w:textAlignment w:val="auto"/>
              <w:rPr>
                <w:rFonts w:hint="eastAsia" w:ascii="宋体" w:hAnsi="宋体" w:eastAsia="宋体" w:cs="宋体"/>
                <w:color w:val="000000"/>
                <w:spacing w:val="-1"/>
                <w:sz w:val="21"/>
                <w:szCs w:val="21"/>
                <w:highlight w:val="none"/>
                <w:lang w:val="en-US" w:eastAsia="zh-CN"/>
              </w:rPr>
            </w:pPr>
            <w:r>
              <w:rPr>
                <w:rFonts w:hint="eastAsia" w:ascii="宋体" w:hAnsi="宋体" w:eastAsia="宋体" w:cs="宋体"/>
                <w:color w:val="000000"/>
                <w:spacing w:val="-1"/>
                <w:sz w:val="21"/>
                <w:szCs w:val="21"/>
                <w:highlight w:val="none"/>
                <w:lang w:val="en-US" w:eastAsia="zh-CN"/>
              </w:rPr>
              <w:t>留样品种、数量、时间、记录全部合规，温度记录完整，食材新鲜，无过期变质，得3-5分；留样、温控、食材管理整体合规，但留样量或记录不完整；温度偶尔偏离标准，食材总体尚可得1-3分；</w:t>
            </w:r>
          </w:p>
          <w:p w14:paraId="422C8392">
            <w:pPr>
              <w:pStyle w:val="116"/>
              <w:keepNext w:val="0"/>
              <w:keepLines w:val="0"/>
              <w:pageBreakBefore w:val="0"/>
              <w:widowControl w:val="0"/>
              <w:numPr>
                <w:ilvl w:val="0"/>
                <w:numId w:val="0"/>
              </w:numPr>
              <w:tabs>
                <w:tab w:val="left" w:pos="709"/>
              </w:tabs>
              <w:kinsoku/>
              <w:wordWrap/>
              <w:overflowPunct/>
              <w:topLinePunct w:val="0"/>
              <w:autoSpaceDE/>
              <w:autoSpaceDN/>
              <w:bidi w:val="0"/>
              <w:spacing w:before="4" w:after="0" w:line="240" w:lineRule="exact"/>
              <w:ind w:right="174" w:rightChars="0"/>
              <w:jc w:val="left"/>
              <w:textAlignment w:val="auto"/>
              <w:rPr>
                <w:rFonts w:hint="eastAsia" w:ascii="宋体" w:hAnsi="宋体" w:eastAsia="宋体" w:cs="宋体"/>
                <w:color w:val="000000"/>
                <w:spacing w:val="-1"/>
                <w:sz w:val="21"/>
                <w:szCs w:val="21"/>
                <w:highlight w:val="none"/>
                <w:lang w:val="en-US" w:eastAsia="zh-CN"/>
              </w:rPr>
            </w:pPr>
            <w:r>
              <w:rPr>
                <w:rFonts w:hint="eastAsia" w:ascii="宋体" w:hAnsi="宋体" w:eastAsia="宋体" w:cs="宋体"/>
                <w:color w:val="000000"/>
                <w:spacing w:val="-1"/>
                <w:sz w:val="21"/>
                <w:szCs w:val="21"/>
                <w:highlight w:val="none"/>
                <w:lang w:val="en-US" w:eastAsia="zh-CN"/>
              </w:rPr>
              <w:t>存在缺陷，留样不齐全、温度管控不到位、部分食材品相不佳的得0-1分；</w:t>
            </w:r>
          </w:p>
          <w:p w14:paraId="6B6D507E">
            <w:pPr>
              <w:pStyle w:val="116"/>
              <w:keepNext w:val="0"/>
              <w:keepLines w:val="0"/>
              <w:pageBreakBefore w:val="0"/>
              <w:widowControl w:val="0"/>
              <w:numPr>
                <w:ilvl w:val="0"/>
                <w:numId w:val="0"/>
              </w:numPr>
              <w:tabs>
                <w:tab w:val="left" w:pos="709"/>
              </w:tabs>
              <w:kinsoku/>
              <w:wordWrap/>
              <w:overflowPunct/>
              <w:topLinePunct w:val="0"/>
              <w:autoSpaceDE/>
              <w:autoSpaceDN/>
              <w:bidi w:val="0"/>
              <w:spacing w:before="4" w:after="0" w:line="240" w:lineRule="exact"/>
              <w:ind w:right="174" w:rightChars="0"/>
              <w:jc w:val="left"/>
              <w:textAlignment w:val="auto"/>
              <w:rPr>
                <w:rFonts w:hint="eastAsia" w:ascii="宋体" w:hAnsi="宋体" w:eastAsia="宋体" w:cs="宋体"/>
                <w:color w:val="000000"/>
                <w:spacing w:val="-1"/>
                <w:sz w:val="21"/>
                <w:szCs w:val="21"/>
                <w:highlight w:val="none"/>
                <w:lang w:val="en-US" w:eastAsia="zh-CN"/>
              </w:rPr>
            </w:pPr>
            <w:r>
              <w:rPr>
                <w:rFonts w:hint="eastAsia" w:ascii="宋体" w:hAnsi="宋体" w:eastAsia="宋体" w:cs="宋体"/>
                <w:color w:val="000000"/>
                <w:spacing w:val="-1"/>
                <w:sz w:val="21"/>
                <w:szCs w:val="21"/>
                <w:highlight w:val="none"/>
                <w:lang w:val="en-US" w:eastAsia="zh-CN"/>
              </w:rPr>
              <w:t xml:space="preserve">6、人员着装、操作规范、卫生习惯（5分） </w:t>
            </w:r>
          </w:p>
          <w:p w14:paraId="4C832B26">
            <w:pPr>
              <w:pStyle w:val="116"/>
              <w:keepNext w:val="0"/>
              <w:keepLines w:val="0"/>
              <w:pageBreakBefore w:val="0"/>
              <w:widowControl w:val="0"/>
              <w:numPr>
                <w:ilvl w:val="0"/>
                <w:numId w:val="0"/>
              </w:numPr>
              <w:tabs>
                <w:tab w:val="left" w:pos="709"/>
              </w:tabs>
              <w:kinsoku/>
              <w:wordWrap/>
              <w:overflowPunct/>
              <w:topLinePunct w:val="0"/>
              <w:autoSpaceDE/>
              <w:autoSpaceDN/>
              <w:bidi w:val="0"/>
              <w:spacing w:before="4" w:after="0" w:line="240" w:lineRule="exact"/>
              <w:ind w:right="174" w:rightChars="0"/>
              <w:jc w:val="left"/>
              <w:textAlignment w:val="auto"/>
              <w:rPr>
                <w:rFonts w:hint="eastAsia" w:ascii="宋体" w:hAnsi="宋体" w:eastAsia="宋体" w:cs="宋体"/>
                <w:color w:val="000000"/>
                <w:spacing w:val="-1"/>
                <w:sz w:val="21"/>
                <w:szCs w:val="21"/>
                <w:highlight w:val="none"/>
                <w:lang w:eastAsia="zh-CN"/>
              </w:rPr>
            </w:pPr>
            <w:r>
              <w:rPr>
                <w:rFonts w:hint="eastAsia" w:ascii="宋体" w:hAnsi="宋体" w:eastAsia="宋体" w:cs="宋体"/>
                <w:color w:val="000000"/>
                <w:spacing w:val="-1"/>
                <w:sz w:val="21"/>
                <w:szCs w:val="21"/>
                <w:highlight w:val="none"/>
                <w:lang w:val="en-US" w:eastAsia="zh-CN"/>
              </w:rPr>
              <w:t>全部从业人员规范穿戴；无徒手接触直接入口食品，个人卫生、操作习惯全部合规的得3-5分；少数人员口罩、工帽佩戴不及时，个别操作存在轻微不规范的，得1-3分；多人着装不规范，存在违规操作，卫生习惯差的得0-1分。</w:t>
            </w:r>
          </w:p>
        </w:tc>
        <w:tc>
          <w:tcPr>
            <w:tcW w:w="913" w:type="dxa"/>
            <w:noWrap w:val="0"/>
            <w:vAlign w:val="center"/>
          </w:tcPr>
          <w:p w14:paraId="1E1D169F">
            <w:pPr>
              <w:pStyle w:val="116"/>
              <w:keepNext w:val="0"/>
              <w:keepLines w:val="0"/>
              <w:pageBreakBefore w:val="0"/>
              <w:widowControl w:val="0"/>
              <w:kinsoku/>
              <w:wordWrap/>
              <w:overflowPunct/>
              <w:topLinePunct w:val="0"/>
              <w:autoSpaceDE/>
              <w:autoSpaceDN/>
              <w:bidi w:val="0"/>
              <w:adjustRightInd w:val="0"/>
              <w:snapToGrid w:val="0"/>
              <w:spacing w:line="240" w:lineRule="exact"/>
              <w:ind w:left="0" w:right="0"/>
              <w:jc w:val="center"/>
              <w:textAlignment w:val="auto"/>
              <w:rPr>
                <w:rFonts w:hint="default" w:eastAsia="宋体" w:cs="宋体"/>
                <w:color w:val="000000"/>
                <w:sz w:val="21"/>
                <w:szCs w:val="21"/>
                <w:highlight w:val="none"/>
                <w:lang w:val="en-US" w:eastAsia="zh-CN"/>
              </w:rPr>
            </w:pPr>
            <w:r>
              <w:rPr>
                <w:rFonts w:hint="eastAsia" w:cs="宋体"/>
                <w:color w:val="000000"/>
                <w:sz w:val="21"/>
                <w:szCs w:val="21"/>
                <w:highlight w:val="none"/>
                <w:lang w:val="en-US" w:eastAsia="zh-CN"/>
              </w:rPr>
              <w:t>3</w:t>
            </w:r>
            <w:r>
              <w:rPr>
                <w:rFonts w:hint="eastAsia" w:eastAsia="宋体" w:cs="宋体"/>
                <w:color w:val="000000"/>
                <w:sz w:val="21"/>
                <w:szCs w:val="21"/>
                <w:highlight w:val="none"/>
                <w:lang w:val="en-US" w:eastAsia="zh-CN"/>
              </w:rPr>
              <w:t>0分</w:t>
            </w:r>
          </w:p>
        </w:tc>
      </w:tr>
    </w:tbl>
    <w:p w14:paraId="1AF72530">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2" w:firstLineChars="200"/>
        <w:jc w:val="left"/>
        <w:textAlignment w:val="auto"/>
        <w:outlineLvl w:val="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一、评审</w:t>
      </w:r>
      <w:r>
        <w:rPr>
          <w:rFonts w:hint="eastAsia" w:ascii="宋体" w:hAnsi="宋体" w:eastAsia="宋体" w:cs="宋体"/>
          <w:b/>
          <w:color w:val="auto"/>
          <w:sz w:val="24"/>
          <w:szCs w:val="24"/>
          <w:highlight w:val="none"/>
          <w:lang w:val="en-US" w:eastAsia="zh-CN"/>
        </w:rPr>
        <w:t>方</w:t>
      </w:r>
      <w:r>
        <w:rPr>
          <w:rFonts w:hint="eastAsia" w:ascii="宋体" w:hAnsi="宋体" w:eastAsia="宋体" w:cs="宋体"/>
          <w:b/>
          <w:color w:val="auto"/>
          <w:sz w:val="24"/>
          <w:szCs w:val="24"/>
          <w:highlight w:val="none"/>
        </w:rPr>
        <w:t>法：综合评分</w:t>
      </w:r>
      <w:r>
        <w:rPr>
          <w:rFonts w:hint="eastAsia" w:ascii="宋体" w:hAnsi="宋体" w:eastAsia="宋体" w:cs="宋体"/>
          <w:b/>
          <w:color w:val="auto"/>
          <w:sz w:val="24"/>
          <w:szCs w:val="24"/>
          <w:highlight w:val="none"/>
          <w:lang w:eastAsia="zh-CN"/>
        </w:rPr>
        <w:t>法</w:t>
      </w:r>
      <w:r>
        <w:rPr>
          <w:rFonts w:hint="eastAsia" w:ascii="宋体" w:hAnsi="宋体" w:eastAsia="宋体" w:cs="宋体"/>
          <w:b/>
          <w:color w:val="auto"/>
          <w:sz w:val="24"/>
          <w:szCs w:val="24"/>
          <w:highlight w:val="none"/>
        </w:rPr>
        <w:t>。</w:t>
      </w:r>
    </w:p>
    <w:p w14:paraId="7C83AED8">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outlineLvl w:val="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w:t>
      </w:r>
      <w:r>
        <w:rPr>
          <w:rFonts w:hint="eastAsia" w:ascii="宋体" w:hAnsi="宋体" w:eastAsia="宋体" w:cs="宋体"/>
          <w:b/>
          <w:bCs/>
          <w:color w:val="auto"/>
          <w:kern w:val="10"/>
          <w:sz w:val="24"/>
          <w:szCs w:val="24"/>
          <w:highlight w:val="none"/>
        </w:rPr>
        <w:t>评审</w:t>
      </w:r>
      <w:r>
        <w:rPr>
          <w:rFonts w:hint="eastAsia" w:ascii="宋体" w:hAnsi="宋体" w:eastAsia="宋体" w:cs="宋体"/>
          <w:b/>
          <w:color w:val="auto"/>
          <w:sz w:val="24"/>
          <w:szCs w:val="24"/>
          <w:highlight w:val="none"/>
        </w:rPr>
        <w:t>程序：</w:t>
      </w:r>
    </w:p>
    <w:p w14:paraId="3EFF6F82">
      <w:pPr>
        <w:pStyle w:val="32"/>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80" w:firstLineChars="200"/>
        <w:jc w:val="left"/>
        <w:textAlignment w:val="auto"/>
        <w:rPr>
          <w:rFonts w:hint="eastAsia" w:ascii="宋体" w:hAnsi="宋体" w:eastAsia="宋体" w:cs="宋体"/>
          <w:color w:val="auto"/>
          <w:kern w:val="2"/>
          <w:sz w:val="24"/>
          <w:szCs w:val="24"/>
          <w:highlight w:val="none"/>
        </w:rPr>
      </w:pPr>
      <w:r>
        <w:rPr>
          <w:rFonts w:hint="eastAsia" w:cs="宋体"/>
          <w:color w:val="auto"/>
          <w:kern w:val="2"/>
          <w:sz w:val="24"/>
          <w:szCs w:val="24"/>
          <w:highlight w:val="none"/>
        </w:rPr>
        <w:t>按照以下顺序进行：“</w:t>
      </w:r>
      <w:r>
        <w:rPr>
          <w:rFonts w:hint="eastAsia" w:cs="宋体"/>
          <w:b/>
          <w:color w:val="auto"/>
          <w:kern w:val="2"/>
          <w:sz w:val="24"/>
          <w:szCs w:val="24"/>
          <w:highlight w:val="none"/>
        </w:rPr>
        <w:t>符合性评审→</w:t>
      </w:r>
      <w:r>
        <w:rPr>
          <w:rFonts w:hint="eastAsia" w:cs="宋体"/>
          <w:b/>
          <w:color w:val="auto"/>
          <w:kern w:val="2"/>
          <w:sz w:val="24"/>
          <w:szCs w:val="24"/>
          <w:highlight w:val="none"/>
          <w:lang w:eastAsia="zh-CN"/>
        </w:rPr>
        <w:t>谈判（</w:t>
      </w:r>
      <w:r>
        <w:rPr>
          <w:rFonts w:hint="eastAsia" w:cs="宋体"/>
          <w:b/>
          <w:color w:val="auto"/>
          <w:kern w:val="2"/>
          <w:sz w:val="24"/>
          <w:szCs w:val="24"/>
          <w:highlight w:val="none"/>
          <w:lang w:val="en-US" w:eastAsia="zh-CN"/>
        </w:rPr>
        <w:t>技术部分评分</w:t>
      </w:r>
      <w:r>
        <w:rPr>
          <w:rFonts w:hint="eastAsia" w:cs="宋体"/>
          <w:b/>
          <w:color w:val="auto"/>
          <w:kern w:val="2"/>
          <w:sz w:val="24"/>
          <w:szCs w:val="24"/>
          <w:highlight w:val="none"/>
          <w:lang w:eastAsia="zh-CN"/>
        </w:rPr>
        <w:t>）</w:t>
      </w:r>
      <w:r>
        <w:rPr>
          <w:rFonts w:hint="eastAsia" w:cs="宋体"/>
          <w:b/>
          <w:color w:val="auto"/>
          <w:kern w:val="2"/>
          <w:sz w:val="24"/>
          <w:szCs w:val="24"/>
          <w:highlight w:val="none"/>
        </w:rPr>
        <w:t>→</w:t>
      </w:r>
      <w:r>
        <w:rPr>
          <w:rFonts w:hint="eastAsia" w:cs="宋体"/>
          <w:b/>
          <w:color w:val="auto"/>
          <w:sz w:val="24"/>
          <w:szCs w:val="24"/>
          <w:highlight w:val="none"/>
        </w:rPr>
        <w:t>宣布各</w:t>
      </w:r>
      <w:r>
        <w:rPr>
          <w:rFonts w:hint="eastAsia" w:cs="宋体"/>
          <w:b/>
          <w:color w:val="auto"/>
          <w:sz w:val="24"/>
          <w:szCs w:val="24"/>
          <w:highlight w:val="none"/>
          <w:lang w:eastAsia="zh-CN"/>
        </w:rPr>
        <w:t>谈判</w:t>
      </w:r>
      <w:r>
        <w:rPr>
          <w:rFonts w:hint="eastAsia" w:cs="宋体"/>
          <w:b/>
          <w:color w:val="auto"/>
          <w:sz w:val="24"/>
          <w:szCs w:val="24"/>
          <w:highlight w:val="none"/>
        </w:rPr>
        <w:t>供应商</w:t>
      </w:r>
      <w:r>
        <w:rPr>
          <w:rFonts w:hint="eastAsia" w:cs="宋体"/>
          <w:b/>
          <w:color w:val="auto"/>
          <w:sz w:val="24"/>
          <w:szCs w:val="24"/>
          <w:highlight w:val="none"/>
          <w:lang w:val="en-US" w:eastAsia="zh-CN"/>
        </w:rPr>
        <w:t>最终得分</w:t>
      </w:r>
      <w:r>
        <w:rPr>
          <w:rFonts w:hint="eastAsia" w:cs="宋体"/>
          <w:b/>
          <w:color w:val="auto"/>
          <w:kern w:val="2"/>
          <w:sz w:val="24"/>
          <w:szCs w:val="24"/>
          <w:highlight w:val="none"/>
        </w:rPr>
        <w:t>→确定</w:t>
      </w:r>
      <w:r>
        <w:rPr>
          <w:rFonts w:hint="eastAsia" w:cs="宋体"/>
          <w:b/>
          <w:color w:val="auto"/>
          <w:sz w:val="24"/>
          <w:szCs w:val="24"/>
          <w:highlight w:val="none"/>
        </w:rPr>
        <w:t>成交备审</w:t>
      </w:r>
      <w:r>
        <w:rPr>
          <w:rFonts w:hint="eastAsia" w:cs="宋体"/>
          <w:b/>
          <w:color w:val="auto"/>
          <w:kern w:val="2"/>
          <w:sz w:val="24"/>
          <w:szCs w:val="24"/>
          <w:highlight w:val="none"/>
        </w:rPr>
        <w:t>供应商→</w:t>
      </w:r>
      <w:r>
        <w:rPr>
          <w:rFonts w:hint="eastAsia" w:cs="宋体"/>
          <w:b/>
          <w:color w:val="auto"/>
          <w:sz w:val="24"/>
          <w:szCs w:val="24"/>
          <w:highlight w:val="none"/>
        </w:rPr>
        <w:t>宣布评审结果</w:t>
      </w:r>
      <w:r>
        <w:rPr>
          <w:rFonts w:hint="eastAsia" w:cs="宋体"/>
          <w:color w:val="auto"/>
          <w:sz w:val="24"/>
          <w:szCs w:val="24"/>
          <w:highlight w:val="none"/>
        </w:rPr>
        <w:t>”</w:t>
      </w:r>
      <w:r>
        <w:rPr>
          <w:rFonts w:hint="eastAsia" w:ascii="宋体" w:hAnsi="宋体" w:eastAsia="宋体" w:cs="宋体"/>
          <w:color w:val="auto"/>
          <w:kern w:val="2"/>
          <w:sz w:val="24"/>
          <w:szCs w:val="24"/>
          <w:highlight w:val="none"/>
        </w:rPr>
        <w:t>。</w:t>
      </w:r>
    </w:p>
    <w:p w14:paraId="1A7BC099">
      <w:pPr>
        <w:pStyle w:val="32"/>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（一）符合性评审</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谈判小组</w:t>
      </w:r>
      <w:r>
        <w:rPr>
          <w:rFonts w:hint="eastAsia" w:ascii="宋体" w:hAnsi="宋体" w:eastAsia="宋体" w:cs="宋体"/>
          <w:color w:val="auto"/>
          <w:sz w:val="24"/>
          <w:szCs w:val="24"/>
          <w:highlight w:val="none"/>
          <w:lang w:val="en-US" w:eastAsia="zh-CN"/>
        </w:rPr>
        <w:t>根据</w:t>
      </w:r>
      <w:r>
        <w:rPr>
          <w:rFonts w:hint="eastAsia" w:ascii="宋体" w:hAnsi="宋体" w:eastAsia="宋体" w:cs="宋体"/>
          <w:color w:val="auto"/>
          <w:kern w:val="2"/>
          <w:sz w:val="24"/>
          <w:szCs w:val="24"/>
          <w:highlight w:val="none"/>
          <w:lang w:eastAsia="zh-CN"/>
        </w:rPr>
        <w:t>评审方法和标准前附表</w:t>
      </w:r>
      <w:r>
        <w:rPr>
          <w:rFonts w:hint="eastAsia" w:ascii="宋体" w:hAnsi="宋体" w:eastAsia="宋体" w:cs="宋体"/>
          <w:color w:val="auto"/>
          <w:kern w:val="2"/>
          <w:sz w:val="24"/>
          <w:szCs w:val="24"/>
          <w:highlight w:val="none"/>
          <w:lang w:val="en-US" w:eastAsia="zh-CN"/>
        </w:rPr>
        <w:t>一、二、三对供应商的响应文件进行符合性评审</w:t>
      </w:r>
      <w:r>
        <w:rPr>
          <w:rFonts w:hint="eastAsia" w:ascii="宋体" w:hAnsi="宋体" w:eastAsia="宋体" w:cs="宋体"/>
          <w:color w:val="auto"/>
          <w:kern w:val="2"/>
          <w:sz w:val="24"/>
          <w:szCs w:val="24"/>
          <w:highlight w:val="none"/>
        </w:rPr>
        <w:t>。</w:t>
      </w:r>
      <w:r>
        <w:rPr>
          <w:rFonts w:hint="eastAsia" w:ascii="宋体" w:hAnsi="宋体" w:eastAsia="宋体" w:cs="宋体"/>
          <w:color w:val="auto"/>
          <w:sz w:val="24"/>
          <w:szCs w:val="24"/>
          <w:highlight w:val="none"/>
        </w:rPr>
        <w:t>符合性评审未通过的</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不得</w:t>
      </w:r>
      <w:r>
        <w:rPr>
          <w:rFonts w:hint="eastAsia" w:ascii="宋体" w:hAnsi="宋体" w:eastAsia="宋体" w:cs="宋体"/>
          <w:color w:val="auto"/>
          <w:sz w:val="24"/>
          <w:szCs w:val="24"/>
          <w:highlight w:val="none"/>
          <w:lang w:val="en-US" w:eastAsia="zh-CN"/>
        </w:rPr>
        <w:t>进入下一步评审</w:t>
      </w:r>
      <w:r>
        <w:rPr>
          <w:rFonts w:hint="eastAsia" w:ascii="宋体" w:hAnsi="宋体" w:eastAsia="宋体" w:cs="宋体"/>
          <w:color w:val="auto"/>
          <w:sz w:val="24"/>
          <w:szCs w:val="24"/>
          <w:highlight w:val="none"/>
        </w:rPr>
        <w:t>。</w:t>
      </w:r>
    </w:p>
    <w:p w14:paraId="2098D725">
      <w:pPr>
        <w:pStyle w:val="32"/>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482" w:firstLineChars="200"/>
        <w:jc w:val="left"/>
        <w:textAlignment w:val="auto"/>
        <w:rPr>
          <w:rFonts w:hint="eastAsia" w:ascii="宋体" w:hAnsi="宋体" w:cs="宋体"/>
          <w:color w:val="auto"/>
          <w:sz w:val="24"/>
          <w:szCs w:val="24"/>
          <w:highlight w:val="none"/>
        </w:rPr>
      </w:pPr>
      <w:r>
        <w:rPr>
          <w:rFonts w:hint="eastAsia" w:cs="宋体"/>
          <w:b/>
          <w:color w:val="auto"/>
          <w:sz w:val="24"/>
          <w:szCs w:val="24"/>
          <w:highlight w:val="none"/>
          <w:lang w:eastAsia="zh-CN"/>
        </w:rPr>
        <w:t>（</w:t>
      </w:r>
      <w:r>
        <w:rPr>
          <w:rFonts w:hint="eastAsia" w:cs="宋体"/>
          <w:b/>
          <w:color w:val="auto"/>
          <w:sz w:val="24"/>
          <w:szCs w:val="24"/>
          <w:highlight w:val="none"/>
          <w:lang w:val="en-US" w:eastAsia="zh-CN"/>
        </w:rPr>
        <w:t>二）</w:t>
      </w:r>
      <w:r>
        <w:rPr>
          <w:rFonts w:hint="eastAsia" w:cs="宋体"/>
          <w:b/>
          <w:color w:val="auto"/>
          <w:sz w:val="24"/>
          <w:szCs w:val="24"/>
          <w:highlight w:val="none"/>
        </w:rPr>
        <w:t>现场</w:t>
      </w:r>
      <w:r>
        <w:rPr>
          <w:rFonts w:hint="eastAsia" w:cs="宋体"/>
          <w:b/>
          <w:color w:val="auto"/>
          <w:sz w:val="24"/>
          <w:szCs w:val="24"/>
          <w:highlight w:val="none"/>
          <w:lang w:eastAsia="zh-CN"/>
        </w:rPr>
        <w:t>谈判</w:t>
      </w:r>
      <w:r>
        <w:rPr>
          <w:rFonts w:hint="eastAsia" w:cs="宋体"/>
          <w:b/>
          <w:color w:val="auto"/>
          <w:kern w:val="2"/>
          <w:sz w:val="24"/>
          <w:szCs w:val="24"/>
          <w:highlight w:val="none"/>
          <w:lang w:eastAsia="zh-CN"/>
        </w:rPr>
        <w:t>（</w:t>
      </w:r>
      <w:r>
        <w:rPr>
          <w:rFonts w:hint="eastAsia" w:cs="宋体"/>
          <w:b/>
          <w:color w:val="auto"/>
          <w:kern w:val="2"/>
          <w:sz w:val="24"/>
          <w:szCs w:val="24"/>
          <w:highlight w:val="none"/>
          <w:lang w:val="en-US" w:eastAsia="zh-CN"/>
        </w:rPr>
        <w:t>技术部分评分</w:t>
      </w:r>
      <w:r>
        <w:rPr>
          <w:rFonts w:hint="eastAsia" w:cs="宋体"/>
          <w:b/>
          <w:color w:val="auto"/>
          <w:kern w:val="2"/>
          <w:sz w:val="24"/>
          <w:szCs w:val="24"/>
          <w:highlight w:val="none"/>
          <w:lang w:eastAsia="zh-CN"/>
        </w:rPr>
        <w:t>）</w:t>
      </w:r>
      <w:r>
        <w:rPr>
          <w:rFonts w:hint="eastAsia" w:cs="宋体"/>
          <w:b/>
          <w:color w:val="auto"/>
          <w:sz w:val="24"/>
          <w:szCs w:val="24"/>
          <w:highlight w:val="none"/>
        </w:rPr>
        <w:t>。</w:t>
      </w:r>
      <w:r>
        <w:rPr>
          <w:rFonts w:hint="eastAsia" w:cs="宋体"/>
          <w:b w:val="0"/>
          <w:bCs/>
          <w:color w:val="auto"/>
          <w:sz w:val="24"/>
          <w:szCs w:val="24"/>
          <w:highlight w:val="none"/>
          <w:lang w:val="en-US" w:eastAsia="zh-CN"/>
        </w:rPr>
        <w:t>谈判小组根据</w:t>
      </w:r>
      <w:r>
        <w:rPr>
          <w:rFonts w:hint="eastAsia" w:ascii="宋体" w:hAnsi="宋体" w:eastAsia="宋体" w:cs="宋体"/>
          <w:color w:val="auto"/>
          <w:kern w:val="2"/>
          <w:sz w:val="24"/>
          <w:szCs w:val="24"/>
          <w:highlight w:val="none"/>
          <w:lang w:eastAsia="zh-CN"/>
        </w:rPr>
        <w:t>评审方法和标准前附表</w:t>
      </w:r>
      <w:r>
        <w:rPr>
          <w:rFonts w:hint="eastAsia" w:ascii="宋体" w:hAnsi="宋体" w:cs="宋体"/>
          <w:color w:val="auto"/>
          <w:sz w:val="24"/>
          <w:szCs w:val="24"/>
          <w:highlight w:val="none"/>
        </w:rPr>
        <w:t>四（</w:t>
      </w:r>
      <w:r>
        <w:rPr>
          <w:rFonts w:hint="eastAsia" w:ascii="宋体" w:hAnsi="宋体" w:cs="宋体"/>
          <w:color w:val="auto"/>
          <w:sz w:val="24"/>
          <w:szCs w:val="24"/>
          <w:highlight w:val="none"/>
          <w:lang w:val="en-US" w:eastAsia="zh-CN"/>
        </w:rPr>
        <w:t>综合</w:t>
      </w:r>
      <w:r>
        <w:rPr>
          <w:rFonts w:hint="eastAsia" w:ascii="宋体" w:hAnsi="宋体" w:cs="宋体"/>
          <w:color w:val="auto"/>
          <w:sz w:val="24"/>
          <w:szCs w:val="24"/>
          <w:highlight w:val="none"/>
        </w:rPr>
        <w:t>评审指标表）</w:t>
      </w:r>
      <w:r>
        <w:rPr>
          <w:rFonts w:hint="eastAsia" w:ascii="宋体" w:hAnsi="宋体" w:cs="宋体"/>
          <w:color w:val="auto"/>
          <w:sz w:val="24"/>
          <w:szCs w:val="24"/>
          <w:highlight w:val="none"/>
          <w:lang w:val="en-US" w:eastAsia="zh-CN"/>
        </w:rPr>
        <w:t>对供应商的响应文件进行综合评审</w:t>
      </w:r>
      <w:r>
        <w:rPr>
          <w:rFonts w:hint="eastAsia" w:ascii="宋体" w:hAnsi="宋体" w:cs="宋体"/>
          <w:color w:val="auto"/>
          <w:sz w:val="24"/>
          <w:szCs w:val="24"/>
          <w:highlight w:val="none"/>
        </w:rPr>
        <w:t>。</w:t>
      </w:r>
    </w:p>
    <w:p w14:paraId="17C10468">
      <w:pPr>
        <w:pStyle w:val="32"/>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rPr>
        <w:t>技术标分汇总方法：对某一供应商的技术标的每一个指标项得分，取各位评委评分之平均值，四舍五入保留至小数点后两位数，得到该供应商该指标项的得分。再将供应商每个技术标的指标项得分进行汇总，得到该供应商的技术标分之和。</w:t>
      </w:r>
    </w:p>
    <w:p w14:paraId="0CCF2EC0">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三</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宣布各谈判供应商最终得分</w:t>
      </w:r>
      <w:r>
        <w:rPr>
          <w:rFonts w:hint="eastAsia" w:ascii="宋体" w:hAnsi="宋体" w:eastAsia="宋体" w:cs="宋体"/>
          <w:b/>
          <w:color w:val="auto"/>
          <w:sz w:val="24"/>
          <w:szCs w:val="24"/>
          <w:highlight w:val="none"/>
          <w:lang w:eastAsia="zh-CN"/>
        </w:rPr>
        <w:t>。</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主持人在</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现场宣读通过符合性评审单位的</w:t>
      </w:r>
      <w:r>
        <w:rPr>
          <w:rFonts w:hint="eastAsia" w:ascii="宋体" w:hAnsi="宋体" w:eastAsia="宋体" w:cs="宋体"/>
          <w:color w:val="auto"/>
          <w:sz w:val="24"/>
          <w:szCs w:val="24"/>
          <w:highlight w:val="none"/>
          <w:lang w:val="en-US" w:eastAsia="zh-CN"/>
        </w:rPr>
        <w:t>最终得分</w:t>
      </w:r>
      <w:r>
        <w:rPr>
          <w:rFonts w:hint="eastAsia" w:ascii="宋体" w:hAnsi="宋体" w:eastAsia="宋体" w:cs="宋体"/>
          <w:color w:val="auto"/>
          <w:sz w:val="24"/>
          <w:szCs w:val="24"/>
          <w:highlight w:val="none"/>
        </w:rPr>
        <w:t>。</w:t>
      </w:r>
    </w:p>
    <w:p w14:paraId="15CDC3AD">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四</w:t>
      </w:r>
      <w:r>
        <w:rPr>
          <w:rFonts w:hint="eastAsia" w:ascii="宋体" w:hAnsi="宋体" w:eastAsia="宋体" w:cs="宋体"/>
          <w:b/>
          <w:color w:val="auto"/>
          <w:sz w:val="24"/>
          <w:szCs w:val="24"/>
          <w:highlight w:val="none"/>
        </w:rPr>
        <w:t>）确定成交供应商及成交候选供应商。</w:t>
      </w:r>
      <w:r>
        <w:rPr>
          <w:rFonts w:hint="eastAsia" w:ascii="宋体" w:hAnsi="宋体" w:eastAsia="宋体" w:cs="宋体"/>
          <w:snapToGrid w:val="0"/>
          <w:color w:val="auto"/>
          <w:kern w:val="0"/>
          <w:sz w:val="24"/>
          <w:szCs w:val="24"/>
          <w:highlight w:val="none"/>
          <w:lang w:eastAsia="zh-CN"/>
        </w:rPr>
        <w:t>谈判</w:t>
      </w:r>
      <w:r>
        <w:rPr>
          <w:rFonts w:hint="eastAsia" w:ascii="宋体" w:hAnsi="宋体" w:eastAsia="宋体" w:cs="宋体"/>
          <w:snapToGrid w:val="0"/>
          <w:color w:val="auto"/>
          <w:kern w:val="0"/>
          <w:sz w:val="24"/>
          <w:szCs w:val="24"/>
          <w:highlight w:val="none"/>
        </w:rPr>
        <w:t>小组根据综合评分情况，按照评审得分由高到低依次排出成交供应商及成交候选供应商。如果出现多家供应商</w:t>
      </w:r>
      <w:r>
        <w:rPr>
          <w:rFonts w:hint="eastAsia" w:ascii="宋体" w:hAnsi="宋体" w:eastAsia="宋体" w:cs="宋体"/>
          <w:snapToGrid w:val="0"/>
          <w:color w:val="auto"/>
          <w:kern w:val="0"/>
          <w:sz w:val="24"/>
          <w:szCs w:val="24"/>
          <w:highlight w:val="none"/>
          <w:lang w:val="en-US" w:eastAsia="zh-CN"/>
        </w:rPr>
        <w:t>得分</w:t>
      </w:r>
      <w:r>
        <w:rPr>
          <w:rFonts w:hint="eastAsia" w:ascii="宋体" w:hAnsi="宋体" w:eastAsia="宋体" w:cs="宋体"/>
          <w:snapToGrid w:val="0"/>
          <w:color w:val="auto"/>
          <w:kern w:val="0"/>
          <w:sz w:val="24"/>
          <w:szCs w:val="24"/>
          <w:highlight w:val="none"/>
        </w:rPr>
        <w:t>相同时，谈判小组将采取抽签的方式确定排序。</w:t>
      </w:r>
    </w:p>
    <w:p w14:paraId="5DD1F615">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五</w:t>
      </w:r>
      <w:r>
        <w:rPr>
          <w:rFonts w:hint="eastAsia" w:ascii="宋体" w:hAnsi="宋体" w:eastAsia="宋体" w:cs="宋体"/>
          <w:b/>
          <w:color w:val="auto"/>
          <w:sz w:val="24"/>
          <w:szCs w:val="24"/>
          <w:highlight w:val="none"/>
        </w:rPr>
        <w:t>）宣布评审结果。</w:t>
      </w:r>
      <w:r>
        <w:rPr>
          <w:rFonts w:hint="eastAsia" w:ascii="宋体" w:hAnsi="宋体" w:eastAsia="宋体" w:cs="宋体"/>
          <w:b w:val="0"/>
          <w:bCs/>
          <w:color w:val="auto"/>
          <w:sz w:val="24"/>
          <w:szCs w:val="24"/>
          <w:highlight w:val="none"/>
          <w:lang w:eastAsia="zh-CN"/>
        </w:rPr>
        <w:t>谈判</w:t>
      </w:r>
      <w:r>
        <w:rPr>
          <w:rFonts w:hint="eastAsia" w:ascii="宋体" w:hAnsi="宋体" w:eastAsia="宋体" w:cs="宋体"/>
          <w:b w:val="0"/>
          <w:bCs/>
          <w:color w:val="auto"/>
          <w:sz w:val="24"/>
          <w:szCs w:val="24"/>
          <w:highlight w:val="none"/>
        </w:rPr>
        <w:t>主</w:t>
      </w:r>
      <w:r>
        <w:rPr>
          <w:rFonts w:hint="eastAsia" w:ascii="宋体" w:hAnsi="宋体" w:eastAsia="宋体" w:cs="宋体"/>
          <w:color w:val="auto"/>
          <w:sz w:val="24"/>
          <w:szCs w:val="24"/>
          <w:highlight w:val="none"/>
        </w:rPr>
        <w:t>持人</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宣布通过符合性评审的供应商和评审结果。</w:t>
      </w:r>
    </w:p>
    <w:p w14:paraId="0EB972F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cs="宋体"/>
          <w:caps/>
          <w:color w:val="auto"/>
          <w:kern w:val="2"/>
          <w:szCs w:val="30"/>
          <w:highlight w:val="none"/>
          <w:lang w:val="zh-CN"/>
        </w:rPr>
      </w:pPr>
      <w:r>
        <w:rPr>
          <w:rFonts w:hint="eastAsia" w:ascii="宋体" w:hAnsi="宋体" w:cs="宋体"/>
          <w:caps/>
          <w:color w:val="auto"/>
          <w:kern w:val="2"/>
          <w:szCs w:val="30"/>
          <w:highlight w:val="none"/>
          <w:lang w:val="zh-CN"/>
        </w:rPr>
        <w:br w:type="page"/>
      </w:r>
    </w:p>
    <w:p w14:paraId="794A071F">
      <w:pPr>
        <w:pStyle w:val="5"/>
        <w:keepNext/>
        <w:keepLines w:val="0"/>
        <w:pageBreakBefore w:val="0"/>
        <w:widowControl w:val="0"/>
        <w:kinsoku/>
        <w:wordWrap/>
        <w:overflowPunct/>
        <w:topLinePunct w:val="0"/>
        <w:autoSpaceDE/>
        <w:autoSpaceDN/>
        <w:bidi w:val="0"/>
        <w:adjustRightInd w:val="0"/>
        <w:snapToGrid w:val="0"/>
        <w:spacing w:before="0" w:after="0" w:line="480" w:lineRule="auto"/>
        <w:jc w:val="center"/>
        <w:textAlignment w:val="auto"/>
        <w:rPr>
          <w:rFonts w:hint="eastAsia" w:ascii="宋体" w:hAnsi="宋体" w:cs="宋体"/>
          <w:b/>
          <w:bCs/>
          <w:caps/>
          <w:color w:val="auto"/>
          <w:kern w:val="2"/>
          <w:sz w:val="30"/>
          <w:szCs w:val="30"/>
          <w:highlight w:val="none"/>
          <w:lang w:val="zh-CN"/>
        </w:rPr>
      </w:pPr>
      <w:bookmarkStart w:id="59" w:name="_Toc6749"/>
      <w:r>
        <w:rPr>
          <w:rFonts w:hint="eastAsia" w:ascii="宋体" w:hAnsi="宋体" w:cs="宋体"/>
          <w:b/>
          <w:bCs/>
          <w:caps/>
          <w:color w:val="auto"/>
          <w:kern w:val="2"/>
          <w:sz w:val="32"/>
          <w:szCs w:val="32"/>
          <w:highlight w:val="none"/>
          <w:lang w:val="zh-CN"/>
        </w:rPr>
        <w:t>第</w:t>
      </w:r>
      <w:r>
        <w:rPr>
          <w:rFonts w:hint="eastAsia" w:ascii="宋体" w:hAnsi="宋体" w:cs="宋体"/>
          <w:b/>
          <w:bCs/>
          <w:caps/>
          <w:color w:val="auto"/>
          <w:kern w:val="2"/>
          <w:sz w:val="32"/>
          <w:szCs w:val="32"/>
          <w:highlight w:val="none"/>
          <w:lang w:val="en-US" w:eastAsia="zh-CN"/>
        </w:rPr>
        <w:t>六</w:t>
      </w:r>
      <w:r>
        <w:rPr>
          <w:rFonts w:hint="eastAsia" w:ascii="宋体" w:hAnsi="宋体" w:cs="宋体"/>
          <w:b/>
          <w:bCs/>
          <w:caps/>
          <w:color w:val="auto"/>
          <w:kern w:val="2"/>
          <w:sz w:val="32"/>
          <w:szCs w:val="32"/>
          <w:highlight w:val="none"/>
          <w:lang w:val="zh-CN"/>
        </w:rPr>
        <w:t>章  谈判响应文件格式</w:t>
      </w:r>
      <w:bookmarkEnd w:id="56"/>
      <w:bookmarkEnd w:id="59"/>
    </w:p>
    <w:p w14:paraId="2684B2D4">
      <w:pPr>
        <w:spacing w:before="0" w:after="0" w:line="440" w:lineRule="exact"/>
        <w:jc w:val="center"/>
        <w:outlineLvl w:val="9"/>
        <w:rPr>
          <w:rFonts w:hint="eastAsia" w:ascii="宋体" w:hAnsi="宋体" w:cs="宋体"/>
          <w:color w:val="auto"/>
          <w:kern w:val="2"/>
          <w:szCs w:val="30"/>
          <w:highlight w:val="none"/>
        </w:rPr>
      </w:pPr>
    </w:p>
    <w:p w14:paraId="3B1937E6">
      <w:pPr>
        <w:adjustRightInd w:val="0"/>
        <w:snapToGrid w:val="0"/>
        <w:spacing w:line="320" w:lineRule="auto"/>
        <w:jc w:val="center"/>
        <w:rPr>
          <w:rFonts w:hint="eastAsia" w:ascii="宋体" w:hAnsi="宋体" w:eastAsia="宋体" w:cs="宋体"/>
          <w:b/>
          <w:bCs/>
          <w:color w:val="auto"/>
          <w:sz w:val="36"/>
          <w:szCs w:val="36"/>
          <w:highlight w:val="none"/>
          <w:lang w:eastAsia="zh-CN"/>
        </w:rPr>
      </w:pPr>
      <w:r>
        <w:rPr>
          <w:rFonts w:hint="eastAsia" w:ascii="宋体" w:hAnsi="宋体" w:cs="宋体"/>
          <w:b/>
          <w:bCs/>
          <w:color w:val="auto"/>
          <w:sz w:val="36"/>
          <w:szCs w:val="36"/>
          <w:highlight w:val="none"/>
          <w:u w:val="single"/>
          <w:lang w:val="en-US" w:eastAsia="zh-CN"/>
        </w:rPr>
        <w:t xml:space="preserve">                        </w:t>
      </w:r>
      <w:r>
        <w:rPr>
          <w:rFonts w:hint="eastAsia" w:ascii="宋体" w:hAnsi="宋体" w:cs="宋体"/>
          <w:b/>
          <w:bCs/>
          <w:color w:val="auto"/>
          <w:sz w:val="36"/>
          <w:szCs w:val="36"/>
          <w:highlight w:val="none"/>
          <w:lang w:eastAsia="zh-CN"/>
        </w:rPr>
        <w:t>项目竞争谈判</w:t>
      </w:r>
    </w:p>
    <w:p w14:paraId="01512187">
      <w:pPr>
        <w:adjustRightInd w:val="0"/>
        <w:snapToGrid w:val="0"/>
        <w:spacing w:line="320" w:lineRule="auto"/>
        <w:jc w:val="center"/>
        <w:rPr>
          <w:rFonts w:hint="eastAsia" w:ascii="宋体" w:hAnsi="宋体" w:cs="宋体"/>
          <w:color w:val="auto"/>
          <w:sz w:val="36"/>
          <w:szCs w:val="36"/>
          <w:highlight w:val="none"/>
        </w:rPr>
      </w:pPr>
    </w:p>
    <w:p w14:paraId="6C118417">
      <w:pPr>
        <w:adjustRightInd w:val="0"/>
        <w:snapToGrid w:val="0"/>
        <w:spacing w:line="320" w:lineRule="auto"/>
        <w:jc w:val="center"/>
        <w:rPr>
          <w:rFonts w:hint="eastAsia" w:ascii="宋体" w:hAnsi="宋体" w:cs="宋体"/>
          <w:b/>
          <w:bCs/>
          <w:color w:val="auto"/>
          <w:sz w:val="36"/>
          <w:szCs w:val="36"/>
          <w:highlight w:val="none"/>
        </w:rPr>
      </w:pPr>
    </w:p>
    <w:p w14:paraId="2335E911">
      <w:pPr>
        <w:adjustRightInd w:val="0"/>
        <w:snapToGrid w:val="0"/>
        <w:spacing w:line="320" w:lineRule="auto"/>
        <w:jc w:val="center"/>
        <w:rPr>
          <w:rFonts w:hint="eastAsia" w:ascii="宋体" w:hAnsi="宋体" w:cs="宋体"/>
          <w:b/>
          <w:bCs/>
          <w:color w:val="auto"/>
          <w:sz w:val="36"/>
          <w:szCs w:val="36"/>
          <w:highlight w:val="none"/>
        </w:rPr>
      </w:pPr>
      <w:r>
        <w:rPr>
          <w:rFonts w:hint="eastAsia" w:ascii="宋体" w:hAnsi="宋体" w:cs="宋体"/>
          <w:b/>
          <w:bCs/>
          <w:color w:val="auto"/>
          <w:sz w:val="36"/>
          <w:szCs w:val="36"/>
          <w:highlight w:val="none"/>
        </w:rPr>
        <w:t>响</w:t>
      </w:r>
    </w:p>
    <w:p w14:paraId="1F31C5EC">
      <w:pPr>
        <w:adjustRightInd w:val="0"/>
        <w:snapToGrid w:val="0"/>
        <w:spacing w:line="320" w:lineRule="auto"/>
        <w:jc w:val="center"/>
        <w:rPr>
          <w:rFonts w:hint="eastAsia" w:ascii="宋体" w:hAnsi="宋体" w:cs="宋体"/>
          <w:b/>
          <w:bCs/>
          <w:color w:val="auto"/>
          <w:sz w:val="36"/>
          <w:szCs w:val="36"/>
          <w:highlight w:val="none"/>
        </w:rPr>
      </w:pPr>
      <w:r>
        <w:rPr>
          <w:rFonts w:hint="eastAsia" w:ascii="宋体" w:hAnsi="宋体" w:cs="宋体"/>
          <w:b/>
          <w:bCs/>
          <w:color w:val="auto"/>
          <w:sz w:val="36"/>
          <w:szCs w:val="36"/>
          <w:highlight w:val="none"/>
        </w:rPr>
        <w:t>应</w:t>
      </w:r>
    </w:p>
    <w:p w14:paraId="47DC3C4E">
      <w:pPr>
        <w:adjustRightInd w:val="0"/>
        <w:snapToGrid w:val="0"/>
        <w:spacing w:line="320" w:lineRule="auto"/>
        <w:jc w:val="center"/>
        <w:rPr>
          <w:rFonts w:hint="eastAsia" w:ascii="宋体" w:hAnsi="宋体" w:cs="宋体"/>
          <w:b/>
          <w:bCs/>
          <w:color w:val="auto"/>
          <w:sz w:val="36"/>
          <w:szCs w:val="36"/>
          <w:highlight w:val="none"/>
        </w:rPr>
      </w:pPr>
      <w:r>
        <w:rPr>
          <w:rFonts w:hint="eastAsia" w:ascii="宋体" w:hAnsi="宋体" w:cs="宋体"/>
          <w:b/>
          <w:bCs/>
          <w:color w:val="auto"/>
          <w:sz w:val="36"/>
          <w:szCs w:val="36"/>
          <w:highlight w:val="none"/>
        </w:rPr>
        <w:t>文</w:t>
      </w:r>
    </w:p>
    <w:p w14:paraId="342216AF">
      <w:pPr>
        <w:adjustRightInd w:val="0"/>
        <w:snapToGrid w:val="0"/>
        <w:spacing w:line="320" w:lineRule="auto"/>
        <w:jc w:val="center"/>
        <w:rPr>
          <w:rFonts w:hint="eastAsia" w:ascii="宋体" w:hAnsi="宋体" w:cs="宋体"/>
          <w:b/>
          <w:bCs/>
          <w:color w:val="auto"/>
          <w:sz w:val="36"/>
          <w:szCs w:val="36"/>
          <w:highlight w:val="none"/>
        </w:rPr>
      </w:pPr>
      <w:r>
        <w:rPr>
          <w:rFonts w:hint="eastAsia" w:ascii="宋体" w:hAnsi="宋体" w:cs="宋体"/>
          <w:b/>
          <w:bCs/>
          <w:color w:val="auto"/>
          <w:sz w:val="36"/>
          <w:szCs w:val="36"/>
          <w:highlight w:val="none"/>
        </w:rPr>
        <w:t>件</w:t>
      </w:r>
    </w:p>
    <w:p w14:paraId="302C55FB">
      <w:pPr>
        <w:adjustRightInd w:val="0"/>
        <w:snapToGrid w:val="0"/>
        <w:spacing w:line="320" w:lineRule="auto"/>
        <w:rPr>
          <w:rFonts w:hint="eastAsia" w:ascii="宋体" w:hAnsi="宋体" w:cs="宋体"/>
          <w:color w:val="auto"/>
          <w:szCs w:val="21"/>
          <w:highlight w:val="none"/>
        </w:rPr>
      </w:pPr>
    </w:p>
    <w:p w14:paraId="5C6769CF">
      <w:pPr>
        <w:spacing w:line="500" w:lineRule="exact"/>
        <w:rPr>
          <w:rFonts w:hint="eastAsia" w:ascii="宋体" w:hAnsi="宋体" w:cs="宋体"/>
          <w:color w:val="auto"/>
          <w:sz w:val="28"/>
          <w:szCs w:val="28"/>
          <w:highlight w:val="none"/>
        </w:rPr>
      </w:pPr>
    </w:p>
    <w:p w14:paraId="22848BCE">
      <w:pPr>
        <w:spacing w:line="500" w:lineRule="exact"/>
        <w:jc w:val="center"/>
        <w:rPr>
          <w:rFonts w:hint="eastAsia" w:ascii="宋体" w:hAnsi="宋体" w:cs="宋体"/>
          <w:b/>
          <w:color w:val="auto"/>
          <w:sz w:val="28"/>
          <w:szCs w:val="28"/>
          <w:highlight w:val="none"/>
          <w:lang w:eastAsia="zh-CN"/>
        </w:rPr>
      </w:pPr>
      <w:r>
        <w:rPr>
          <w:rFonts w:hint="eastAsia" w:ascii="宋体" w:hAnsi="宋体" w:cs="宋体"/>
          <w:b/>
          <w:color w:val="auto"/>
          <w:sz w:val="28"/>
          <w:szCs w:val="28"/>
          <w:highlight w:val="none"/>
          <w:lang w:eastAsia="zh-CN"/>
        </w:rPr>
        <w:t>项目编号：</w:t>
      </w:r>
    </w:p>
    <w:p w14:paraId="69EBDDD9">
      <w:pPr>
        <w:adjustRightInd w:val="0"/>
        <w:snapToGrid w:val="0"/>
        <w:spacing w:line="320" w:lineRule="auto"/>
        <w:rPr>
          <w:rFonts w:hint="eastAsia" w:ascii="宋体" w:hAnsi="宋体" w:cs="宋体"/>
          <w:b/>
          <w:color w:val="auto"/>
          <w:spacing w:val="26"/>
          <w:szCs w:val="21"/>
          <w:highlight w:val="none"/>
        </w:rPr>
      </w:pPr>
    </w:p>
    <w:p w14:paraId="4051C4ED">
      <w:pPr>
        <w:adjustRightInd w:val="0"/>
        <w:snapToGrid w:val="0"/>
        <w:spacing w:line="320" w:lineRule="auto"/>
        <w:ind w:firstLine="1577" w:firstLineChars="600"/>
        <w:rPr>
          <w:rFonts w:hint="eastAsia" w:ascii="宋体" w:hAnsi="宋体" w:cs="宋体"/>
          <w:b/>
          <w:color w:val="auto"/>
          <w:spacing w:val="26"/>
          <w:szCs w:val="21"/>
          <w:highlight w:val="none"/>
        </w:rPr>
      </w:pPr>
    </w:p>
    <w:p w14:paraId="3D04BB43">
      <w:pPr>
        <w:adjustRightInd w:val="0"/>
        <w:snapToGrid w:val="0"/>
        <w:spacing w:line="320" w:lineRule="auto"/>
        <w:ind w:firstLine="1577" w:firstLineChars="600"/>
        <w:rPr>
          <w:rFonts w:hint="eastAsia" w:ascii="宋体" w:hAnsi="宋体" w:cs="宋体"/>
          <w:b/>
          <w:color w:val="auto"/>
          <w:spacing w:val="26"/>
          <w:szCs w:val="21"/>
          <w:highlight w:val="none"/>
        </w:rPr>
      </w:pPr>
    </w:p>
    <w:p w14:paraId="0C383AC4">
      <w:pPr>
        <w:spacing w:line="500" w:lineRule="exact"/>
        <w:jc w:val="center"/>
        <w:rPr>
          <w:rFonts w:hint="eastAsia" w:ascii="宋体" w:hAnsi="宋体" w:cs="宋体"/>
          <w:b/>
          <w:color w:val="auto"/>
          <w:sz w:val="28"/>
          <w:szCs w:val="28"/>
          <w:highlight w:val="none"/>
        </w:rPr>
      </w:pPr>
    </w:p>
    <w:p w14:paraId="44BDE8D4">
      <w:pPr>
        <w:spacing w:line="500" w:lineRule="exact"/>
        <w:jc w:val="center"/>
        <w:rPr>
          <w:rFonts w:hint="eastAsia" w:ascii="宋体" w:hAnsi="宋体" w:cs="宋体"/>
          <w:b/>
          <w:color w:val="auto"/>
          <w:sz w:val="28"/>
          <w:szCs w:val="28"/>
          <w:highlight w:val="none"/>
        </w:rPr>
      </w:pPr>
    </w:p>
    <w:p w14:paraId="1690924B">
      <w:pPr>
        <w:spacing w:line="500" w:lineRule="exact"/>
        <w:jc w:val="center"/>
        <w:rPr>
          <w:rFonts w:hint="eastAsia" w:ascii="宋体" w:hAnsi="宋体" w:cs="宋体"/>
          <w:b/>
          <w:color w:val="auto"/>
          <w:sz w:val="28"/>
          <w:szCs w:val="28"/>
          <w:highlight w:val="none"/>
        </w:rPr>
      </w:pPr>
    </w:p>
    <w:p w14:paraId="46AB9521">
      <w:pPr>
        <w:spacing w:line="500" w:lineRule="exact"/>
        <w:jc w:val="center"/>
        <w:rPr>
          <w:rFonts w:hint="eastAsia" w:ascii="宋体" w:hAnsi="宋体" w:eastAsia="宋体" w:cs="宋体"/>
          <w:b/>
          <w:color w:val="auto"/>
          <w:sz w:val="28"/>
          <w:szCs w:val="28"/>
          <w:highlight w:val="none"/>
          <w:lang w:eastAsia="zh-CN"/>
        </w:rPr>
      </w:pPr>
      <w:r>
        <w:rPr>
          <w:rFonts w:hint="eastAsia" w:ascii="宋体" w:hAnsi="宋体" w:cs="宋体"/>
          <w:b/>
          <w:color w:val="auto"/>
          <w:sz w:val="28"/>
          <w:szCs w:val="28"/>
          <w:highlight w:val="none"/>
        </w:rPr>
        <w:t>供应商：</w:t>
      </w:r>
      <w:r>
        <w:rPr>
          <w:rFonts w:hint="eastAsia" w:ascii="宋体" w:hAnsi="宋体" w:cs="宋体"/>
          <w:b/>
          <w:color w:val="auto"/>
          <w:sz w:val="28"/>
          <w:szCs w:val="28"/>
          <w:highlight w:val="none"/>
          <w:u w:val="single"/>
        </w:rPr>
        <w:t xml:space="preserve">                          </w:t>
      </w:r>
      <w:r>
        <w:rPr>
          <w:rFonts w:hint="eastAsia" w:ascii="宋体" w:hAnsi="宋体" w:cs="宋体"/>
          <w:b/>
          <w:color w:val="auto"/>
          <w:sz w:val="28"/>
          <w:szCs w:val="28"/>
          <w:highlight w:val="none"/>
        </w:rPr>
        <w:t>（盖单位章）</w:t>
      </w:r>
      <w:r>
        <w:rPr>
          <w:rFonts w:hint="eastAsia" w:ascii="宋体" w:hAnsi="宋体" w:cs="宋体"/>
          <w:b/>
          <w:color w:val="auto"/>
          <w:sz w:val="28"/>
          <w:szCs w:val="28"/>
          <w:highlight w:val="none"/>
          <w:lang w:eastAsia="zh-CN"/>
        </w:rPr>
        <w:t>（正本</w:t>
      </w:r>
      <w:r>
        <w:rPr>
          <w:rFonts w:hint="eastAsia" w:ascii="宋体" w:hAnsi="宋体" w:cs="宋体"/>
          <w:b/>
          <w:color w:val="auto"/>
          <w:sz w:val="28"/>
          <w:szCs w:val="28"/>
          <w:highlight w:val="none"/>
          <w:lang w:val="en-US" w:eastAsia="zh-CN"/>
        </w:rPr>
        <w:t>/副本</w:t>
      </w:r>
      <w:r>
        <w:rPr>
          <w:rFonts w:hint="eastAsia" w:ascii="宋体" w:hAnsi="宋体" w:cs="宋体"/>
          <w:b/>
          <w:color w:val="auto"/>
          <w:sz w:val="28"/>
          <w:szCs w:val="28"/>
          <w:highlight w:val="none"/>
          <w:lang w:eastAsia="zh-CN"/>
        </w:rPr>
        <w:t>）</w:t>
      </w:r>
    </w:p>
    <w:p w14:paraId="62066C94">
      <w:pPr>
        <w:spacing w:line="500" w:lineRule="exact"/>
        <w:jc w:val="center"/>
        <w:rPr>
          <w:rFonts w:hint="eastAsia" w:ascii="宋体" w:hAnsi="宋体" w:cs="宋体"/>
          <w:b/>
          <w:color w:val="auto"/>
          <w:sz w:val="28"/>
          <w:szCs w:val="28"/>
          <w:highlight w:val="none"/>
        </w:rPr>
      </w:pPr>
    </w:p>
    <w:p w14:paraId="208DF22C">
      <w:pPr>
        <w:spacing w:line="500" w:lineRule="exact"/>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法定代表人或其委托代理人：</w:t>
      </w:r>
      <w:r>
        <w:rPr>
          <w:rFonts w:hint="eastAsia" w:ascii="宋体" w:hAnsi="宋体" w:cs="宋体"/>
          <w:b/>
          <w:color w:val="auto"/>
          <w:sz w:val="28"/>
          <w:szCs w:val="28"/>
          <w:highlight w:val="none"/>
          <w:u w:val="single"/>
        </w:rPr>
        <w:t xml:space="preserve">             </w:t>
      </w:r>
      <w:r>
        <w:rPr>
          <w:rFonts w:hint="eastAsia" w:ascii="宋体" w:hAnsi="宋体" w:cs="宋体"/>
          <w:b/>
          <w:color w:val="auto"/>
          <w:sz w:val="28"/>
          <w:szCs w:val="28"/>
          <w:highlight w:val="none"/>
        </w:rPr>
        <w:t>（签字或盖章）</w:t>
      </w:r>
    </w:p>
    <w:p w14:paraId="271E55D6">
      <w:pPr>
        <w:spacing w:line="440" w:lineRule="exact"/>
        <w:rPr>
          <w:rFonts w:hint="eastAsia" w:ascii="宋体" w:hAnsi="宋体" w:cs="宋体"/>
          <w:b/>
          <w:color w:val="auto"/>
          <w:sz w:val="28"/>
          <w:szCs w:val="28"/>
          <w:highlight w:val="none"/>
        </w:rPr>
      </w:pPr>
    </w:p>
    <w:p w14:paraId="12F2269E">
      <w:pPr>
        <w:spacing w:line="440" w:lineRule="exact"/>
        <w:jc w:val="center"/>
        <w:rPr>
          <w:rFonts w:hint="eastAsia" w:ascii="宋体" w:hAnsi="宋体" w:cs="宋体"/>
          <w:b/>
          <w:color w:val="auto"/>
          <w:sz w:val="28"/>
          <w:szCs w:val="28"/>
          <w:highlight w:val="none"/>
        </w:rPr>
      </w:pPr>
    </w:p>
    <w:p w14:paraId="575AAA9C">
      <w:pPr>
        <w:spacing w:line="440" w:lineRule="exact"/>
        <w:jc w:val="center"/>
        <w:rPr>
          <w:rFonts w:hint="eastAsia" w:ascii="宋体" w:hAnsi="宋体" w:cs="宋体"/>
          <w:b/>
          <w:color w:val="auto"/>
          <w:kern w:val="10"/>
          <w:sz w:val="32"/>
          <w:szCs w:val="32"/>
          <w:highlight w:val="none"/>
        </w:rPr>
      </w:pPr>
      <w:r>
        <w:rPr>
          <w:rFonts w:hint="eastAsia" w:ascii="宋体" w:hAnsi="宋体" w:cs="宋体"/>
          <w:b/>
          <w:color w:val="auto"/>
          <w:sz w:val="28"/>
          <w:szCs w:val="28"/>
          <w:highlight w:val="none"/>
          <w:u w:val="single"/>
        </w:rPr>
        <w:t xml:space="preserve">         </w:t>
      </w:r>
      <w:r>
        <w:rPr>
          <w:rFonts w:hint="eastAsia" w:ascii="宋体" w:hAnsi="宋体" w:cs="宋体"/>
          <w:b/>
          <w:color w:val="auto"/>
          <w:sz w:val="28"/>
          <w:szCs w:val="28"/>
          <w:highlight w:val="none"/>
        </w:rPr>
        <w:t xml:space="preserve">年 </w:t>
      </w:r>
      <w:r>
        <w:rPr>
          <w:rFonts w:hint="eastAsia" w:ascii="宋体" w:hAnsi="宋体" w:cs="宋体"/>
          <w:b/>
          <w:color w:val="auto"/>
          <w:sz w:val="28"/>
          <w:szCs w:val="28"/>
          <w:highlight w:val="none"/>
          <w:u w:val="single"/>
        </w:rPr>
        <w:t xml:space="preserve">     </w:t>
      </w:r>
      <w:r>
        <w:rPr>
          <w:rFonts w:hint="eastAsia" w:ascii="宋体" w:hAnsi="宋体" w:cs="宋体"/>
          <w:b/>
          <w:color w:val="auto"/>
          <w:sz w:val="28"/>
          <w:szCs w:val="28"/>
          <w:highlight w:val="none"/>
        </w:rPr>
        <w:t>月</w:t>
      </w:r>
      <w:r>
        <w:rPr>
          <w:rFonts w:hint="eastAsia" w:ascii="宋体" w:hAnsi="宋体" w:cs="宋体"/>
          <w:b/>
          <w:color w:val="auto"/>
          <w:sz w:val="28"/>
          <w:szCs w:val="28"/>
          <w:highlight w:val="none"/>
          <w:u w:val="single"/>
        </w:rPr>
        <w:t xml:space="preserve">    </w:t>
      </w:r>
      <w:r>
        <w:rPr>
          <w:rFonts w:hint="eastAsia" w:ascii="宋体" w:hAnsi="宋体" w:cs="宋体"/>
          <w:b/>
          <w:color w:val="auto"/>
          <w:sz w:val="28"/>
          <w:szCs w:val="28"/>
          <w:highlight w:val="none"/>
        </w:rPr>
        <w:t>日</w:t>
      </w:r>
    </w:p>
    <w:p w14:paraId="01B706D9">
      <w:pPr>
        <w:adjustRightInd w:val="0"/>
        <w:snapToGrid w:val="0"/>
        <w:spacing w:line="320" w:lineRule="auto"/>
        <w:jc w:val="center"/>
        <w:rPr>
          <w:rFonts w:hint="eastAsia" w:ascii="宋体" w:hAnsi="宋体" w:cs="宋体"/>
          <w:b/>
          <w:color w:val="auto"/>
          <w:kern w:val="10"/>
          <w:szCs w:val="21"/>
          <w:highlight w:val="none"/>
        </w:rPr>
      </w:pPr>
    </w:p>
    <w:p w14:paraId="04048DF2">
      <w:pPr>
        <w:adjustRightInd w:val="0"/>
        <w:snapToGrid w:val="0"/>
        <w:spacing w:line="320" w:lineRule="auto"/>
        <w:rPr>
          <w:rFonts w:hint="eastAsia" w:ascii="宋体" w:hAnsi="宋体" w:cs="宋体"/>
          <w:b/>
          <w:bCs/>
          <w:color w:val="auto"/>
          <w:szCs w:val="21"/>
          <w:highlight w:val="none"/>
        </w:rPr>
      </w:pPr>
    </w:p>
    <w:p w14:paraId="5600DD97">
      <w:pPr>
        <w:spacing w:before="0" w:after="0" w:line="440" w:lineRule="exact"/>
        <w:jc w:val="center"/>
        <w:outlineLvl w:val="1"/>
        <w:rPr>
          <w:rFonts w:hint="eastAsia" w:ascii="宋体" w:hAnsi="宋体" w:cs="宋体"/>
          <w:b/>
          <w:bCs/>
          <w:color w:val="auto"/>
          <w:sz w:val="30"/>
          <w:szCs w:val="30"/>
          <w:highlight w:val="none"/>
        </w:rPr>
      </w:pPr>
      <w:r>
        <w:rPr>
          <w:rFonts w:hint="eastAsia" w:ascii="宋体" w:hAnsi="宋体" w:cs="宋体"/>
          <w:caps/>
          <w:color w:val="auto"/>
          <w:kern w:val="2"/>
          <w:szCs w:val="30"/>
          <w:highlight w:val="none"/>
          <w:lang w:val="zh-CN"/>
        </w:rPr>
        <w:br w:type="page"/>
      </w:r>
      <w:bookmarkEnd w:id="57"/>
      <w:bookmarkEnd w:id="58"/>
      <w:r>
        <w:rPr>
          <w:rFonts w:hint="eastAsia" w:ascii="宋体" w:hAnsi="宋体" w:cs="宋体"/>
          <w:b/>
          <w:bCs/>
          <w:caps/>
          <w:color w:val="auto"/>
          <w:kern w:val="2"/>
          <w:sz w:val="30"/>
          <w:szCs w:val="30"/>
          <w:highlight w:val="none"/>
          <w:lang w:val="zh-CN"/>
        </w:rPr>
        <w:t>目</w:t>
      </w:r>
      <w:r>
        <w:rPr>
          <w:rFonts w:hint="eastAsia" w:ascii="宋体" w:hAnsi="宋体" w:cs="宋体"/>
          <w:b/>
          <w:bCs/>
          <w:caps/>
          <w:color w:val="auto"/>
          <w:kern w:val="2"/>
          <w:sz w:val="30"/>
          <w:szCs w:val="30"/>
          <w:highlight w:val="none"/>
        </w:rPr>
        <w:t xml:space="preserve">  </w:t>
      </w:r>
      <w:r>
        <w:rPr>
          <w:rFonts w:hint="eastAsia" w:ascii="宋体" w:hAnsi="宋体" w:cs="宋体"/>
          <w:b/>
          <w:bCs/>
          <w:caps/>
          <w:color w:val="auto"/>
          <w:kern w:val="2"/>
          <w:sz w:val="30"/>
          <w:szCs w:val="30"/>
          <w:highlight w:val="none"/>
          <w:lang w:val="zh-CN"/>
        </w:rPr>
        <w:t>录</w:t>
      </w:r>
    </w:p>
    <w:p w14:paraId="31F2E0BC">
      <w:pPr>
        <w:adjustRightInd w:val="0"/>
        <w:snapToGrid w:val="0"/>
        <w:spacing w:line="320" w:lineRule="auto"/>
        <w:ind w:firstLine="420" w:firstLineChars="200"/>
        <w:rPr>
          <w:rFonts w:hint="eastAsia" w:ascii="宋体" w:hAnsi="宋体" w:cs="宋体"/>
          <w:color w:val="auto"/>
          <w:szCs w:val="21"/>
          <w:highlight w:val="none"/>
        </w:rPr>
      </w:pPr>
    </w:p>
    <w:p w14:paraId="3160401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一</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供应商基本情况</w:t>
      </w:r>
    </w:p>
    <w:p w14:paraId="5AE7D49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二、谈判响应函</w:t>
      </w:r>
    </w:p>
    <w:p w14:paraId="75E261C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三、谈判授权书</w:t>
      </w:r>
    </w:p>
    <w:p w14:paraId="729570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四、资格审查证明材料</w:t>
      </w:r>
    </w:p>
    <w:p w14:paraId="040A546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五、响应情况表</w:t>
      </w:r>
    </w:p>
    <w:p w14:paraId="78DD557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六、其他资料</w:t>
      </w:r>
    </w:p>
    <w:p w14:paraId="62C3880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p>
    <w:p w14:paraId="759853E6">
      <w:pPr>
        <w:rPr>
          <w:rFonts w:hint="eastAsia" w:ascii="宋体" w:hAnsi="宋体" w:cs="宋体"/>
          <w:color w:val="auto"/>
          <w:kern w:val="2"/>
          <w:sz w:val="30"/>
          <w:szCs w:val="30"/>
          <w:highlight w:val="none"/>
          <w:lang w:val="en-US" w:eastAsia="zh-CN"/>
        </w:rPr>
      </w:pPr>
      <w:r>
        <w:rPr>
          <w:rFonts w:hint="eastAsia" w:ascii="宋体" w:hAnsi="宋体" w:cs="宋体"/>
          <w:color w:val="auto"/>
          <w:kern w:val="2"/>
          <w:sz w:val="30"/>
          <w:szCs w:val="30"/>
          <w:highlight w:val="none"/>
          <w:lang w:val="en-US" w:eastAsia="zh-CN"/>
        </w:rPr>
        <w:br w:type="page"/>
      </w:r>
    </w:p>
    <w:p w14:paraId="4F86A97D">
      <w:pPr>
        <w:pStyle w:val="6"/>
        <w:spacing w:before="120" w:beforeLines="50" w:after="120" w:afterLines="50" w:line="560" w:lineRule="exact"/>
        <w:ind w:left="0" w:leftChars="0" w:firstLine="0" w:firstLineChars="0"/>
        <w:jc w:val="center"/>
        <w:outlineLvl w:val="1"/>
        <w:rPr>
          <w:rFonts w:hint="eastAsia" w:ascii="宋体" w:hAnsi="宋体" w:cs="宋体"/>
          <w:b/>
          <w:bCs/>
          <w:color w:val="auto"/>
          <w:kern w:val="2"/>
          <w:sz w:val="24"/>
          <w:szCs w:val="24"/>
          <w:highlight w:val="none"/>
        </w:rPr>
      </w:pPr>
      <w:r>
        <w:rPr>
          <w:rFonts w:hint="eastAsia" w:ascii="宋体" w:hAnsi="宋体" w:cs="宋体"/>
          <w:color w:val="auto"/>
          <w:kern w:val="2"/>
          <w:sz w:val="30"/>
          <w:szCs w:val="30"/>
          <w:highlight w:val="none"/>
          <w:lang w:val="en-US" w:eastAsia="zh-CN"/>
        </w:rPr>
        <w:t>一</w:t>
      </w:r>
      <w:r>
        <w:rPr>
          <w:rFonts w:hint="eastAsia" w:ascii="宋体" w:hAnsi="宋体" w:cs="宋体"/>
          <w:b/>
          <w:bCs/>
          <w:color w:val="auto"/>
          <w:kern w:val="2"/>
          <w:sz w:val="30"/>
          <w:szCs w:val="30"/>
          <w:highlight w:val="none"/>
          <w:lang w:val="en-US" w:eastAsia="zh-CN"/>
        </w:rPr>
        <w:t>、</w:t>
      </w:r>
      <w:r>
        <w:rPr>
          <w:rFonts w:hint="eastAsia" w:ascii="宋体" w:hAnsi="宋体" w:cs="宋体"/>
          <w:b/>
          <w:bCs/>
          <w:color w:val="auto"/>
          <w:kern w:val="2"/>
          <w:sz w:val="30"/>
          <w:szCs w:val="30"/>
          <w:highlight w:val="none"/>
        </w:rPr>
        <w:t>供应商基本情况</w:t>
      </w:r>
      <w:bookmarkStart w:id="60" w:name="_Toc172171561"/>
      <w:bookmarkStart w:id="61" w:name="_Toc121626298"/>
      <w:bookmarkStart w:id="62" w:name="_Toc516969106"/>
    </w:p>
    <w:p w14:paraId="23910F5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eastAsia="宋体"/>
          <w:sz w:val="24"/>
          <w:szCs w:val="24"/>
          <w:highlight w:val="none"/>
          <w:lang w:val="en-US" w:eastAsia="zh-CN"/>
        </w:rPr>
      </w:pPr>
      <w:r>
        <w:rPr>
          <w:rFonts w:hint="eastAsia" w:ascii="宋体" w:hAnsi="宋体" w:cs="宋体"/>
          <w:color w:val="auto"/>
          <w:kern w:val="2"/>
          <w:sz w:val="24"/>
          <w:szCs w:val="24"/>
          <w:highlight w:val="none"/>
          <w:lang w:val="en-US" w:eastAsia="zh-CN"/>
        </w:rPr>
        <w:t>（格式自拟）</w:t>
      </w:r>
    </w:p>
    <w:p w14:paraId="5E7796DE">
      <w:pPr>
        <w:adjustRightInd w:val="0"/>
        <w:snapToGrid w:val="0"/>
        <w:spacing w:before="156" w:beforeLines="50" w:after="156" w:afterLines="50" w:line="440" w:lineRule="exact"/>
        <w:jc w:val="center"/>
        <w:outlineLvl w:val="9"/>
        <w:rPr>
          <w:rFonts w:hint="eastAsia" w:ascii="宋体" w:hAnsi="宋体" w:cs="宋体"/>
          <w:color w:val="auto"/>
          <w:kern w:val="2"/>
          <w:sz w:val="24"/>
          <w:szCs w:val="24"/>
          <w:highlight w:val="none"/>
        </w:rPr>
      </w:pPr>
    </w:p>
    <w:p w14:paraId="623C030F">
      <w:pPr>
        <w:rPr>
          <w:rFonts w:hint="eastAsia" w:ascii="宋体" w:hAnsi="宋体" w:eastAsia="宋体" w:cs="宋体"/>
          <w:color w:val="auto"/>
          <w:kern w:val="2"/>
          <w:sz w:val="30"/>
          <w:szCs w:val="30"/>
          <w:highlight w:val="none"/>
          <w:lang w:val="en-US" w:eastAsia="zh-CN"/>
        </w:rPr>
      </w:pPr>
      <w:r>
        <w:rPr>
          <w:rFonts w:hint="eastAsia" w:ascii="宋体" w:hAnsi="宋体" w:eastAsia="宋体" w:cs="宋体"/>
          <w:color w:val="auto"/>
          <w:kern w:val="2"/>
          <w:sz w:val="30"/>
          <w:szCs w:val="30"/>
          <w:highlight w:val="none"/>
          <w:lang w:val="en-US" w:eastAsia="zh-CN"/>
        </w:rPr>
        <w:br w:type="page"/>
      </w:r>
    </w:p>
    <w:p w14:paraId="6421E07C">
      <w:pPr>
        <w:pStyle w:val="6"/>
        <w:adjustRightInd w:val="0"/>
        <w:snapToGrid w:val="0"/>
        <w:spacing w:before="156" w:beforeLines="50" w:after="156" w:afterLines="50" w:line="440" w:lineRule="exact"/>
        <w:ind w:left="0" w:leftChars="0" w:firstLine="0" w:firstLineChars="0"/>
        <w:jc w:val="center"/>
        <w:outlineLvl w:val="1"/>
        <w:rPr>
          <w:rFonts w:hint="eastAsia" w:ascii="宋体" w:hAnsi="宋体" w:eastAsia="宋体" w:cs="宋体"/>
          <w:color w:val="auto"/>
          <w:kern w:val="2"/>
          <w:sz w:val="30"/>
          <w:szCs w:val="30"/>
          <w:highlight w:val="none"/>
        </w:rPr>
      </w:pPr>
      <w:r>
        <w:rPr>
          <w:rFonts w:hint="eastAsia" w:ascii="宋体" w:hAnsi="宋体" w:eastAsia="宋体" w:cs="宋体"/>
          <w:color w:val="auto"/>
          <w:kern w:val="2"/>
          <w:sz w:val="30"/>
          <w:szCs w:val="30"/>
          <w:highlight w:val="none"/>
          <w:lang w:val="en-US" w:eastAsia="zh-CN"/>
        </w:rPr>
        <w:t>二</w:t>
      </w:r>
      <w:r>
        <w:rPr>
          <w:rFonts w:hint="eastAsia" w:ascii="宋体" w:hAnsi="宋体" w:eastAsia="宋体" w:cs="宋体"/>
          <w:color w:val="auto"/>
          <w:kern w:val="2"/>
          <w:sz w:val="30"/>
          <w:szCs w:val="30"/>
          <w:highlight w:val="none"/>
        </w:rPr>
        <w:t>、</w:t>
      </w:r>
      <w:r>
        <w:rPr>
          <w:rFonts w:hint="eastAsia" w:ascii="宋体" w:hAnsi="宋体" w:eastAsia="宋体" w:cs="宋体"/>
          <w:color w:val="auto"/>
          <w:kern w:val="2"/>
          <w:sz w:val="30"/>
          <w:szCs w:val="30"/>
          <w:highlight w:val="none"/>
          <w:lang w:val="en-US" w:eastAsia="zh-CN"/>
        </w:rPr>
        <w:t>谈判响应</w:t>
      </w:r>
      <w:r>
        <w:rPr>
          <w:rFonts w:hint="eastAsia" w:ascii="宋体" w:hAnsi="宋体" w:eastAsia="宋体" w:cs="宋体"/>
          <w:color w:val="auto"/>
          <w:kern w:val="2"/>
          <w:sz w:val="30"/>
          <w:szCs w:val="30"/>
          <w:highlight w:val="none"/>
        </w:rPr>
        <w:t>函</w:t>
      </w:r>
    </w:p>
    <w:p w14:paraId="40D08066">
      <w:pPr>
        <w:adjustRightInd w:val="0"/>
        <w:snapToGrid w:val="0"/>
        <w:spacing w:line="320" w:lineRule="auto"/>
        <w:jc w:val="center"/>
        <w:rPr>
          <w:rFonts w:hint="eastAsia" w:ascii="宋体" w:hAnsi="宋体" w:cs="宋体"/>
          <w:b/>
          <w:color w:val="auto"/>
          <w:szCs w:val="21"/>
          <w:highlight w:val="none"/>
        </w:rPr>
      </w:pPr>
    </w:p>
    <w:p w14:paraId="32CFA8C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致：</w:t>
      </w:r>
      <w:r>
        <w:rPr>
          <w:rFonts w:hint="eastAsia" w:ascii="宋体" w:hAnsi="宋体" w:eastAsia="宋体" w:cs="宋体"/>
          <w:b/>
          <w:bCs/>
          <w:color w:val="auto"/>
          <w:sz w:val="24"/>
          <w:szCs w:val="24"/>
          <w:highlight w:val="none"/>
          <w:u w:val="single"/>
        </w:rPr>
        <w:t>（代理机构名称）</w:t>
      </w:r>
    </w:p>
    <w:p w14:paraId="6AF17EA4">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color w:val="auto"/>
          <w:sz w:val="24"/>
          <w:szCs w:val="24"/>
          <w:highlight w:val="none"/>
        </w:rPr>
      </w:pPr>
    </w:p>
    <w:p w14:paraId="3CB3701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1、根据项目编号：</w:t>
      </w:r>
      <w:r>
        <w:rPr>
          <w:rFonts w:hint="eastAsia" w:ascii="宋体" w:hAnsi="宋体" w:eastAsia="宋体" w:cs="宋体"/>
          <w:b w:val="0"/>
          <w:bCs w:val="0"/>
          <w:color w:val="auto"/>
          <w:sz w:val="24"/>
          <w:szCs w:val="24"/>
          <w:highlight w:val="none"/>
          <w:u w:val="single"/>
          <w:lang w:eastAsia="zh-CN"/>
        </w:rPr>
        <w:t>（</w:t>
      </w:r>
      <w:r>
        <w:rPr>
          <w:rFonts w:hint="eastAsia" w:ascii="宋体" w:hAnsi="宋体" w:eastAsia="宋体" w:cs="宋体"/>
          <w:b w:val="0"/>
          <w:bCs w:val="0"/>
          <w:color w:val="auto"/>
          <w:sz w:val="24"/>
          <w:szCs w:val="24"/>
          <w:highlight w:val="none"/>
          <w:u w:val="single"/>
          <w:lang w:val="en-US" w:eastAsia="zh-CN"/>
        </w:rPr>
        <w:t>项目编号）</w:t>
      </w:r>
      <w:r>
        <w:rPr>
          <w:rFonts w:hint="eastAsia" w:ascii="宋体" w:hAnsi="宋体" w:eastAsia="宋体" w:cs="宋体"/>
          <w:b w:val="0"/>
          <w:bCs w:val="0"/>
          <w:color w:val="auto"/>
          <w:sz w:val="24"/>
          <w:szCs w:val="24"/>
          <w:highlight w:val="none"/>
        </w:rPr>
        <w:t>号谈判公告的内容，我方决定参加贵方组织的</w:t>
      </w:r>
      <w:r>
        <w:rPr>
          <w:rFonts w:hint="eastAsia" w:ascii="宋体" w:hAnsi="宋体" w:eastAsia="宋体" w:cs="宋体"/>
          <w:b w:val="0"/>
          <w:bCs w:val="0"/>
          <w:color w:val="auto"/>
          <w:sz w:val="24"/>
          <w:szCs w:val="24"/>
          <w:highlight w:val="none"/>
          <w:u w:val="single"/>
          <w:lang w:eastAsia="zh-CN"/>
        </w:rPr>
        <w:t>（</w:t>
      </w:r>
      <w:r>
        <w:rPr>
          <w:rFonts w:hint="eastAsia" w:ascii="宋体" w:hAnsi="宋体" w:eastAsia="宋体" w:cs="宋体"/>
          <w:b w:val="0"/>
          <w:bCs w:val="0"/>
          <w:color w:val="auto"/>
          <w:sz w:val="24"/>
          <w:szCs w:val="24"/>
          <w:highlight w:val="none"/>
          <w:u w:val="single"/>
          <w:lang w:val="en-US" w:eastAsia="zh-CN"/>
        </w:rPr>
        <w:t>项目名称</w:t>
      </w:r>
      <w:r>
        <w:rPr>
          <w:rFonts w:hint="eastAsia" w:ascii="宋体" w:hAnsi="宋体" w:eastAsia="宋体" w:cs="宋体"/>
          <w:b w:val="0"/>
          <w:bCs w:val="0"/>
          <w:color w:val="auto"/>
          <w:sz w:val="24"/>
          <w:szCs w:val="24"/>
          <w:highlight w:val="none"/>
          <w:u w:val="single"/>
          <w:lang w:eastAsia="zh-CN"/>
        </w:rPr>
        <w:t>）</w:t>
      </w:r>
      <w:r>
        <w:rPr>
          <w:rFonts w:hint="eastAsia" w:ascii="宋体" w:hAnsi="宋体" w:eastAsia="宋体" w:cs="宋体"/>
          <w:b w:val="0"/>
          <w:bCs w:val="0"/>
          <w:color w:val="auto"/>
          <w:sz w:val="24"/>
          <w:szCs w:val="24"/>
          <w:highlight w:val="none"/>
        </w:rPr>
        <w:t>项目的竞争性谈判采购。我方授权</w:t>
      </w:r>
      <w:r>
        <w:rPr>
          <w:rFonts w:hint="eastAsia" w:ascii="宋体" w:hAnsi="宋体" w:eastAsia="宋体" w:cs="宋体"/>
          <w:b w:val="0"/>
          <w:bCs w:val="0"/>
          <w:color w:val="auto"/>
          <w:sz w:val="24"/>
          <w:szCs w:val="24"/>
          <w:highlight w:val="none"/>
          <w:u w:val="single"/>
          <w:lang w:eastAsia="zh-CN"/>
        </w:rPr>
        <w:t>（</w:t>
      </w:r>
      <w:r>
        <w:rPr>
          <w:rFonts w:hint="eastAsia" w:ascii="宋体" w:hAnsi="宋体" w:eastAsia="宋体" w:cs="宋体"/>
          <w:b w:val="0"/>
          <w:bCs w:val="0"/>
          <w:color w:val="auto"/>
          <w:sz w:val="24"/>
          <w:szCs w:val="24"/>
          <w:highlight w:val="none"/>
          <w:u w:val="single"/>
        </w:rPr>
        <w:t>授权代表</w:t>
      </w:r>
      <w:r>
        <w:rPr>
          <w:rFonts w:hint="eastAsia" w:ascii="宋体" w:hAnsi="宋体" w:eastAsia="宋体" w:cs="宋体"/>
          <w:b w:val="0"/>
          <w:bCs w:val="0"/>
          <w:color w:val="auto"/>
          <w:sz w:val="24"/>
          <w:szCs w:val="24"/>
          <w:highlight w:val="none"/>
          <w:u w:val="single"/>
          <w:lang w:val="en-US" w:eastAsia="zh-CN"/>
        </w:rPr>
        <w:t>姓名）</w:t>
      </w:r>
      <w:r>
        <w:rPr>
          <w:rFonts w:hint="eastAsia" w:ascii="宋体" w:hAnsi="宋体" w:eastAsia="宋体" w:cs="宋体"/>
          <w:b w:val="0"/>
          <w:bCs w:val="0"/>
          <w:color w:val="auto"/>
          <w:sz w:val="24"/>
          <w:szCs w:val="24"/>
          <w:highlight w:val="none"/>
        </w:rPr>
        <w:t>)代表我方</w:t>
      </w:r>
      <w:r>
        <w:rPr>
          <w:rFonts w:hint="eastAsia" w:ascii="宋体" w:hAnsi="宋体" w:eastAsia="宋体" w:cs="宋体"/>
          <w:b w:val="0"/>
          <w:bCs w:val="0"/>
          <w:color w:val="auto"/>
          <w:sz w:val="24"/>
          <w:szCs w:val="24"/>
          <w:highlight w:val="none"/>
          <w:u w:val="single"/>
          <w:lang w:eastAsia="zh-CN"/>
        </w:rPr>
        <w:t>（</w:t>
      </w:r>
      <w:r>
        <w:rPr>
          <w:rFonts w:hint="eastAsia" w:ascii="宋体" w:hAnsi="宋体" w:eastAsia="宋体" w:cs="宋体"/>
          <w:b w:val="0"/>
          <w:bCs w:val="0"/>
          <w:color w:val="auto"/>
          <w:sz w:val="24"/>
          <w:szCs w:val="24"/>
          <w:highlight w:val="none"/>
          <w:u w:val="single"/>
          <w:lang w:val="en-US" w:eastAsia="zh-CN"/>
        </w:rPr>
        <w:t>供应商名称）</w:t>
      </w:r>
      <w:r>
        <w:rPr>
          <w:rFonts w:hint="eastAsia" w:ascii="宋体" w:hAnsi="宋体" w:eastAsia="宋体" w:cs="宋体"/>
          <w:b w:val="0"/>
          <w:bCs w:val="0"/>
          <w:color w:val="auto"/>
          <w:sz w:val="24"/>
          <w:szCs w:val="24"/>
          <w:highlight w:val="none"/>
        </w:rPr>
        <w:t>全权处理本项目谈判的有关事宜。</w:t>
      </w:r>
    </w:p>
    <w:p w14:paraId="7D94E24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2、我方愿意按照采购</w:t>
      </w:r>
      <w:r>
        <w:rPr>
          <w:rFonts w:hint="eastAsia" w:ascii="宋体" w:hAnsi="宋体" w:eastAsia="宋体" w:cs="宋体"/>
          <w:b w:val="0"/>
          <w:bCs w:val="0"/>
          <w:color w:val="auto"/>
          <w:sz w:val="24"/>
          <w:szCs w:val="24"/>
          <w:highlight w:val="none"/>
          <w:lang w:val="en-US" w:eastAsia="zh-CN"/>
        </w:rPr>
        <w:t>文件</w:t>
      </w:r>
      <w:r>
        <w:rPr>
          <w:rFonts w:hint="eastAsia" w:ascii="宋体" w:hAnsi="宋体" w:eastAsia="宋体" w:cs="宋体"/>
          <w:b w:val="0"/>
          <w:bCs w:val="0"/>
          <w:color w:val="auto"/>
          <w:sz w:val="24"/>
          <w:szCs w:val="24"/>
          <w:highlight w:val="none"/>
        </w:rPr>
        <w:t>规定的各项要求，向采购人提供所需的服务。</w:t>
      </w:r>
    </w:p>
    <w:p w14:paraId="125AE85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3、一旦我方中标，我方将严格履行合同规定的责任和义务，保证于采购人要求的日期内完成</w:t>
      </w:r>
      <w:r>
        <w:rPr>
          <w:rFonts w:hint="eastAsia" w:ascii="宋体" w:hAnsi="宋体" w:eastAsia="宋体" w:cs="宋体"/>
          <w:b w:val="0"/>
          <w:bCs w:val="0"/>
          <w:color w:val="auto"/>
          <w:sz w:val="24"/>
          <w:szCs w:val="24"/>
          <w:highlight w:val="none"/>
          <w:lang w:val="en-US" w:eastAsia="zh-CN"/>
        </w:rPr>
        <w:t>服务内容</w:t>
      </w:r>
      <w:r>
        <w:rPr>
          <w:rFonts w:hint="eastAsia" w:ascii="宋体" w:hAnsi="宋体" w:eastAsia="宋体" w:cs="宋体"/>
          <w:b w:val="0"/>
          <w:bCs w:val="0"/>
          <w:color w:val="auto"/>
          <w:sz w:val="24"/>
          <w:szCs w:val="24"/>
          <w:highlight w:val="none"/>
        </w:rPr>
        <w:t>。</w:t>
      </w:r>
    </w:p>
    <w:p w14:paraId="15CC5D7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4、如我公司成交，我公司承诺愿意按谈判文件规定缴纳履约保证金。</w:t>
      </w:r>
    </w:p>
    <w:p w14:paraId="26DB47D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5、我方愿意提供贵方可能另外要求的、与谈判有关的文件资料，并保证我方已提供和将要提供的文件是真实的、准确的。</w:t>
      </w:r>
    </w:p>
    <w:p w14:paraId="3C10775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6、我方完全理解贵方不一定将合同授予最低报价的供应商。</w:t>
      </w:r>
    </w:p>
    <w:p w14:paraId="071CDB9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szCs w:val="24"/>
          <w:highlight w:val="none"/>
        </w:rPr>
      </w:pPr>
    </w:p>
    <w:p w14:paraId="65079619">
      <w:pPr>
        <w:spacing w:line="36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供应商盖章</w:t>
      </w:r>
      <w:r>
        <w:rPr>
          <w:rFonts w:hint="eastAsia" w:ascii="宋体" w:hAnsi="宋体" w:eastAsia="宋体" w:cs="宋体"/>
          <w:b w:val="0"/>
          <w:bCs w:val="0"/>
          <w:color w:val="auto"/>
          <w:sz w:val="24"/>
          <w:szCs w:val="24"/>
          <w:highlight w:val="none"/>
        </w:rPr>
        <w:t>：</w:t>
      </w:r>
    </w:p>
    <w:p w14:paraId="64DB5E6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日     期：</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rPr>
        <w:t>年</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rPr>
        <w:t>月</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rPr>
        <w:t>日</w:t>
      </w:r>
    </w:p>
    <w:p w14:paraId="4A195227">
      <w:pPr>
        <w:pStyle w:val="6"/>
        <w:adjustRightInd w:val="0"/>
        <w:snapToGrid w:val="0"/>
        <w:spacing w:before="156" w:beforeLines="50" w:after="156" w:afterLines="50" w:line="440" w:lineRule="exact"/>
        <w:ind w:left="0" w:leftChars="0" w:firstLine="0" w:firstLineChars="0"/>
        <w:jc w:val="center"/>
        <w:outlineLvl w:val="1"/>
        <w:rPr>
          <w:rFonts w:hint="eastAsia" w:ascii="宋体" w:hAnsi="宋体" w:eastAsia="宋体" w:cs="宋体"/>
          <w:color w:val="auto"/>
          <w:kern w:val="2"/>
          <w:sz w:val="30"/>
          <w:szCs w:val="30"/>
          <w:highlight w:val="none"/>
          <w:lang w:val="en-US" w:eastAsia="zh-CN"/>
        </w:rPr>
      </w:pPr>
      <w:r>
        <w:rPr>
          <w:rFonts w:hint="eastAsia" w:ascii="宋体" w:hAnsi="宋体" w:eastAsia="宋体" w:cs="宋体"/>
          <w:color w:val="auto"/>
          <w:kern w:val="2"/>
          <w:sz w:val="30"/>
          <w:szCs w:val="30"/>
          <w:highlight w:val="none"/>
          <w:lang w:val="en-US" w:eastAsia="zh-CN"/>
        </w:rPr>
        <w:br w:type="page"/>
      </w:r>
      <w:r>
        <w:rPr>
          <w:rFonts w:hint="eastAsia" w:ascii="宋体" w:hAnsi="宋体" w:eastAsia="宋体" w:cs="宋体"/>
          <w:color w:val="auto"/>
          <w:kern w:val="2"/>
          <w:sz w:val="30"/>
          <w:szCs w:val="30"/>
          <w:highlight w:val="none"/>
          <w:lang w:val="en-US" w:eastAsia="zh-CN"/>
        </w:rPr>
        <w:t>三</w:t>
      </w:r>
      <w:r>
        <w:rPr>
          <w:rFonts w:hint="eastAsia" w:ascii="宋体" w:hAnsi="宋体" w:eastAsia="宋体" w:cs="宋体"/>
          <w:color w:val="auto"/>
          <w:kern w:val="2"/>
          <w:sz w:val="30"/>
          <w:szCs w:val="30"/>
          <w:highlight w:val="none"/>
        </w:rPr>
        <w:t>、</w:t>
      </w:r>
      <w:r>
        <w:rPr>
          <w:rFonts w:hint="eastAsia" w:ascii="宋体" w:hAnsi="宋体" w:eastAsia="宋体" w:cs="宋体"/>
          <w:color w:val="auto"/>
          <w:kern w:val="2"/>
          <w:sz w:val="30"/>
          <w:szCs w:val="30"/>
          <w:highlight w:val="none"/>
          <w:lang w:val="en-US" w:eastAsia="zh-CN"/>
        </w:rPr>
        <w:t>谈判授权书</w:t>
      </w:r>
    </w:p>
    <w:p w14:paraId="5B8CB50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本授权书声明：</w:t>
      </w:r>
      <w:r>
        <w:rPr>
          <w:rFonts w:hint="eastAsia" w:ascii="宋体" w:hAnsi="宋体" w:cs="宋体"/>
          <w:color w:val="auto"/>
          <w:sz w:val="24"/>
          <w:szCs w:val="24"/>
          <w:highlight w:val="none"/>
          <w:u w:val="single"/>
        </w:rPr>
        <w:t>（供应商名称）</w:t>
      </w:r>
      <w:r>
        <w:rPr>
          <w:rFonts w:hint="eastAsia" w:ascii="宋体" w:hAnsi="宋体" w:cs="宋体"/>
          <w:color w:val="auto"/>
          <w:sz w:val="24"/>
          <w:szCs w:val="24"/>
          <w:highlight w:val="none"/>
          <w:u w:val="none"/>
        </w:rPr>
        <w:t>授权</w:t>
      </w:r>
      <w:r>
        <w:rPr>
          <w:rFonts w:hint="eastAsia" w:ascii="宋体" w:hAnsi="宋体" w:cs="宋体"/>
          <w:color w:val="auto"/>
          <w:sz w:val="24"/>
          <w:szCs w:val="24"/>
          <w:highlight w:val="none"/>
          <w:u w:val="single"/>
        </w:rPr>
        <w:t>（供应商授权代表姓名）</w:t>
      </w:r>
      <w:r>
        <w:rPr>
          <w:rFonts w:hint="eastAsia" w:ascii="宋体" w:hAnsi="宋体" w:cs="宋体"/>
          <w:color w:val="auto"/>
          <w:sz w:val="24"/>
          <w:szCs w:val="24"/>
          <w:highlight w:val="none"/>
          <w:u w:val="none"/>
        </w:rPr>
        <w:t>代表我方参加</w:t>
      </w:r>
      <w:r>
        <w:rPr>
          <w:rFonts w:hint="eastAsia" w:ascii="宋体" w:hAnsi="宋体" w:cs="宋体"/>
          <w:color w:val="auto"/>
          <w:sz w:val="24"/>
          <w:szCs w:val="24"/>
          <w:highlight w:val="none"/>
          <w:u w:val="single"/>
        </w:rPr>
        <w:t>（项目编号）（项目名称）</w:t>
      </w:r>
      <w:r>
        <w:rPr>
          <w:rFonts w:hint="eastAsia" w:ascii="宋体" w:hAnsi="宋体" w:cs="宋体"/>
          <w:color w:val="auto"/>
          <w:sz w:val="24"/>
          <w:szCs w:val="24"/>
          <w:highlight w:val="none"/>
          <w:u w:val="none"/>
        </w:rPr>
        <w:t>采购活动</w:t>
      </w:r>
      <w:r>
        <w:rPr>
          <w:rFonts w:hint="eastAsia" w:ascii="宋体" w:hAnsi="宋体" w:cs="宋体"/>
          <w:color w:val="auto"/>
          <w:sz w:val="24"/>
          <w:szCs w:val="24"/>
          <w:highlight w:val="none"/>
        </w:rPr>
        <w:t>，以我方名义全权处理与该项目谈判、签订合同以及合同执行有关的一切事务。</w:t>
      </w:r>
    </w:p>
    <w:p w14:paraId="7448A034">
      <w:pPr>
        <w:pStyle w:val="17"/>
        <w:snapToGrid w:val="0"/>
        <w:spacing w:line="360" w:lineRule="auto"/>
        <w:ind w:firstLine="480" w:firstLineChars="200"/>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本授权书自出具之日起生效。</w:t>
      </w:r>
    </w:p>
    <w:p w14:paraId="4DD53AAE">
      <w:pPr>
        <w:pStyle w:val="17"/>
        <w:snapToGrid w:val="0"/>
        <w:spacing w:line="360" w:lineRule="auto"/>
        <w:ind w:firstLine="480" w:firstLineChars="200"/>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授权代表</w:t>
      </w:r>
      <w:r>
        <w:rPr>
          <w:rFonts w:hint="eastAsia" w:ascii="宋体" w:hAnsi="宋体" w:eastAsia="宋体" w:cs="宋体"/>
          <w:b w:val="0"/>
          <w:bCs w:val="0"/>
          <w:color w:val="auto"/>
          <w:sz w:val="24"/>
          <w:szCs w:val="24"/>
          <w:highlight w:val="none"/>
        </w:rPr>
        <w:t>身份证明</w:t>
      </w:r>
      <w:r>
        <w:rPr>
          <w:rFonts w:hint="eastAsia" w:ascii="宋体" w:hAnsi="宋体" w:eastAsia="宋体" w:cs="宋体"/>
          <w:b w:val="0"/>
          <w:bCs w:val="0"/>
          <w:color w:val="auto"/>
          <w:sz w:val="24"/>
          <w:szCs w:val="24"/>
          <w:highlight w:val="none"/>
          <w:lang w:val="en-US" w:eastAsia="zh-CN"/>
        </w:rPr>
        <w:t>复印件</w:t>
      </w:r>
      <w:r>
        <w:rPr>
          <w:rFonts w:hint="eastAsia" w:ascii="宋体" w:hAnsi="宋体" w:eastAsia="宋体" w:cs="宋体"/>
          <w:b w:val="0"/>
          <w:bCs w:val="0"/>
          <w:color w:val="auto"/>
          <w:sz w:val="24"/>
          <w:szCs w:val="24"/>
          <w:highlight w:val="none"/>
        </w:rPr>
        <w:t>：</w:t>
      </w:r>
    </w:p>
    <w:p w14:paraId="6545A2CD">
      <w:pPr>
        <w:pStyle w:val="17"/>
        <w:snapToGrid w:val="0"/>
        <w:spacing w:line="360" w:lineRule="auto"/>
        <w:ind w:firstLine="480" w:firstLineChars="200"/>
        <w:jc w:val="left"/>
        <w:rPr>
          <w:rFonts w:hint="eastAsia" w:ascii="宋体" w:hAnsi="宋体" w:eastAsia="宋体" w:cs="宋体"/>
          <w:b w:val="0"/>
          <w:bCs w:val="0"/>
          <w:color w:val="auto"/>
          <w:sz w:val="24"/>
          <w:szCs w:val="24"/>
          <w:highlight w:val="none"/>
        </w:rPr>
      </w:pPr>
    </w:p>
    <w:p w14:paraId="6C9123D7">
      <w:pPr>
        <w:pStyle w:val="17"/>
        <w:snapToGrid w:val="0"/>
        <w:spacing w:line="360" w:lineRule="auto"/>
        <w:ind w:firstLine="480" w:firstLineChars="200"/>
        <w:jc w:val="left"/>
        <w:rPr>
          <w:rFonts w:hint="eastAsia" w:ascii="宋体" w:hAnsi="宋体" w:eastAsia="宋体" w:cs="宋体"/>
          <w:b w:val="0"/>
          <w:bCs w:val="0"/>
          <w:color w:val="auto"/>
          <w:sz w:val="24"/>
          <w:szCs w:val="24"/>
          <w:highlight w:val="none"/>
        </w:rPr>
      </w:pPr>
    </w:p>
    <w:p w14:paraId="16D19030">
      <w:pPr>
        <w:pStyle w:val="17"/>
        <w:snapToGrid w:val="0"/>
        <w:spacing w:line="360" w:lineRule="auto"/>
        <w:ind w:firstLine="480" w:firstLineChars="200"/>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授权代表联系方式：</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rPr>
        <w:t>（请填写手机号码）</w:t>
      </w:r>
    </w:p>
    <w:p w14:paraId="63B9F2C2">
      <w:pPr>
        <w:spacing w:line="360" w:lineRule="auto"/>
        <w:ind w:firstLine="645"/>
        <w:rPr>
          <w:rFonts w:hint="eastAsia" w:ascii="宋体" w:hAnsi="宋体" w:eastAsia="宋体" w:cs="宋体"/>
          <w:b w:val="0"/>
          <w:bCs w:val="0"/>
          <w:color w:val="auto"/>
          <w:sz w:val="24"/>
          <w:szCs w:val="24"/>
          <w:highlight w:val="none"/>
        </w:rPr>
      </w:pPr>
    </w:p>
    <w:p w14:paraId="63B58C2B">
      <w:pPr>
        <w:pStyle w:val="17"/>
        <w:snapToGrid w:val="0"/>
        <w:spacing w:line="360" w:lineRule="auto"/>
        <w:ind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特此声明。</w:t>
      </w:r>
    </w:p>
    <w:p w14:paraId="6FD4407A">
      <w:pPr>
        <w:pStyle w:val="17"/>
        <w:snapToGrid w:val="0"/>
        <w:spacing w:line="360" w:lineRule="auto"/>
        <w:ind w:firstLine="480" w:firstLineChars="200"/>
        <w:jc w:val="left"/>
        <w:rPr>
          <w:rFonts w:hint="eastAsia" w:ascii="宋体" w:hAnsi="宋体" w:eastAsia="宋体" w:cs="宋体"/>
          <w:b w:val="0"/>
          <w:bCs w:val="0"/>
          <w:color w:val="auto"/>
          <w:sz w:val="24"/>
          <w:szCs w:val="24"/>
          <w:highlight w:val="none"/>
          <w:lang w:val="en-US" w:eastAsia="zh-CN"/>
        </w:rPr>
      </w:pPr>
    </w:p>
    <w:p w14:paraId="5EB4C790">
      <w:pPr>
        <w:spacing w:line="36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供应商盖章</w:t>
      </w:r>
      <w:r>
        <w:rPr>
          <w:rFonts w:hint="eastAsia" w:ascii="宋体" w:hAnsi="宋体" w:eastAsia="宋体" w:cs="宋体"/>
          <w:b w:val="0"/>
          <w:bCs w:val="0"/>
          <w:color w:val="auto"/>
          <w:sz w:val="24"/>
          <w:szCs w:val="24"/>
          <w:highlight w:val="none"/>
        </w:rPr>
        <w:t>：</w:t>
      </w:r>
    </w:p>
    <w:p w14:paraId="7801286D">
      <w:pPr>
        <w:spacing w:line="36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日     期：</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rPr>
        <w:t>年</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rPr>
        <w:t>月</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rPr>
        <w:t>日</w:t>
      </w:r>
    </w:p>
    <w:p w14:paraId="4B4B8C56">
      <w:pPr>
        <w:rPr>
          <w:rFonts w:hint="eastAsia" w:ascii="宋体" w:hAnsi="宋体" w:eastAsia="宋体" w:cs="宋体"/>
          <w:b w:val="0"/>
          <w:bCs w:val="0"/>
          <w:color w:val="auto"/>
          <w:sz w:val="24"/>
          <w:szCs w:val="24"/>
          <w:highlight w:val="none"/>
        </w:rPr>
      </w:pPr>
    </w:p>
    <w:p w14:paraId="2A760A35">
      <w:pPr>
        <w:pStyle w:val="2"/>
        <w:ind w:left="0" w:leftChars="0" w:firstLine="0" w:firstLineChars="0"/>
        <w:rPr>
          <w:rFonts w:hint="eastAsia" w:ascii="宋体" w:hAnsi="宋体" w:eastAsia="宋体" w:cs="宋体"/>
          <w:b w:val="0"/>
          <w:bCs w:val="0"/>
          <w:sz w:val="24"/>
          <w:szCs w:val="24"/>
          <w:highlight w:val="none"/>
        </w:rPr>
      </w:pPr>
    </w:p>
    <w:p w14:paraId="084E8891">
      <w:pPr>
        <w:pStyle w:val="17"/>
        <w:keepNext w:val="0"/>
        <w:keepLines w:val="0"/>
        <w:pageBreakBefore w:val="0"/>
        <w:widowControl w:val="0"/>
        <w:kinsoku/>
        <w:wordWrap/>
        <w:overflowPunct/>
        <w:topLinePunct w:val="0"/>
        <w:autoSpaceDE/>
        <w:autoSpaceDN/>
        <w:bidi w:val="0"/>
        <w:snapToGrid w:val="0"/>
        <w:spacing w:line="360" w:lineRule="auto"/>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注：</w:t>
      </w:r>
    </w:p>
    <w:p w14:paraId="3B79DA60">
      <w:pPr>
        <w:pStyle w:val="17"/>
        <w:keepNext w:val="0"/>
        <w:keepLines w:val="0"/>
        <w:pageBreakBefore w:val="0"/>
        <w:widowControl w:val="0"/>
        <w:numPr>
          <w:ilvl w:val="0"/>
          <w:numId w:val="0"/>
        </w:numPr>
        <w:kinsoku/>
        <w:wordWrap/>
        <w:overflowPunct/>
        <w:topLinePunct w:val="0"/>
        <w:autoSpaceDE/>
        <w:autoSpaceDN/>
        <w:bidi w:val="0"/>
        <w:snapToGrid w:val="0"/>
        <w:spacing w:line="360" w:lineRule="auto"/>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2"/>
          <w:sz w:val="24"/>
          <w:szCs w:val="24"/>
          <w:highlight w:val="none"/>
          <w:lang w:val="en-US" w:eastAsia="zh-CN" w:bidi="ar-SA"/>
        </w:rPr>
        <w:t>1、</w:t>
      </w:r>
      <w:r>
        <w:rPr>
          <w:rFonts w:hint="eastAsia" w:ascii="宋体" w:hAnsi="宋体" w:eastAsia="宋体" w:cs="宋体"/>
          <w:b w:val="0"/>
          <w:bCs w:val="0"/>
          <w:color w:val="auto"/>
          <w:sz w:val="24"/>
          <w:szCs w:val="24"/>
          <w:highlight w:val="none"/>
        </w:rPr>
        <w:t>本项目只允许有唯一的供应商授权代表（提供身份证明</w:t>
      </w:r>
      <w:r>
        <w:rPr>
          <w:rFonts w:hint="eastAsia" w:ascii="宋体" w:hAnsi="宋体" w:eastAsia="宋体" w:cs="宋体"/>
          <w:b w:val="0"/>
          <w:bCs w:val="0"/>
          <w:color w:val="auto"/>
          <w:sz w:val="24"/>
          <w:szCs w:val="24"/>
          <w:highlight w:val="none"/>
          <w:lang w:eastAsia="zh-CN"/>
        </w:rPr>
        <w:t>复印件</w:t>
      </w:r>
      <w:r>
        <w:rPr>
          <w:rFonts w:hint="eastAsia" w:ascii="宋体" w:hAnsi="宋体" w:eastAsia="宋体" w:cs="宋体"/>
          <w:b w:val="0"/>
          <w:bCs w:val="0"/>
          <w:color w:val="auto"/>
          <w:sz w:val="24"/>
          <w:szCs w:val="24"/>
          <w:highlight w:val="none"/>
        </w:rPr>
        <w:t>及联系方式）；</w:t>
      </w:r>
    </w:p>
    <w:p w14:paraId="72AE104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宋体" w:hAnsi="宋体" w:eastAsia="宋体" w:cs="宋体"/>
          <w:color w:val="auto"/>
          <w:szCs w:val="21"/>
          <w:highlight w:val="none"/>
          <w:lang w:val="en-US" w:eastAsia="zh-CN"/>
        </w:rPr>
      </w:pPr>
      <w:r>
        <w:rPr>
          <w:rFonts w:hint="eastAsia" w:ascii="宋体" w:hAnsi="宋体" w:eastAsia="宋体" w:cs="宋体"/>
          <w:b w:val="0"/>
          <w:bCs w:val="0"/>
          <w:color w:val="auto"/>
          <w:sz w:val="24"/>
          <w:szCs w:val="24"/>
          <w:highlight w:val="none"/>
        </w:rPr>
        <w:t>2、法定代表人参加</w:t>
      </w:r>
      <w:r>
        <w:rPr>
          <w:rFonts w:hint="eastAsia" w:ascii="宋体" w:hAnsi="宋体" w:eastAsia="宋体" w:cs="宋体"/>
          <w:b w:val="0"/>
          <w:bCs w:val="0"/>
          <w:color w:val="auto"/>
          <w:sz w:val="24"/>
          <w:szCs w:val="24"/>
          <w:highlight w:val="none"/>
          <w:lang w:val="en-US" w:eastAsia="zh-CN"/>
        </w:rPr>
        <w:t>采购活动</w:t>
      </w:r>
      <w:r>
        <w:rPr>
          <w:rFonts w:hint="eastAsia" w:ascii="宋体" w:hAnsi="宋体" w:eastAsia="宋体" w:cs="宋体"/>
          <w:b w:val="0"/>
          <w:bCs w:val="0"/>
          <w:color w:val="auto"/>
          <w:sz w:val="24"/>
          <w:szCs w:val="24"/>
          <w:highlight w:val="none"/>
        </w:rPr>
        <w:t>的无需提供</w:t>
      </w:r>
      <w:r>
        <w:rPr>
          <w:rFonts w:hint="eastAsia" w:ascii="宋体" w:hAnsi="宋体" w:eastAsia="宋体" w:cs="宋体"/>
          <w:b w:val="0"/>
          <w:bCs w:val="0"/>
          <w:color w:val="auto"/>
          <w:sz w:val="24"/>
          <w:szCs w:val="24"/>
          <w:highlight w:val="none"/>
          <w:lang w:val="en-US" w:eastAsia="zh-CN"/>
        </w:rPr>
        <w:t>谈判</w:t>
      </w:r>
      <w:r>
        <w:rPr>
          <w:rFonts w:hint="eastAsia" w:ascii="宋体" w:hAnsi="宋体" w:eastAsia="宋体" w:cs="宋体"/>
          <w:b w:val="0"/>
          <w:bCs w:val="0"/>
          <w:color w:val="auto"/>
          <w:sz w:val="24"/>
          <w:szCs w:val="24"/>
          <w:highlight w:val="none"/>
        </w:rPr>
        <w:t>授权书，仅提供身份证明</w:t>
      </w:r>
      <w:r>
        <w:rPr>
          <w:rFonts w:hint="eastAsia" w:ascii="宋体" w:hAnsi="宋体" w:eastAsia="宋体" w:cs="宋体"/>
          <w:b w:val="0"/>
          <w:bCs w:val="0"/>
          <w:color w:val="auto"/>
          <w:sz w:val="24"/>
          <w:szCs w:val="24"/>
          <w:highlight w:val="none"/>
          <w:lang w:eastAsia="zh-CN"/>
        </w:rPr>
        <w:t>复印件</w:t>
      </w:r>
      <w:r>
        <w:rPr>
          <w:rFonts w:hint="eastAsia" w:ascii="宋体" w:hAnsi="宋体" w:eastAsia="宋体" w:cs="宋体"/>
          <w:b w:val="0"/>
          <w:bCs w:val="0"/>
          <w:color w:val="auto"/>
          <w:sz w:val="24"/>
          <w:szCs w:val="24"/>
          <w:highlight w:val="none"/>
        </w:rPr>
        <w:t>及联系方式即可。</w:t>
      </w:r>
    </w:p>
    <w:p w14:paraId="0A74DEEF">
      <w:pPr>
        <w:pStyle w:val="3"/>
        <w:rPr>
          <w:rFonts w:hint="eastAsia"/>
          <w:highlight w:val="none"/>
          <w:lang w:eastAsia="zh-CN"/>
        </w:rPr>
      </w:pPr>
    </w:p>
    <w:p w14:paraId="55565527">
      <w:pPr>
        <w:rPr>
          <w:rFonts w:hint="eastAsia" w:ascii="宋体" w:hAnsi="宋体" w:cs="宋体"/>
          <w:color w:val="auto"/>
          <w:kern w:val="2"/>
          <w:sz w:val="24"/>
          <w:szCs w:val="24"/>
          <w:highlight w:val="none"/>
          <w:lang w:val="en-US" w:eastAsia="zh-CN"/>
        </w:rPr>
      </w:pPr>
      <w:r>
        <w:rPr>
          <w:rFonts w:hint="eastAsia" w:ascii="宋体" w:hAnsi="宋体" w:cs="宋体"/>
          <w:color w:val="auto"/>
          <w:kern w:val="2"/>
          <w:sz w:val="24"/>
          <w:szCs w:val="24"/>
          <w:highlight w:val="none"/>
          <w:lang w:val="en-US" w:eastAsia="zh-CN"/>
        </w:rPr>
        <w:br w:type="page"/>
      </w:r>
    </w:p>
    <w:p w14:paraId="1B8D1ED7">
      <w:pPr>
        <w:numPr>
          <w:ilvl w:val="0"/>
          <w:numId w:val="0"/>
        </w:numPr>
        <w:jc w:val="center"/>
        <w:outlineLvl w:val="1"/>
        <w:rPr>
          <w:rFonts w:hint="eastAsia" w:ascii="宋体" w:hAnsi="宋体" w:eastAsia="宋体" w:cs="宋体"/>
          <w:b/>
          <w:bCs/>
          <w:color w:val="auto"/>
          <w:kern w:val="2"/>
          <w:sz w:val="30"/>
          <w:szCs w:val="30"/>
          <w:highlight w:val="none"/>
          <w:lang w:val="en-US" w:eastAsia="zh-CN" w:bidi="ar-SA"/>
        </w:rPr>
      </w:pPr>
      <w:r>
        <w:rPr>
          <w:rFonts w:hint="eastAsia" w:ascii="宋体" w:hAnsi="宋体" w:cs="宋体"/>
          <w:b/>
          <w:bCs/>
          <w:color w:val="auto"/>
          <w:kern w:val="2"/>
          <w:sz w:val="30"/>
          <w:szCs w:val="30"/>
          <w:highlight w:val="none"/>
          <w:lang w:val="en-US" w:eastAsia="zh-CN"/>
        </w:rPr>
        <w:t>四、</w:t>
      </w:r>
      <w:r>
        <w:rPr>
          <w:rFonts w:hint="eastAsia" w:ascii="宋体" w:hAnsi="宋体" w:eastAsia="宋体" w:cs="宋体"/>
          <w:b/>
          <w:bCs/>
          <w:color w:val="auto"/>
          <w:kern w:val="2"/>
          <w:sz w:val="30"/>
          <w:szCs w:val="30"/>
          <w:highlight w:val="none"/>
          <w:lang w:val="en-US" w:eastAsia="zh-CN" w:bidi="ar-SA"/>
        </w:rPr>
        <w:t>资格审查证明材料</w:t>
      </w:r>
    </w:p>
    <w:p w14:paraId="58EAE343">
      <w:pPr>
        <w:pStyle w:val="35"/>
        <w:numPr>
          <w:ilvl w:val="0"/>
          <w:numId w:val="0"/>
        </w:numPr>
        <w:rPr>
          <w:rFonts w:hint="default"/>
          <w:highlight w:val="none"/>
          <w:lang w:val="en-US" w:eastAsia="zh-CN"/>
        </w:rPr>
      </w:pPr>
    </w:p>
    <w:p w14:paraId="634D42D0">
      <w:pPr>
        <w:numPr>
          <w:ilvl w:val="0"/>
          <w:numId w:val="0"/>
        </w:numPr>
        <w:rPr>
          <w:rFonts w:hint="eastAsia" w:ascii="宋体" w:hAnsi="宋体" w:cs="宋体"/>
          <w:color w:val="auto"/>
          <w:kern w:val="2"/>
          <w:sz w:val="24"/>
          <w:szCs w:val="24"/>
          <w:highlight w:val="none"/>
          <w:lang w:val="en-US" w:eastAsia="zh-CN"/>
        </w:rPr>
      </w:pPr>
    </w:p>
    <w:p w14:paraId="090977F3">
      <w:pPr>
        <w:numPr>
          <w:ilvl w:val="0"/>
          <w:numId w:val="0"/>
        </w:numPr>
        <w:rPr>
          <w:rFonts w:hint="eastAsia" w:ascii="宋体" w:hAnsi="宋体" w:cs="宋体"/>
          <w:color w:val="auto"/>
          <w:kern w:val="2"/>
          <w:sz w:val="24"/>
          <w:szCs w:val="24"/>
          <w:highlight w:val="none"/>
          <w:lang w:val="en-US" w:eastAsia="zh-CN"/>
        </w:rPr>
      </w:pPr>
    </w:p>
    <w:p w14:paraId="156A31D1">
      <w:pPr>
        <w:numPr>
          <w:ilvl w:val="0"/>
          <w:numId w:val="0"/>
        </w:numPr>
        <w:rPr>
          <w:rFonts w:hint="eastAsia" w:ascii="宋体" w:hAnsi="宋体" w:cs="宋体"/>
          <w:color w:val="auto"/>
          <w:kern w:val="2"/>
          <w:sz w:val="24"/>
          <w:szCs w:val="24"/>
          <w:highlight w:val="none"/>
          <w:lang w:val="en-US" w:eastAsia="zh-CN"/>
        </w:rPr>
      </w:pPr>
    </w:p>
    <w:p w14:paraId="22F4EA07">
      <w:pPr>
        <w:numPr>
          <w:ilvl w:val="0"/>
          <w:numId w:val="0"/>
        </w:numPr>
        <w:rPr>
          <w:rFonts w:hint="eastAsia" w:ascii="宋体" w:hAnsi="宋体" w:cs="宋体"/>
          <w:color w:val="auto"/>
          <w:kern w:val="2"/>
          <w:sz w:val="24"/>
          <w:szCs w:val="24"/>
          <w:highlight w:val="none"/>
          <w:lang w:val="en-US" w:eastAsia="zh-CN"/>
        </w:rPr>
      </w:pPr>
      <w:r>
        <w:rPr>
          <w:rFonts w:hint="eastAsia" w:ascii="宋体" w:hAnsi="宋体" w:cs="宋体"/>
          <w:color w:val="auto"/>
          <w:kern w:val="2"/>
          <w:sz w:val="24"/>
          <w:szCs w:val="24"/>
          <w:highlight w:val="none"/>
          <w:lang w:val="en-US" w:eastAsia="zh-CN"/>
        </w:rPr>
        <w:br w:type="page"/>
      </w:r>
    </w:p>
    <w:p w14:paraId="042A5A9B">
      <w:pPr>
        <w:pStyle w:val="6"/>
        <w:adjustRightInd w:val="0"/>
        <w:snapToGrid w:val="0"/>
        <w:spacing w:before="156" w:beforeLines="50" w:after="156" w:afterLines="50" w:line="440" w:lineRule="exact"/>
        <w:ind w:left="0" w:leftChars="0" w:firstLine="0" w:firstLineChars="0"/>
        <w:jc w:val="center"/>
        <w:outlineLvl w:val="1"/>
        <w:rPr>
          <w:rFonts w:hint="default" w:ascii="宋体" w:hAnsi="宋体" w:cs="宋体"/>
          <w:color w:val="auto"/>
          <w:kern w:val="2"/>
          <w:sz w:val="24"/>
          <w:szCs w:val="24"/>
          <w:highlight w:val="none"/>
          <w:lang w:val="en-US"/>
        </w:rPr>
      </w:pPr>
      <w:r>
        <w:rPr>
          <w:rFonts w:hint="eastAsia" w:ascii="宋体" w:hAnsi="宋体" w:eastAsia="宋体" w:cs="宋体"/>
          <w:color w:val="000000"/>
          <w:sz w:val="30"/>
          <w:szCs w:val="30"/>
          <w:highlight w:val="none"/>
          <w:lang w:val="en-US" w:eastAsia="zh-CN"/>
        </w:rPr>
        <w:t>五</w:t>
      </w:r>
      <w:r>
        <w:rPr>
          <w:rFonts w:hint="eastAsia" w:ascii="宋体" w:hAnsi="宋体" w:eastAsia="宋体" w:cs="宋体"/>
          <w:color w:val="auto"/>
          <w:kern w:val="2"/>
          <w:sz w:val="30"/>
          <w:szCs w:val="30"/>
          <w:highlight w:val="none"/>
        </w:rPr>
        <w:t>、</w:t>
      </w:r>
      <w:r>
        <w:rPr>
          <w:rFonts w:hint="eastAsia" w:ascii="宋体" w:hAnsi="宋体" w:eastAsia="宋体" w:cs="宋体"/>
          <w:color w:val="auto"/>
          <w:kern w:val="2"/>
          <w:sz w:val="30"/>
          <w:szCs w:val="30"/>
          <w:highlight w:val="none"/>
          <w:lang w:val="en-US" w:eastAsia="zh-CN"/>
        </w:rPr>
        <w:t>响应情况表</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840"/>
        <w:gridCol w:w="1794"/>
        <w:gridCol w:w="2196"/>
        <w:gridCol w:w="2222"/>
        <w:gridCol w:w="1978"/>
      </w:tblGrid>
      <w:tr w14:paraId="4CC7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70" w:hRule="atLeast"/>
          <w:jc w:val="center"/>
        </w:trPr>
        <w:tc>
          <w:tcPr>
            <w:tcW w:w="4830" w:type="dxa"/>
            <w:gridSpan w:val="3"/>
            <w:noWrap w:val="0"/>
            <w:vAlign w:val="center"/>
          </w:tcPr>
          <w:p w14:paraId="7E0540B2">
            <w:pPr>
              <w:jc w:val="center"/>
              <w:rPr>
                <w:rFonts w:ascii="宋体" w:hAnsi="宋体" w:cs="宋体"/>
                <w:b/>
                <w:color w:val="auto"/>
                <w:sz w:val="24"/>
                <w:szCs w:val="21"/>
                <w:highlight w:val="none"/>
              </w:rPr>
            </w:pPr>
            <w:r>
              <w:rPr>
                <w:rFonts w:hint="eastAsia" w:ascii="宋体" w:hAnsi="宋体" w:cs="宋体"/>
                <w:b/>
                <w:color w:val="auto"/>
                <w:sz w:val="24"/>
                <w:szCs w:val="21"/>
                <w:highlight w:val="none"/>
                <w:lang w:val="en-US" w:eastAsia="zh-CN"/>
              </w:rPr>
              <w:t>谈判</w:t>
            </w:r>
            <w:r>
              <w:rPr>
                <w:rFonts w:hint="eastAsia" w:ascii="宋体" w:hAnsi="宋体" w:cs="宋体"/>
                <w:b/>
                <w:color w:val="auto"/>
                <w:sz w:val="24"/>
                <w:szCs w:val="21"/>
                <w:highlight w:val="none"/>
              </w:rPr>
              <w:t>文件规定填写</w:t>
            </w:r>
          </w:p>
        </w:tc>
        <w:tc>
          <w:tcPr>
            <w:tcW w:w="4200" w:type="dxa"/>
            <w:gridSpan w:val="2"/>
            <w:noWrap w:val="0"/>
            <w:vAlign w:val="center"/>
          </w:tcPr>
          <w:p w14:paraId="03953F55">
            <w:pPr>
              <w:jc w:val="center"/>
              <w:rPr>
                <w:rFonts w:ascii="宋体" w:hAnsi="宋体" w:cs="宋体"/>
                <w:b/>
                <w:color w:val="auto"/>
                <w:sz w:val="24"/>
                <w:szCs w:val="21"/>
                <w:highlight w:val="none"/>
              </w:rPr>
            </w:pPr>
            <w:r>
              <w:rPr>
                <w:rFonts w:hint="eastAsia" w:ascii="宋体" w:hAnsi="宋体" w:cs="宋体"/>
                <w:b/>
                <w:color w:val="auto"/>
                <w:sz w:val="24"/>
                <w:szCs w:val="21"/>
                <w:highlight w:val="none"/>
              </w:rPr>
              <w:t>按供应商所投内容填写</w:t>
            </w:r>
          </w:p>
        </w:tc>
      </w:tr>
      <w:tr w14:paraId="2542C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53" w:hRule="atLeast"/>
          <w:jc w:val="center"/>
        </w:trPr>
        <w:tc>
          <w:tcPr>
            <w:tcW w:w="840" w:type="dxa"/>
            <w:noWrap w:val="0"/>
            <w:vAlign w:val="center"/>
          </w:tcPr>
          <w:p w14:paraId="593B14B9">
            <w:pPr>
              <w:jc w:val="center"/>
              <w:rPr>
                <w:rFonts w:ascii="宋体" w:hAnsi="宋体" w:cs="宋体"/>
                <w:b/>
                <w:color w:val="auto"/>
                <w:sz w:val="24"/>
                <w:szCs w:val="21"/>
                <w:highlight w:val="none"/>
              </w:rPr>
            </w:pPr>
            <w:r>
              <w:rPr>
                <w:rFonts w:hint="eastAsia" w:ascii="宋体" w:hAnsi="宋体" w:cs="宋体"/>
                <w:b/>
                <w:color w:val="auto"/>
                <w:sz w:val="24"/>
                <w:szCs w:val="21"/>
                <w:highlight w:val="none"/>
              </w:rPr>
              <w:t>序号</w:t>
            </w:r>
          </w:p>
        </w:tc>
        <w:tc>
          <w:tcPr>
            <w:tcW w:w="1794" w:type="dxa"/>
            <w:noWrap w:val="0"/>
            <w:vAlign w:val="center"/>
          </w:tcPr>
          <w:p w14:paraId="5DED8379">
            <w:pPr>
              <w:jc w:val="center"/>
              <w:rPr>
                <w:rFonts w:ascii="宋体" w:hAnsi="宋体" w:cs="宋体"/>
                <w:b/>
                <w:color w:val="auto"/>
                <w:sz w:val="24"/>
                <w:szCs w:val="21"/>
                <w:highlight w:val="none"/>
              </w:rPr>
            </w:pPr>
            <w:r>
              <w:rPr>
                <w:rFonts w:hint="eastAsia" w:ascii="宋体" w:hAnsi="宋体" w:cs="宋体"/>
                <w:b/>
                <w:color w:val="auto"/>
                <w:sz w:val="24"/>
                <w:szCs w:val="21"/>
                <w:highlight w:val="none"/>
              </w:rPr>
              <w:t>内容</w:t>
            </w:r>
          </w:p>
        </w:tc>
        <w:tc>
          <w:tcPr>
            <w:tcW w:w="2196" w:type="dxa"/>
            <w:noWrap w:val="0"/>
            <w:vAlign w:val="center"/>
          </w:tcPr>
          <w:p w14:paraId="05A67DD0">
            <w:pPr>
              <w:jc w:val="center"/>
              <w:rPr>
                <w:rFonts w:ascii="宋体" w:hAnsi="宋体" w:cs="宋体"/>
                <w:b/>
                <w:color w:val="auto"/>
                <w:sz w:val="24"/>
                <w:szCs w:val="21"/>
                <w:highlight w:val="none"/>
              </w:rPr>
            </w:pPr>
            <w:r>
              <w:rPr>
                <w:rFonts w:hint="eastAsia" w:ascii="宋体" w:hAnsi="宋体" w:cs="宋体"/>
                <w:b/>
                <w:color w:val="auto"/>
                <w:sz w:val="24"/>
                <w:szCs w:val="21"/>
                <w:highlight w:val="none"/>
                <w:lang w:val="en-US" w:eastAsia="zh-CN"/>
              </w:rPr>
              <w:t>谈判</w:t>
            </w:r>
            <w:r>
              <w:rPr>
                <w:rFonts w:hint="eastAsia" w:ascii="宋体" w:hAnsi="宋体" w:cs="宋体"/>
                <w:b/>
                <w:color w:val="auto"/>
                <w:sz w:val="24"/>
                <w:szCs w:val="21"/>
                <w:highlight w:val="none"/>
              </w:rPr>
              <w:t>文件要求</w:t>
            </w:r>
          </w:p>
        </w:tc>
        <w:tc>
          <w:tcPr>
            <w:tcW w:w="2222" w:type="dxa"/>
            <w:noWrap w:val="0"/>
            <w:vAlign w:val="center"/>
          </w:tcPr>
          <w:p w14:paraId="1FE4748B">
            <w:pPr>
              <w:jc w:val="center"/>
              <w:rPr>
                <w:rFonts w:ascii="宋体" w:hAnsi="宋体" w:cs="宋体"/>
                <w:b/>
                <w:color w:val="auto"/>
                <w:sz w:val="24"/>
                <w:szCs w:val="21"/>
                <w:highlight w:val="none"/>
              </w:rPr>
            </w:pPr>
            <w:r>
              <w:rPr>
                <w:rFonts w:hint="eastAsia" w:ascii="宋体" w:hAnsi="宋体" w:cs="宋体"/>
                <w:b/>
                <w:color w:val="auto"/>
                <w:sz w:val="24"/>
                <w:szCs w:val="21"/>
                <w:highlight w:val="none"/>
              </w:rPr>
              <w:t>响应承诺</w:t>
            </w:r>
          </w:p>
        </w:tc>
        <w:tc>
          <w:tcPr>
            <w:tcW w:w="1978" w:type="dxa"/>
            <w:noWrap w:val="0"/>
            <w:vAlign w:val="center"/>
          </w:tcPr>
          <w:p w14:paraId="7485A2E9">
            <w:pPr>
              <w:jc w:val="center"/>
              <w:rPr>
                <w:rFonts w:ascii="宋体" w:hAnsi="宋体" w:cs="宋体"/>
                <w:b/>
                <w:color w:val="auto"/>
                <w:sz w:val="24"/>
                <w:szCs w:val="21"/>
                <w:highlight w:val="none"/>
              </w:rPr>
            </w:pPr>
            <w:r>
              <w:rPr>
                <w:rFonts w:hint="eastAsia" w:ascii="宋体" w:hAnsi="宋体" w:cs="宋体"/>
                <w:b/>
                <w:color w:val="auto"/>
                <w:sz w:val="24"/>
                <w:szCs w:val="21"/>
                <w:highlight w:val="none"/>
              </w:rPr>
              <w:t>偏离说明</w:t>
            </w:r>
          </w:p>
        </w:tc>
      </w:tr>
      <w:tr w14:paraId="4D1BA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44C051DB">
            <w:pPr>
              <w:jc w:val="center"/>
              <w:rPr>
                <w:rFonts w:ascii="宋体" w:hAnsi="宋体" w:cs="宋体"/>
                <w:color w:val="auto"/>
                <w:sz w:val="24"/>
                <w:szCs w:val="24"/>
                <w:highlight w:val="none"/>
              </w:rPr>
            </w:pPr>
            <w:r>
              <w:rPr>
                <w:rFonts w:hint="eastAsia" w:ascii="宋体" w:hAnsi="宋体" w:cs="宋体"/>
                <w:color w:val="auto"/>
                <w:sz w:val="24"/>
                <w:szCs w:val="24"/>
                <w:highlight w:val="none"/>
              </w:rPr>
              <w:t>1</w:t>
            </w:r>
          </w:p>
        </w:tc>
        <w:tc>
          <w:tcPr>
            <w:tcW w:w="1794" w:type="dxa"/>
            <w:noWrap w:val="0"/>
            <w:vAlign w:val="center"/>
          </w:tcPr>
          <w:p w14:paraId="78EE98FA">
            <w:pPr>
              <w:jc w:val="center"/>
              <w:rPr>
                <w:rFonts w:hint="eastAsia" w:ascii="宋体" w:hAnsi="宋体" w:eastAsia="宋体" w:cs="宋体"/>
                <w:b w:val="0"/>
                <w:bCs/>
                <w:color w:val="auto"/>
                <w:sz w:val="24"/>
                <w:szCs w:val="21"/>
                <w:highlight w:val="none"/>
              </w:rPr>
            </w:pPr>
            <w:r>
              <w:rPr>
                <w:rFonts w:hint="eastAsia" w:ascii="宋体" w:hAnsi="宋体" w:eastAsia="宋体" w:cs="宋体"/>
                <w:b w:val="0"/>
                <w:bCs/>
                <w:color w:val="auto"/>
                <w:sz w:val="24"/>
                <w:szCs w:val="21"/>
                <w:highlight w:val="none"/>
                <w:lang w:val="en-US" w:eastAsia="zh-CN"/>
              </w:rPr>
              <w:t>服务内容</w:t>
            </w:r>
          </w:p>
        </w:tc>
        <w:tc>
          <w:tcPr>
            <w:tcW w:w="2196" w:type="dxa"/>
            <w:noWrap w:val="0"/>
            <w:vAlign w:val="center"/>
          </w:tcPr>
          <w:p w14:paraId="756E6E75">
            <w:pPr>
              <w:rPr>
                <w:rFonts w:ascii="宋体" w:hAnsi="宋体" w:cs="宋体"/>
                <w:color w:val="auto"/>
                <w:sz w:val="24"/>
                <w:szCs w:val="24"/>
                <w:highlight w:val="none"/>
              </w:rPr>
            </w:pPr>
          </w:p>
        </w:tc>
        <w:tc>
          <w:tcPr>
            <w:tcW w:w="2222" w:type="dxa"/>
            <w:noWrap w:val="0"/>
            <w:vAlign w:val="center"/>
          </w:tcPr>
          <w:p w14:paraId="065B3813">
            <w:pPr>
              <w:rPr>
                <w:rFonts w:ascii="宋体" w:hAnsi="宋体" w:cs="宋体"/>
                <w:color w:val="auto"/>
                <w:sz w:val="24"/>
                <w:szCs w:val="24"/>
                <w:highlight w:val="none"/>
              </w:rPr>
            </w:pPr>
          </w:p>
        </w:tc>
        <w:tc>
          <w:tcPr>
            <w:tcW w:w="1978" w:type="dxa"/>
            <w:noWrap w:val="0"/>
            <w:vAlign w:val="center"/>
          </w:tcPr>
          <w:p w14:paraId="369D5EFE">
            <w:pPr>
              <w:rPr>
                <w:rFonts w:ascii="宋体" w:hAnsi="宋体" w:cs="宋体"/>
                <w:color w:val="auto"/>
                <w:sz w:val="24"/>
                <w:szCs w:val="24"/>
                <w:highlight w:val="none"/>
              </w:rPr>
            </w:pPr>
          </w:p>
        </w:tc>
      </w:tr>
      <w:tr w14:paraId="76EC3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050E62E1">
            <w:pPr>
              <w:jc w:val="center"/>
              <w:rPr>
                <w:rFonts w:ascii="宋体" w:hAnsi="宋体" w:cs="宋体"/>
                <w:color w:val="auto"/>
                <w:sz w:val="24"/>
                <w:szCs w:val="24"/>
                <w:highlight w:val="none"/>
              </w:rPr>
            </w:pPr>
            <w:r>
              <w:rPr>
                <w:rFonts w:hint="eastAsia" w:ascii="宋体" w:hAnsi="宋体" w:cs="宋体"/>
                <w:color w:val="auto"/>
                <w:sz w:val="24"/>
                <w:szCs w:val="24"/>
                <w:highlight w:val="none"/>
              </w:rPr>
              <w:t>2</w:t>
            </w:r>
          </w:p>
        </w:tc>
        <w:tc>
          <w:tcPr>
            <w:tcW w:w="1794" w:type="dxa"/>
            <w:noWrap w:val="0"/>
            <w:vAlign w:val="center"/>
          </w:tcPr>
          <w:p w14:paraId="12A95710">
            <w:pPr>
              <w:jc w:val="center"/>
              <w:rPr>
                <w:rFonts w:hint="eastAsia" w:ascii="宋体" w:hAnsi="宋体" w:eastAsia="宋体" w:cs="宋体"/>
                <w:b w:val="0"/>
                <w:bCs/>
                <w:color w:val="auto"/>
                <w:sz w:val="24"/>
                <w:szCs w:val="21"/>
                <w:highlight w:val="none"/>
              </w:rPr>
            </w:pPr>
            <w:r>
              <w:rPr>
                <w:rFonts w:hint="eastAsia" w:ascii="宋体" w:hAnsi="宋体" w:eastAsia="宋体" w:cs="宋体"/>
                <w:b w:val="0"/>
                <w:bCs/>
                <w:color w:val="auto"/>
                <w:sz w:val="24"/>
                <w:szCs w:val="21"/>
                <w:highlight w:val="none"/>
                <w:lang w:val="en-US" w:eastAsia="zh-CN"/>
              </w:rPr>
              <w:t>服务</w:t>
            </w:r>
            <w:r>
              <w:rPr>
                <w:rFonts w:hint="eastAsia" w:ascii="宋体" w:hAnsi="宋体" w:eastAsia="宋体" w:cs="宋体"/>
                <w:b w:val="0"/>
                <w:bCs/>
                <w:color w:val="auto"/>
                <w:sz w:val="24"/>
                <w:szCs w:val="21"/>
                <w:highlight w:val="none"/>
              </w:rPr>
              <w:t>期</w:t>
            </w:r>
          </w:p>
        </w:tc>
        <w:tc>
          <w:tcPr>
            <w:tcW w:w="2196" w:type="dxa"/>
            <w:noWrap w:val="0"/>
            <w:vAlign w:val="center"/>
          </w:tcPr>
          <w:p w14:paraId="372BCF2F">
            <w:pPr>
              <w:rPr>
                <w:rFonts w:ascii="宋体" w:hAnsi="宋体" w:cs="宋体"/>
                <w:color w:val="auto"/>
                <w:sz w:val="24"/>
                <w:szCs w:val="24"/>
                <w:highlight w:val="none"/>
              </w:rPr>
            </w:pPr>
          </w:p>
        </w:tc>
        <w:tc>
          <w:tcPr>
            <w:tcW w:w="2222" w:type="dxa"/>
            <w:noWrap w:val="0"/>
            <w:vAlign w:val="center"/>
          </w:tcPr>
          <w:p w14:paraId="4A440E36">
            <w:pPr>
              <w:rPr>
                <w:rFonts w:ascii="宋体" w:hAnsi="宋体" w:cs="宋体"/>
                <w:color w:val="auto"/>
                <w:sz w:val="24"/>
                <w:szCs w:val="24"/>
                <w:highlight w:val="none"/>
              </w:rPr>
            </w:pPr>
          </w:p>
        </w:tc>
        <w:tc>
          <w:tcPr>
            <w:tcW w:w="1978" w:type="dxa"/>
            <w:noWrap w:val="0"/>
            <w:vAlign w:val="center"/>
          </w:tcPr>
          <w:p w14:paraId="68966357">
            <w:pPr>
              <w:rPr>
                <w:rFonts w:ascii="宋体" w:hAnsi="宋体" w:cs="宋体"/>
                <w:color w:val="auto"/>
                <w:sz w:val="24"/>
                <w:szCs w:val="24"/>
                <w:highlight w:val="none"/>
              </w:rPr>
            </w:pPr>
          </w:p>
        </w:tc>
      </w:tr>
      <w:tr w14:paraId="69E24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65252AF0">
            <w:pPr>
              <w:jc w:val="center"/>
              <w:rPr>
                <w:rFonts w:ascii="宋体" w:hAnsi="宋体" w:cs="宋体"/>
                <w:color w:val="auto"/>
                <w:sz w:val="24"/>
                <w:szCs w:val="24"/>
                <w:highlight w:val="none"/>
              </w:rPr>
            </w:pPr>
            <w:r>
              <w:rPr>
                <w:rFonts w:hint="eastAsia" w:ascii="宋体" w:hAnsi="宋体" w:cs="宋体"/>
                <w:color w:val="auto"/>
                <w:sz w:val="24"/>
                <w:szCs w:val="24"/>
                <w:highlight w:val="none"/>
              </w:rPr>
              <w:t>3</w:t>
            </w:r>
          </w:p>
        </w:tc>
        <w:tc>
          <w:tcPr>
            <w:tcW w:w="1794" w:type="dxa"/>
            <w:noWrap w:val="0"/>
            <w:vAlign w:val="center"/>
          </w:tcPr>
          <w:p w14:paraId="0475F3C3">
            <w:pPr>
              <w:jc w:val="center"/>
              <w:rPr>
                <w:rFonts w:hint="eastAsia" w:ascii="宋体" w:hAnsi="宋体" w:eastAsia="宋体" w:cs="宋体"/>
                <w:b w:val="0"/>
                <w:bCs/>
                <w:color w:val="auto"/>
                <w:sz w:val="24"/>
                <w:szCs w:val="21"/>
                <w:highlight w:val="none"/>
              </w:rPr>
            </w:pPr>
            <w:r>
              <w:rPr>
                <w:rFonts w:hint="eastAsia" w:ascii="宋体" w:hAnsi="宋体" w:eastAsia="宋体" w:cs="宋体"/>
                <w:b w:val="0"/>
                <w:bCs/>
                <w:color w:val="auto"/>
                <w:sz w:val="24"/>
                <w:szCs w:val="21"/>
                <w:highlight w:val="none"/>
                <w:lang w:val="en-US" w:eastAsia="zh-CN"/>
              </w:rPr>
              <w:t>付款方式</w:t>
            </w:r>
          </w:p>
        </w:tc>
        <w:tc>
          <w:tcPr>
            <w:tcW w:w="2196" w:type="dxa"/>
            <w:noWrap w:val="0"/>
            <w:vAlign w:val="center"/>
          </w:tcPr>
          <w:p w14:paraId="300D284A">
            <w:pPr>
              <w:rPr>
                <w:rFonts w:ascii="宋体" w:hAnsi="宋体" w:cs="宋体"/>
                <w:color w:val="auto"/>
                <w:sz w:val="24"/>
                <w:szCs w:val="24"/>
                <w:highlight w:val="none"/>
              </w:rPr>
            </w:pPr>
          </w:p>
        </w:tc>
        <w:tc>
          <w:tcPr>
            <w:tcW w:w="2222" w:type="dxa"/>
            <w:noWrap w:val="0"/>
            <w:vAlign w:val="center"/>
          </w:tcPr>
          <w:p w14:paraId="3D26CD32">
            <w:pPr>
              <w:rPr>
                <w:rFonts w:ascii="宋体" w:hAnsi="宋体" w:cs="宋体"/>
                <w:color w:val="auto"/>
                <w:sz w:val="24"/>
                <w:szCs w:val="24"/>
                <w:highlight w:val="none"/>
              </w:rPr>
            </w:pPr>
          </w:p>
        </w:tc>
        <w:tc>
          <w:tcPr>
            <w:tcW w:w="1978" w:type="dxa"/>
            <w:noWrap w:val="0"/>
            <w:vAlign w:val="center"/>
          </w:tcPr>
          <w:p w14:paraId="3F4AC11F">
            <w:pPr>
              <w:rPr>
                <w:rFonts w:ascii="宋体" w:hAnsi="宋体" w:cs="宋体"/>
                <w:color w:val="auto"/>
                <w:sz w:val="24"/>
                <w:szCs w:val="24"/>
                <w:highlight w:val="none"/>
              </w:rPr>
            </w:pPr>
          </w:p>
        </w:tc>
      </w:tr>
      <w:tr w14:paraId="22485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74E854C6">
            <w:pPr>
              <w:jc w:val="center"/>
              <w:rPr>
                <w:rFonts w:ascii="宋体" w:hAnsi="宋体" w:cs="宋体"/>
                <w:color w:val="auto"/>
                <w:sz w:val="24"/>
                <w:szCs w:val="24"/>
                <w:highlight w:val="none"/>
              </w:rPr>
            </w:pPr>
            <w:r>
              <w:rPr>
                <w:rFonts w:hint="eastAsia" w:ascii="宋体" w:hAnsi="宋体" w:cs="宋体"/>
                <w:color w:val="auto"/>
                <w:sz w:val="24"/>
                <w:szCs w:val="24"/>
                <w:highlight w:val="none"/>
              </w:rPr>
              <w:t>4</w:t>
            </w:r>
          </w:p>
        </w:tc>
        <w:tc>
          <w:tcPr>
            <w:tcW w:w="1794" w:type="dxa"/>
            <w:noWrap w:val="0"/>
            <w:vAlign w:val="center"/>
          </w:tcPr>
          <w:p w14:paraId="3744026C">
            <w:pPr>
              <w:jc w:val="center"/>
              <w:rPr>
                <w:rFonts w:hint="eastAsia" w:ascii="宋体" w:hAnsi="宋体" w:eastAsia="宋体" w:cs="宋体"/>
                <w:b w:val="0"/>
                <w:bCs/>
                <w:color w:val="auto"/>
                <w:sz w:val="24"/>
                <w:szCs w:val="21"/>
                <w:highlight w:val="none"/>
              </w:rPr>
            </w:pPr>
            <w:r>
              <w:rPr>
                <w:rFonts w:hint="eastAsia" w:ascii="宋体" w:hAnsi="宋体" w:cs="宋体"/>
                <w:b w:val="0"/>
                <w:bCs/>
                <w:color w:val="auto"/>
                <w:sz w:val="24"/>
                <w:szCs w:val="21"/>
                <w:highlight w:val="none"/>
                <w:lang w:val="en-US" w:eastAsia="zh-CN"/>
              </w:rPr>
              <w:t>其他</w:t>
            </w:r>
          </w:p>
        </w:tc>
        <w:tc>
          <w:tcPr>
            <w:tcW w:w="2196" w:type="dxa"/>
            <w:noWrap w:val="0"/>
            <w:vAlign w:val="center"/>
          </w:tcPr>
          <w:p w14:paraId="71939436">
            <w:pPr>
              <w:rPr>
                <w:rFonts w:ascii="宋体" w:hAnsi="宋体" w:cs="宋体"/>
                <w:color w:val="auto"/>
                <w:sz w:val="24"/>
                <w:szCs w:val="24"/>
                <w:highlight w:val="none"/>
              </w:rPr>
            </w:pPr>
          </w:p>
        </w:tc>
        <w:tc>
          <w:tcPr>
            <w:tcW w:w="2222" w:type="dxa"/>
            <w:noWrap w:val="0"/>
            <w:vAlign w:val="center"/>
          </w:tcPr>
          <w:p w14:paraId="3E4B6FD7">
            <w:pPr>
              <w:rPr>
                <w:rFonts w:ascii="宋体" w:hAnsi="宋体" w:cs="宋体"/>
                <w:color w:val="auto"/>
                <w:sz w:val="24"/>
                <w:szCs w:val="24"/>
                <w:highlight w:val="none"/>
              </w:rPr>
            </w:pPr>
          </w:p>
        </w:tc>
        <w:tc>
          <w:tcPr>
            <w:tcW w:w="1978" w:type="dxa"/>
            <w:noWrap w:val="0"/>
            <w:vAlign w:val="center"/>
          </w:tcPr>
          <w:p w14:paraId="03CBB112">
            <w:pPr>
              <w:rPr>
                <w:rFonts w:ascii="宋体" w:hAnsi="宋体" w:cs="宋体"/>
                <w:color w:val="auto"/>
                <w:sz w:val="24"/>
                <w:szCs w:val="24"/>
                <w:highlight w:val="none"/>
              </w:rPr>
            </w:pPr>
          </w:p>
        </w:tc>
      </w:tr>
    </w:tbl>
    <w:p w14:paraId="0AEA6A46">
      <w:pPr>
        <w:pStyle w:val="6"/>
        <w:adjustRightInd w:val="0"/>
        <w:snapToGrid w:val="0"/>
        <w:spacing w:before="156" w:beforeLines="50" w:after="156" w:afterLines="50" w:line="440" w:lineRule="exact"/>
        <w:ind w:left="0" w:leftChars="0" w:firstLine="0" w:firstLineChars="0"/>
        <w:jc w:val="center"/>
        <w:outlineLvl w:val="1"/>
        <w:rPr>
          <w:rFonts w:hint="eastAsia" w:ascii="宋体" w:hAnsi="宋体" w:eastAsia="宋体" w:cs="宋体"/>
          <w:color w:val="auto"/>
          <w:kern w:val="2"/>
          <w:sz w:val="30"/>
          <w:szCs w:val="30"/>
          <w:highlight w:val="none"/>
        </w:rPr>
      </w:pPr>
      <w:r>
        <w:rPr>
          <w:rFonts w:hint="eastAsia" w:ascii="宋体" w:hAnsi="宋体" w:cs="宋体"/>
          <w:color w:val="auto"/>
          <w:kern w:val="2"/>
          <w:sz w:val="24"/>
          <w:szCs w:val="24"/>
          <w:highlight w:val="none"/>
          <w:lang w:val="en-US" w:eastAsia="zh-CN"/>
        </w:rPr>
        <w:br w:type="page"/>
      </w:r>
      <w:r>
        <w:rPr>
          <w:rFonts w:hint="eastAsia" w:ascii="宋体" w:hAnsi="宋体" w:eastAsia="宋体" w:cs="宋体"/>
          <w:color w:val="auto"/>
          <w:kern w:val="2"/>
          <w:sz w:val="30"/>
          <w:szCs w:val="30"/>
          <w:highlight w:val="none"/>
          <w:lang w:val="en-US" w:eastAsia="zh-CN"/>
        </w:rPr>
        <w:t>六</w:t>
      </w:r>
      <w:r>
        <w:rPr>
          <w:rFonts w:hint="eastAsia" w:ascii="宋体" w:hAnsi="宋体" w:eastAsia="宋体" w:cs="宋体"/>
          <w:color w:val="auto"/>
          <w:kern w:val="2"/>
          <w:sz w:val="30"/>
          <w:szCs w:val="30"/>
          <w:highlight w:val="none"/>
          <w:lang w:eastAsia="zh-CN"/>
        </w:rPr>
        <w:t>、</w:t>
      </w:r>
      <w:r>
        <w:rPr>
          <w:rFonts w:hint="eastAsia" w:ascii="宋体" w:hAnsi="宋体" w:eastAsia="宋体" w:cs="宋体"/>
          <w:color w:val="auto"/>
          <w:kern w:val="2"/>
          <w:sz w:val="30"/>
          <w:szCs w:val="30"/>
          <w:highlight w:val="none"/>
        </w:rPr>
        <w:t>其他资料</w:t>
      </w:r>
    </w:p>
    <w:p w14:paraId="5F5741E1">
      <w:pPr>
        <w:adjustRightInd w:val="0"/>
        <w:snapToGrid w:val="0"/>
        <w:spacing w:before="156" w:beforeLines="50" w:after="156" w:afterLines="50" w:line="440" w:lineRule="exact"/>
        <w:jc w:val="center"/>
        <w:outlineLvl w:val="9"/>
        <w:rPr>
          <w:rFonts w:hint="eastAsia" w:ascii="宋体" w:hAnsi="宋体" w:cs="宋体"/>
          <w:caps/>
          <w:color w:val="auto"/>
          <w:kern w:val="2"/>
          <w:szCs w:val="30"/>
          <w:highlight w:val="none"/>
          <w:lang w:val="zh-CN"/>
        </w:rPr>
      </w:pPr>
      <w:r>
        <w:rPr>
          <w:rFonts w:hint="eastAsia" w:ascii="宋体" w:hAnsi="宋体" w:eastAsia="宋体" w:cs="宋体"/>
          <w:color w:val="auto"/>
          <w:kern w:val="2"/>
          <w:sz w:val="24"/>
          <w:szCs w:val="24"/>
          <w:highlight w:val="none"/>
          <w:lang w:eastAsia="zh-CN"/>
        </w:rPr>
        <w:t>谈判</w:t>
      </w:r>
      <w:r>
        <w:rPr>
          <w:rFonts w:hint="eastAsia" w:ascii="宋体" w:hAnsi="宋体" w:eastAsia="宋体" w:cs="宋体"/>
          <w:color w:val="auto"/>
          <w:kern w:val="2"/>
          <w:sz w:val="24"/>
          <w:szCs w:val="24"/>
          <w:highlight w:val="none"/>
        </w:rPr>
        <w:t>文件要求提交的</w:t>
      </w:r>
      <w:r>
        <w:rPr>
          <w:rFonts w:hint="eastAsia" w:ascii="宋体" w:hAnsi="宋体" w:eastAsia="宋体" w:cs="宋体"/>
          <w:color w:val="auto"/>
          <w:kern w:val="2"/>
          <w:sz w:val="24"/>
          <w:szCs w:val="24"/>
          <w:highlight w:val="none"/>
          <w:lang w:val="en-US" w:eastAsia="zh-CN"/>
        </w:rPr>
        <w:t>以及供应商认为应当提交的其他资料。</w:t>
      </w:r>
      <w:bookmarkEnd w:id="60"/>
      <w:bookmarkEnd w:id="61"/>
      <w:bookmarkEnd w:id="62"/>
    </w:p>
    <w:sectPr>
      <w:headerReference r:id="rId5" w:type="default"/>
      <w:footerReference r:id="rId7" w:type="default"/>
      <w:headerReference r:id="rId6" w:type="even"/>
      <w:footerReference r:id="rId8" w:type="even"/>
      <w:pgSz w:w="11906" w:h="16838"/>
      <w:pgMar w:top="1440" w:right="1531" w:bottom="1440" w:left="1531"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56593FD-A151-490C-A1F5-642D163DC902}"/>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2" w:fontKey="{C1BBD367-1660-4457-9B59-68740F1F4111}"/>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Courier New"/>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embedRegular r:id="rId3" w:fontKey="{DD9C49EE-C9DA-4C0B-840D-B34A9083A3DD}"/>
  </w:font>
  <w:font w:name="微软雅黑">
    <w:panose1 w:val="020B0503020204020204"/>
    <w:charset w:val="86"/>
    <w:family w:val="swiss"/>
    <w:pitch w:val="default"/>
    <w:sig w:usb0="80000287" w:usb1="2ACF3C50" w:usb2="00000016" w:usb3="00000000" w:csb0="0004001F" w:csb1="00000000"/>
    <w:embedRegular r:id="rId4" w:fontKey="{7DE8EC74-C8A2-4969-A2D5-DEE25F0E905A}"/>
  </w:font>
  <w:font w:name="华文中宋">
    <w:panose1 w:val="02010600040101010101"/>
    <w:charset w:val="86"/>
    <w:family w:val="auto"/>
    <w:pitch w:val="default"/>
    <w:sig w:usb0="00000287" w:usb1="080F0000" w:usb2="00000000" w:usb3="00000000" w:csb0="0004009F" w:csb1="DFD70000"/>
    <w:embedRegular r:id="rId5" w:fontKey="{BC7F9462-93E1-4518-B2FE-7B3A7117FF25}"/>
  </w:font>
  <w:font w:name="Wingdings 2">
    <w:panose1 w:val="05020102010507070707"/>
    <w:charset w:val="02"/>
    <w:family w:val="auto"/>
    <w:pitch w:val="default"/>
    <w:sig w:usb0="00000000" w:usb1="00000000" w:usb2="00000000" w:usb3="00000000" w:csb0="80000000" w:csb1="00000000"/>
    <w:embedRegular r:id="rId6" w:fontKey="{7526FD92-CF6C-4EA4-AFCF-7C909DE2B11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304F8">
    <w:pPr>
      <w:pStyle w:val="2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4B87FC1">
                          <w:pPr>
                            <w:pStyle w:val="22"/>
                          </w:pP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74B87FC1">
                    <w:pPr>
                      <w:pStyle w:val="22"/>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578E7">
    <w:pPr>
      <w:pStyle w:val="2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18FA52">
                          <w:pPr>
                            <w:pStyle w:val="2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318FA52">
                    <w:pPr>
                      <w:pStyle w:val="22"/>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5BD0D1">
    <w:pPr>
      <w:pStyle w:val="22"/>
      <w:framePr w:wrap="around" w:vAnchor="text" w:hAnchor="margin" w:xAlign="center" w:y="1"/>
      <w:rPr>
        <w:rStyle w:val="40"/>
      </w:rPr>
    </w:pPr>
    <w:r>
      <w:rPr>
        <w:rStyle w:val="40"/>
      </w:rPr>
      <w:fldChar w:fldCharType="begin"/>
    </w:r>
    <w:r>
      <w:rPr>
        <w:rStyle w:val="40"/>
      </w:rPr>
      <w:instrText xml:space="preserve">PAGE  </w:instrText>
    </w:r>
    <w:r>
      <w:rPr>
        <w:rStyle w:val="40"/>
      </w:rPr>
      <w:fldChar w:fldCharType="end"/>
    </w:r>
  </w:p>
  <w:p w14:paraId="614AE1A8">
    <w:pPr>
      <w:pStyle w:val="2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16C9B">
    <w:pPr>
      <w:pStyle w:val="2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C9B4C">
    <w:pPr>
      <w:pStyle w:val="2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2AA99C">
    <w:pPr>
      <w:pStyle w:val="23"/>
      <w:framePr w:wrap="around" w:vAnchor="text" w:hAnchor="margin" w:xAlign="right" w:y="1"/>
      <w:rPr>
        <w:rStyle w:val="40"/>
      </w:rPr>
    </w:pPr>
    <w:r>
      <w:rPr>
        <w:rStyle w:val="40"/>
      </w:rPr>
      <w:fldChar w:fldCharType="begin"/>
    </w:r>
    <w:r>
      <w:rPr>
        <w:rStyle w:val="40"/>
      </w:rPr>
      <w:instrText xml:space="preserve">PAGE  </w:instrText>
    </w:r>
    <w:r>
      <w:rPr>
        <w:rStyle w:val="40"/>
      </w:rPr>
      <w:fldChar w:fldCharType="end"/>
    </w:r>
  </w:p>
  <w:p w14:paraId="43871D88">
    <w:pPr>
      <w:pStyle w:val="2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DDEBDF"/>
    <w:multiLevelType w:val="singleLevel"/>
    <w:tmpl w:val="8BDDEBDF"/>
    <w:lvl w:ilvl="0" w:tentative="0">
      <w:start w:val="4"/>
      <w:numFmt w:val="decimal"/>
      <w:suff w:val="nothing"/>
      <w:lvlText w:val="(%1）"/>
      <w:lvlJc w:val="left"/>
    </w:lvl>
  </w:abstractNum>
  <w:abstractNum w:abstractNumId="1">
    <w:nsid w:val="9755D919"/>
    <w:multiLevelType w:val="singleLevel"/>
    <w:tmpl w:val="9755D919"/>
    <w:lvl w:ilvl="0" w:tentative="0">
      <w:start w:val="7"/>
      <w:numFmt w:val="decimal"/>
      <w:suff w:val="nothing"/>
      <w:lvlText w:val="%1、"/>
      <w:lvlJc w:val="left"/>
    </w:lvl>
  </w:abstractNum>
  <w:abstractNum w:abstractNumId="2">
    <w:nsid w:val="00000005"/>
    <w:multiLevelType w:val="multilevel"/>
    <w:tmpl w:val="00000005"/>
    <w:lvl w:ilvl="0" w:tentative="0">
      <w:start w:val="1"/>
      <w:numFmt w:val="decimal"/>
      <w:pStyle w:val="69"/>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NiYmRmNDdhZjY0ZjMyZjEyODNmNDgzNjAxNjAyYzYifQ=="/>
    <w:docVar w:name="KSO_WPS_MARK_KEY" w:val="6d5b85fa-2104-46a8-95ff-8be6d43741d3"/>
  </w:docVars>
  <w:rsids>
    <w:rsidRoot w:val="002D677B"/>
    <w:rsid w:val="0000457F"/>
    <w:rsid w:val="00004DDF"/>
    <w:rsid w:val="000145D1"/>
    <w:rsid w:val="00015C71"/>
    <w:rsid w:val="00017CF2"/>
    <w:rsid w:val="00020147"/>
    <w:rsid w:val="000353D2"/>
    <w:rsid w:val="00036C36"/>
    <w:rsid w:val="00042454"/>
    <w:rsid w:val="0004247B"/>
    <w:rsid w:val="00054BA6"/>
    <w:rsid w:val="00057B34"/>
    <w:rsid w:val="00066473"/>
    <w:rsid w:val="00066BCF"/>
    <w:rsid w:val="00071873"/>
    <w:rsid w:val="000813B9"/>
    <w:rsid w:val="00083A3D"/>
    <w:rsid w:val="00085013"/>
    <w:rsid w:val="0008734A"/>
    <w:rsid w:val="00090C43"/>
    <w:rsid w:val="00091912"/>
    <w:rsid w:val="00092365"/>
    <w:rsid w:val="00095459"/>
    <w:rsid w:val="000A3D75"/>
    <w:rsid w:val="000B0A7F"/>
    <w:rsid w:val="000B1F7E"/>
    <w:rsid w:val="000C2A18"/>
    <w:rsid w:val="000D2325"/>
    <w:rsid w:val="000D40DA"/>
    <w:rsid w:val="000E6F6E"/>
    <w:rsid w:val="0010048A"/>
    <w:rsid w:val="001055FC"/>
    <w:rsid w:val="0011125F"/>
    <w:rsid w:val="0011590D"/>
    <w:rsid w:val="001252D5"/>
    <w:rsid w:val="00125BEB"/>
    <w:rsid w:val="001260B2"/>
    <w:rsid w:val="00133776"/>
    <w:rsid w:val="00135355"/>
    <w:rsid w:val="00146758"/>
    <w:rsid w:val="00146D70"/>
    <w:rsid w:val="00156254"/>
    <w:rsid w:val="00163D99"/>
    <w:rsid w:val="001723C8"/>
    <w:rsid w:val="00184FCE"/>
    <w:rsid w:val="00185BC3"/>
    <w:rsid w:val="00194F7B"/>
    <w:rsid w:val="001A0CA9"/>
    <w:rsid w:val="001A3254"/>
    <w:rsid w:val="001A60C9"/>
    <w:rsid w:val="001B57E1"/>
    <w:rsid w:val="001C662F"/>
    <w:rsid w:val="001F0545"/>
    <w:rsid w:val="001F7548"/>
    <w:rsid w:val="00201BAF"/>
    <w:rsid w:val="00204BEE"/>
    <w:rsid w:val="00204ED9"/>
    <w:rsid w:val="0021447E"/>
    <w:rsid w:val="002175D2"/>
    <w:rsid w:val="00222133"/>
    <w:rsid w:val="00230806"/>
    <w:rsid w:val="00232B23"/>
    <w:rsid w:val="002656AE"/>
    <w:rsid w:val="00295D2C"/>
    <w:rsid w:val="002A5B98"/>
    <w:rsid w:val="002B39EE"/>
    <w:rsid w:val="002B475D"/>
    <w:rsid w:val="002B7BFC"/>
    <w:rsid w:val="002C3E11"/>
    <w:rsid w:val="002D4E2E"/>
    <w:rsid w:val="002D508E"/>
    <w:rsid w:val="002D677B"/>
    <w:rsid w:val="002E1A23"/>
    <w:rsid w:val="002F32E7"/>
    <w:rsid w:val="002F3B9A"/>
    <w:rsid w:val="002F5374"/>
    <w:rsid w:val="002F5CAB"/>
    <w:rsid w:val="003124C3"/>
    <w:rsid w:val="003342EF"/>
    <w:rsid w:val="00341CB0"/>
    <w:rsid w:val="003452C5"/>
    <w:rsid w:val="00356109"/>
    <w:rsid w:val="00360D12"/>
    <w:rsid w:val="00364313"/>
    <w:rsid w:val="00372C51"/>
    <w:rsid w:val="003808D6"/>
    <w:rsid w:val="00384281"/>
    <w:rsid w:val="00387848"/>
    <w:rsid w:val="003A03AB"/>
    <w:rsid w:val="003B3183"/>
    <w:rsid w:val="003D04C4"/>
    <w:rsid w:val="003D7A8F"/>
    <w:rsid w:val="003E0B3C"/>
    <w:rsid w:val="003E7C3B"/>
    <w:rsid w:val="003F6E20"/>
    <w:rsid w:val="00424DA5"/>
    <w:rsid w:val="004413B4"/>
    <w:rsid w:val="00443BAF"/>
    <w:rsid w:val="00453F7D"/>
    <w:rsid w:val="00456571"/>
    <w:rsid w:val="004577CD"/>
    <w:rsid w:val="00466DAC"/>
    <w:rsid w:val="00470ABC"/>
    <w:rsid w:val="004835F8"/>
    <w:rsid w:val="004A0CE4"/>
    <w:rsid w:val="004C30F6"/>
    <w:rsid w:val="004C38E2"/>
    <w:rsid w:val="004C64FF"/>
    <w:rsid w:val="004D17B6"/>
    <w:rsid w:val="004D5F5D"/>
    <w:rsid w:val="004F5334"/>
    <w:rsid w:val="004F56C3"/>
    <w:rsid w:val="0050494E"/>
    <w:rsid w:val="0050639B"/>
    <w:rsid w:val="005075CD"/>
    <w:rsid w:val="00524605"/>
    <w:rsid w:val="00524A87"/>
    <w:rsid w:val="00533AAE"/>
    <w:rsid w:val="00554CE3"/>
    <w:rsid w:val="005654C3"/>
    <w:rsid w:val="005C2271"/>
    <w:rsid w:val="005D39D1"/>
    <w:rsid w:val="005E56CC"/>
    <w:rsid w:val="00600219"/>
    <w:rsid w:val="00603819"/>
    <w:rsid w:val="006128B9"/>
    <w:rsid w:val="00614518"/>
    <w:rsid w:val="00645DFC"/>
    <w:rsid w:val="00647F76"/>
    <w:rsid w:val="00654D2C"/>
    <w:rsid w:val="00661562"/>
    <w:rsid w:val="00671B50"/>
    <w:rsid w:val="00673CC0"/>
    <w:rsid w:val="006A2E5F"/>
    <w:rsid w:val="006B21E7"/>
    <w:rsid w:val="006D098B"/>
    <w:rsid w:val="006D3DB9"/>
    <w:rsid w:val="006F01D1"/>
    <w:rsid w:val="006F3D3E"/>
    <w:rsid w:val="00700B84"/>
    <w:rsid w:val="00703A7D"/>
    <w:rsid w:val="00732744"/>
    <w:rsid w:val="00736DF2"/>
    <w:rsid w:val="007400D8"/>
    <w:rsid w:val="007407E7"/>
    <w:rsid w:val="007462B9"/>
    <w:rsid w:val="00766A44"/>
    <w:rsid w:val="00767BB2"/>
    <w:rsid w:val="00777913"/>
    <w:rsid w:val="0079235B"/>
    <w:rsid w:val="00795808"/>
    <w:rsid w:val="007B00FB"/>
    <w:rsid w:val="007C7173"/>
    <w:rsid w:val="007D19ED"/>
    <w:rsid w:val="007E5141"/>
    <w:rsid w:val="007F2582"/>
    <w:rsid w:val="007F651E"/>
    <w:rsid w:val="00810784"/>
    <w:rsid w:val="00812112"/>
    <w:rsid w:val="008207A6"/>
    <w:rsid w:val="00821EE8"/>
    <w:rsid w:val="00833ADC"/>
    <w:rsid w:val="00846353"/>
    <w:rsid w:val="008538EB"/>
    <w:rsid w:val="0086536B"/>
    <w:rsid w:val="008A6D3D"/>
    <w:rsid w:val="008B0E3B"/>
    <w:rsid w:val="008C0ED2"/>
    <w:rsid w:val="008D216E"/>
    <w:rsid w:val="008D61A5"/>
    <w:rsid w:val="008D7F56"/>
    <w:rsid w:val="008E7E3B"/>
    <w:rsid w:val="00922A63"/>
    <w:rsid w:val="00925990"/>
    <w:rsid w:val="00927B9E"/>
    <w:rsid w:val="00934FDF"/>
    <w:rsid w:val="00940C0D"/>
    <w:rsid w:val="0094320A"/>
    <w:rsid w:val="00950DC5"/>
    <w:rsid w:val="00954BF2"/>
    <w:rsid w:val="00966C14"/>
    <w:rsid w:val="0097577C"/>
    <w:rsid w:val="00980525"/>
    <w:rsid w:val="009A43DC"/>
    <w:rsid w:val="009B32A9"/>
    <w:rsid w:val="009B5EF1"/>
    <w:rsid w:val="009C7264"/>
    <w:rsid w:val="00A17EB8"/>
    <w:rsid w:val="00A2462A"/>
    <w:rsid w:val="00A30C14"/>
    <w:rsid w:val="00A42929"/>
    <w:rsid w:val="00A5114C"/>
    <w:rsid w:val="00A52EA8"/>
    <w:rsid w:val="00A612D2"/>
    <w:rsid w:val="00A70D7B"/>
    <w:rsid w:val="00A74097"/>
    <w:rsid w:val="00A83F1C"/>
    <w:rsid w:val="00A85BA0"/>
    <w:rsid w:val="00A95755"/>
    <w:rsid w:val="00A957C6"/>
    <w:rsid w:val="00A961C3"/>
    <w:rsid w:val="00AB51D7"/>
    <w:rsid w:val="00AC4741"/>
    <w:rsid w:val="00AD19A2"/>
    <w:rsid w:val="00AD7B9F"/>
    <w:rsid w:val="00B27CFD"/>
    <w:rsid w:val="00B3083C"/>
    <w:rsid w:val="00B57818"/>
    <w:rsid w:val="00B6310C"/>
    <w:rsid w:val="00B80346"/>
    <w:rsid w:val="00BA10A8"/>
    <w:rsid w:val="00BA136D"/>
    <w:rsid w:val="00BA2F6F"/>
    <w:rsid w:val="00BA3764"/>
    <w:rsid w:val="00BA45BA"/>
    <w:rsid w:val="00BB7605"/>
    <w:rsid w:val="00BC5BFF"/>
    <w:rsid w:val="00C05EA8"/>
    <w:rsid w:val="00C23791"/>
    <w:rsid w:val="00C267D3"/>
    <w:rsid w:val="00C35B5F"/>
    <w:rsid w:val="00C500A9"/>
    <w:rsid w:val="00C5087F"/>
    <w:rsid w:val="00C734AB"/>
    <w:rsid w:val="00C73F2D"/>
    <w:rsid w:val="00C84AAC"/>
    <w:rsid w:val="00C9417F"/>
    <w:rsid w:val="00C97CD9"/>
    <w:rsid w:val="00CA3281"/>
    <w:rsid w:val="00CA32AE"/>
    <w:rsid w:val="00CA56DC"/>
    <w:rsid w:val="00CA60CE"/>
    <w:rsid w:val="00CA6A84"/>
    <w:rsid w:val="00CC1FE3"/>
    <w:rsid w:val="00CC5D49"/>
    <w:rsid w:val="00CC7E33"/>
    <w:rsid w:val="00CE0AAD"/>
    <w:rsid w:val="00CE1386"/>
    <w:rsid w:val="00CE28E9"/>
    <w:rsid w:val="00CE3588"/>
    <w:rsid w:val="00CE64A3"/>
    <w:rsid w:val="00CF10C1"/>
    <w:rsid w:val="00CF3743"/>
    <w:rsid w:val="00D027C9"/>
    <w:rsid w:val="00D0689A"/>
    <w:rsid w:val="00D11B5E"/>
    <w:rsid w:val="00D13AEE"/>
    <w:rsid w:val="00D16453"/>
    <w:rsid w:val="00D175FB"/>
    <w:rsid w:val="00D2682E"/>
    <w:rsid w:val="00D3100A"/>
    <w:rsid w:val="00D33ECF"/>
    <w:rsid w:val="00D51A54"/>
    <w:rsid w:val="00D542F1"/>
    <w:rsid w:val="00D6083A"/>
    <w:rsid w:val="00D614F5"/>
    <w:rsid w:val="00D877FD"/>
    <w:rsid w:val="00DA2209"/>
    <w:rsid w:val="00DA2977"/>
    <w:rsid w:val="00DB4369"/>
    <w:rsid w:val="00DD1C54"/>
    <w:rsid w:val="00DD2C6C"/>
    <w:rsid w:val="00DE18CD"/>
    <w:rsid w:val="00E016F6"/>
    <w:rsid w:val="00E20914"/>
    <w:rsid w:val="00E650AD"/>
    <w:rsid w:val="00E70F0C"/>
    <w:rsid w:val="00E7612C"/>
    <w:rsid w:val="00E912B4"/>
    <w:rsid w:val="00E912EA"/>
    <w:rsid w:val="00E94A0B"/>
    <w:rsid w:val="00EA19D4"/>
    <w:rsid w:val="00EB3AB2"/>
    <w:rsid w:val="00EC5C35"/>
    <w:rsid w:val="00EC5C8C"/>
    <w:rsid w:val="00EC71D2"/>
    <w:rsid w:val="00EE4358"/>
    <w:rsid w:val="00EE5630"/>
    <w:rsid w:val="00EF2195"/>
    <w:rsid w:val="00EF3C5F"/>
    <w:rsid w:val="00EF550D"/>
    <w:rsid w:val="00F01414"/>
    <w:rsid w:val="00F0597A"/>
    <w:rsid w:val="00F101C2"/>
    <w:rsid w:val="00F21948"/>
    <w:rsid w:val="00F22829"/>
    <w:rsid w:val="00F40445"/>
    <w:rsid w:val="00F44DDB"/>
    <w:rsid w:val="00F464A7"/>
    <w:rsid w:val="00F564DA"/>
    <w:rsid w:val="00F64830"/>
    <w:rsid w:val="00F679F6"/>
    <w:rsid w:val="00F74BC0"/>
    <w:rsid w:val="00F91C4B"/>
    <w:rsid w:val="00F927AF"/>
    <w:rsid w:val="00F961ED"/>
    <w:rsid w:val="00FA1EEE"/>
    <w:rsid w:val="00FA1F71"/>
    <w:rsid w:val="00FA35DA"/>
    <w:rsid w:val="00FC1D08"/>
    <w:rsid w:val="00FE7060"/>
    <w:rsid w:val="00FF1797"/>
    <w:rsid w:val="00FF1C7C"/>
    <w:rsid w:val="00FF23EE"/>
    <w:rsid w:val="01320FBC"/>
    <w:rsid w:val="014944FD"/>
    <w:rsid w:val="017E1B19"/>
    <w:rsid w:val="01C506B1"/>
    <w:rsid w:val="01DD0E32"/>
    <w:rsid w:val="01ED3B47"/>
    <w:rsid w:val="026B700F"/>
    <w:rsid w:val="02734D70"/>
    <w:rsid w:val="03052939"/>
    <w:rsid w:val="03062E20"/>
    <w:rsid w:val="0311396F"/>
    <w:rsid w:val="039C3B2E"/>
    <w:rsid w:val="03B22505"/>
    <w:rsid w:val="03D23972"/>
    <w:rsid w:val="03E602D7"/>
    <w:rsid w:val="03FE01E1"/>
    <w:rsid w:val="04067181"/>
    <w:rsid w:val="04160A34"/>
    <w:rsid w:val="04297319"/>
    <w:rsid w:val="04350127"/>
    <w:rsid w:val="046E3E44"/>
    <w:rsid w:val="047F6792"/>
    <w:rsid w:val="04AB1DE0"/>
    <w:rsid w:val="04D344B6"/>
    <w:rsid w:val="04EE7346"/>
    <w:rsid w:val="05045387"/>
    <w:rsid w:val="05104E6D"/>
    <w:rsid w:val="053346E9"/>
    <w:rsid w:val="0573286F"/>
    <w:rsid w:val="05764F65"/>
    <w:rsid w:val="05CD4D4D"/>
    <w:rsid w:val="05ED76CD"/>
    <w:rsid w:val="06047263"/>
    <w:rsid w:val="06262FF6"/>
    <w:rsid w:val="062766E1"/>
    <w:rsid w:val="065F13E0"/>
    <w:rsid w:val="068A111A"/>
    <w:rsid w:val="06B306D8"/>
    <w:rsid w:val="071329B1"/>
    <w:rsid w:val="07267565"/>
    <w:rsid w:val="074A602C"/>
    <w:rsid w:val="075F2ABA"/>
    <w:rsid w:val="07893F2F"/>
    <w:rsid w:val="078C18B4"/>
    <w:rsid w:val="07A060FF"/>
    <w:rsid w:val="07A20F5E"/>
    <w:rsid w:val="07B3302C"/>
    <w:rsid w:val="07B56B19"/>
    <w:rsid w:val="08316AA1"/>
    <w:rsid w:val="0834567D"/>
    <w:rsid w:val="08427C75"/>
    <w:rsid w:val="085E5B1B"/>
    <w:rsid w:val="08B903E4"/>
    <w:rsid w:val="08B975E0"/>
    <w:rsid w:val="08D76796"/>
    <w:rsid w:val="094A1A48"/>
    <w:rsid w:val="094F0FF2"/>
    <w:rsid w:val="095F7F4C"/>
    <w:rsid w:val="09A60123"/>
    <w:rsid w:val="09AE75F4"/>
    <w:rsid w:val="09B95F2A"/>
    <w:rsid w:val="0A051F93"/>
    <w:rsid w:val="0A0C7574"/>
    <w:rsid w:val="0A424E4D"/>
    <w:rsid w:val="0AB47D8E"/>
    <w:rsid w:val="0AC00A68"/>
    <w:rsid w:val="0AF82AC1"/>
    <w:rsid w:val="0B297F03"/>
    <w:rsid w:val="0B66533A"/>
    <w:rsid w:val="0B84414D"/>
    <w:rsid w:val="0BD46BAD"/>
    <w:rsid w:val="0BE120B2"/>
    <w:rsid w:val="0BE80418"/>
    <w:rsid w:val="0CAA47CE"/>
    <w:rsid w:val="0CEC43CA"/>
    <w:rsid w:val="0D0B67CA"/>
    <w:rsid w:val="0D50431A"/>
    <w:rsid w:val="0D5878A3"/>
    <w:rsid w:val="0D6921B0"/>
    <w:rsid w:val="0DA77430"/>
    <w:rsid w:val="0DD74F5A"/>
    <w:rsid w:val="0DEB2D61"/>
    <w:rsid w:val="0DF624E0"/>
    <w:rsid w:val="0E050A19"/>
    <w:rsid w:val="0E21417E"/>
    <w:rsid w:val="0E346850"/>
    <w:rsid w:val="0E404088"/>
    <w:rsid w:val="0EA113FA"/>
    <w:rsid w:val="0ECA11CC"/>
    <w:rsid w:val="0EE028AD"/>
    <w:rsid w:val="0EE7610B"/>
    <w:rsid w:val="0F0019B5"/>
    <w:rsid w:val="0F390E8E"/>
    <w:rsid w:val="0F574044"/>
    <w:rsid w:val="0F8F57EF"/>
    <w:rsid w:val="0FF97625"/>
    <w:rsid w:val="0FFA6300"/>
    <w:rsid w:val="10044E18"/>
    <w:rsid w:val="1018304A"/>
    <w:rsid w:val="10527F30"/>
    <w:rsid w:val="10722611"/>
    <w:rsid w:val="10765998"/>
    <w:rsid w:val="10A85300"/>
    <w:rsid w:val="10C761F4"/>
    <w:rsid w:val="110475FD"/>
    <w:rsid w:val="11200448"/>
    <w:rsid w:val="112E0021"/>
    <w:rsid w:val="1169216B"/>
    <w:rsid w:val="11845080"/>
    <w:rsid w:val="119066D9"/>
    <w:rsid w:val="11A335B5"/>
    <w:rsid w:val="11AE35E8"/>
    <w:rsid w:val="11DD1222"/>
    <w:rsid w:val="11FC4CE3"/>
    <w:rsid w:val="1219428E"/>
    <w:rsid w:val="129C720C"/>
    <w:rsid w:val="12C42FA9"/>
    <w:rsid w:val="1303465D"/>
    <w:rsid w:val="13267A75"/>
    <w:rsid w:val="13490C7D"/>
    <w:rsid w:val="135C3D02"/>
    <w:rsid w:val="137115CA"/>
    <w:rsid w:val="13C5790E"/>
    <w:rsid w:val="147E599E"/>
    <w:rsid w:val="14CF422A"/>
    <w:rsid w:val="14D507B4"/>
    <w:rsid w:val="14E27C21"/>
    <w:rsid w:val="14FE3340"/>
    <w:rsid w:val="151770AE"/>
    <w:rsid w:val="153136E9"/>
    <w:rsid w:val="153B2049"/>
    <w:rsid w:val="15602773"/>
    <w:rsid w:val="15614DA8"/>
    <w:rsid w:val="159F5E97"/>
    <w:rsid w:val="15AD79BC"/>
    <w:rsid w:val="15B565F2"/>
    <w:rsid w:val="16066864"/>
    <w:rsid w:val="163D0A87"/>
    <w:rsid w:val="16907088"/>
    <w:rsid w:val="16991EF7"/>
    <w:rsid w:val="16AD096A"/>
    <w:rsid w:val="16E766AD"/>
    <w:rsid w:val="170F0CFF"/>
    <w:rsid w:val="173850A7"/>
    <w:rsid w:val="173B6FF4"/>
    <w:rsid w:val="174C0AC9"/>
    <w:rsid w:val="175D6D93"/>
    <w:rsid w:val="177B4CDC"/>
    <w:rsid w:val="17BA7FA6"/>
    <w:rsid w:val="184A679B"/>
    <w:rsid w:val="18B1448A"/>
    <w:rsid w:val="18C878F2"/>
    <w:rsid w:val="18CE5F64"/>
    <w:rsid w:val="18D31697"/>
    <w:rsid w:val="18FB18A3"/>
    <w:rsid w:val="19102702"/>
    <w:rsid w:val="192B2CC7"/>
    <w:rsid w:val="1945415A"/>
    <w:rsid w:val="197509D7"/>
    <w:rsid w:val="197D3E49"/>
    <w:rsid w:val="198B1495"/>
    <w:rsid w:val="1A0725B2"/>
    <w:rsid w:val="1A630ED2"/>
    <w:rsid w:val="1A682FF3"/>
    <w:rsid w:val="1A6C248D"/>
    <w:rsid w:val="1AD23FC4"/>
    <w:rsid w:val="1AE747FC"/>
    <w:rsid w:val="1AEF51E0"/>
    <w:rsid w:val="1AF45622"/>
    <w:rsid w:val="1B001A74"/>
    <w:rsid w:val="1B087292"/>
    <w:rsid w:val="1B23671D"/>
    <w:rsid w:val="1B5A7D5C"/>
    <w:rsid w:val="1B7B26E1"/>
    <w:rsid w:val="1B8A33D7"/>
    <w:rsid w:val="1BBE2ACB"/>
    <w:rsid w:val="1C1A0C17"/>
    <w:rsid w:val="1C32741A"/>
    <w:rsid w:val="1C405AE5"/>
    <w:rsid w:val="1C577EAD"/>
    <w:rsid w:val="1CBE60B1"/>
    <w:rsid w:val="1CF87A2F"/>
    <w:rsid w:val="1D0C75F3"/>
    <w:rsid w:val="1D413C00"/>
    <w:rsid w:val="1D960483"/>
    <w:rsid w:val="1DB65026"/>
    <w:rsid w:val="1DC13400"/>
    <w:rsid w:val="1DC817B3"/>
    <w:rsid w:val="1DE5157B"/>
    <w:rsid w:val="1DF15284"/>
    <w:rsid w:val="1E071163"/>
    <w:rsid w:val="1E0A2DCB"/>
    <w:rsid w:val="1E0E3958"/>
    <w:rsid w:val="1E5F77E6"/>
    <w:rsid w:val="1E6746D1"/>
    <w:rsid w:val="1E8B72FC"/>
    <w:rsid w:val="1ED653AA"/>
    <w:rsid w:val="1F0C54A8"/>
    <w:rsid w:val="1F171CFB"/>
    <w:rsid w:val="1F3C13B6"/>
    <w:rsid w:val="1F4B49D6"/>
    <w:rsid w:val="1F831049"/>
    <w:rsid w:val="1FBE5091"/>
    <w:rsid w:val="1FCB070D"/>
    <w:rsid w:val="1FD06805"/>
    <w:rsid w:val="1FF85069"/>
    <w:rsid w:val="200E7FC4"/>
    <w:rsid w:val="20123E9E"/>
    <w:rsid w:val="20D81D57"/>
    <w:rsid w:val="20E916A5"/>
    <w:rsid w:val="20F41885"/>
    <w:rsid w:val="214F03C1"/>
    <w:rsid w:val="2163607F"/>
    <w:rsid w:val="21993B18"/>
    <w:rsid w:val="21F7620D"/>
    <w:rsid w:val="22230DB0"/>
    <w:rsid w:val="22464B8D"/>
    <w:rsid w:val="224A458F"/>
    <w:rsid w:val="22760E1C"/>
    <w:rsid w:val="229A201B"/>
    <w:rsid w:val="22AF6AE8"/>
    <w:rsid w:val="22B26978"/>
    <w:rsid w:val="22B67E76"/>
    <w:rsid w:val="231625F1"/>
    <w:rsid w:val="233A2855"/>
    <w:rsid w:val="23771CF3"/>
    <w:rsid w:val="239974D6"/>
    <w:rsid w:val="23E266D0"/>
    <w:rsid w:val="23E4618A"/>
    <w:rsid w:val="23F2091A"/>
    <w:rsid w:val="244E3D8C"/>
    <w:rsid w:val="24880227"/>
    <w:rsid w:val="249B20D5"/>
    <w:rsid w:val="24B335CE"/>
    <w:rsid w:val="24F009A8"/>
    <w:rsid w:val="2542194B"/>
    <w:rsid w:val="25642815"/>
    <w:rsid w:val="25965543"/>
    <w:rsid w:val="259E42F0"/>
    <w:rsid w:val="25EF0E4B"/>
    <w:rsid w:val="26326C48"/>
    <w:rsid w:val="26675422"/>
    <w:rsid w:val="26690388"/>
    <w:rsid w:val="26784054"/>
    <w:rsid w:val="269C26E3"/>
    <w:rsid w:val="26F97002"/>
    <w:rsid w:val="270D6E87"/>
    <w:rsid w:val="272E2D63"/>
    <w:rsid w:val="27410CB9"/>
    <w:rsid w:val="276D441A"/>
    <w:rsid w:val="27704503"/>
    <w:rsid w:val="27D63CEB"/>
    <w:rsid w:val="27DA63B5"/>
    <w:rsid w:val="27DC212D"/>
    <w:rsid w:val="281F2D40"/>
    <w:rsid w:val="284E2B9A"/>
    <w:rsid w:val="2861396F"/>
    <w:rsid w:val="28AC5F6D"/>
    <w:rsid w:val="28AF6A0B"/>
    <w:rsid w:val="28B44010"/>
    <w:rsid w:val="28DE1233"/>
    <w:rsid w:val="29044E0B"/>
    <w:rsid w:val="29384EA8"/>
    <w:rsid w:val="295039A3"/>
    <w:rsid w:val="296F3EFA"/>
    <w:rsid w:val="298A5BB9"/>
    <w:rsid w:val="29917294"/>
    <w:rsid w:val="29CE019B"/>
    <w:rsid w:val="29E26463"/>
    <w:rsid w:val="29F00BBE"/>
    <w:rsid w:val="2A07065D"/>
    <w:rsid w:val="2A0A08C3"/>
    <w:rsid w:val="2A534564"/>
    <w:rsid w:val="2A573A70"/>
    <w:rsid w:val="2B404B09"/>
    <w:rsid w:val="2B6C37C8"/>
    <w:rsid w:val="2B930796"/>
    <w:rsid w:val="2BFA65A3"/>
    <w:rsid w:val="2C101F53"/>
    <w:rsid w:val="2C2D2785"/>
    <w:rsid w:val="2C8F0922"/>
    <w:rsid w:val="2CBD48CE"/>
    <w:rsid w:val="2CC6399E"/>
    <w:rsid w:val="2CE211B2"/>
    <w:rsid w:val="2D1E497A"/>
    <w:rsid w:val="2D345082"/>
    <w:rsid w:val="2D4227EC"/>
    <w:rsid w:val="2D657944"/>
    <w:rsid w:val="2D855015"/>
    <w:rsid w:val="2DB21269"/>
    <w:rsid w:val="2DEB0970"/>
    <w:rsid w:val="2E006793"/>
    <w:rsid w:val="2E015B36"/>
    <w:rsid w:val="2E275F81"/>
    <w:rsid w:val="2E28730F"/>
    <w:rsid w:val="2E2F7FD3"/>
    <w:rsid w:val="2E4E51C2"/>
    <w:rsid w:val="2E520EAC"/>
    <w:rsid w:val="2E77681E"/>
    <w:rsid w:val="2F2F1519"/>
    <w:rsid w:val="2F4B2B19"/>
    <w:rsid w:val="2F603644"/>
    <w:rsid w:val="2F6246CC"/>
    <w:rsid w:val="2F912348"/>
    <w:rsid w:val="2F9F5447"/>
    <w:rsid w:val="2FBB6ACC"/>
    <w:rsid w:val="2FC53683"/>
    <w:rsid w:val="2FD00460"/>
    <w:rsid w:val="2FD8767E"/>
    <w:rsid w:val="2FE97A5F"/>
    <w:rsid w:val="2FFE4B1D"/>
    <w:rsid w:val="300B44EE"/>
    <w:rsid w:val="304E6BFA"/>
    <w:rsid w:val="305A47DE"/>
    <w:rsid w:val="30626A70"/>
    <w:rsid w:val="30671D75"/>
    <w:rsid w:val="30734F38"/>
    <w:rsid w:val="309E348C"/>
    <w:rsid w:val="30B8643A"/>
    <w:rsid w:val="30CB35CF"/>
    <w:rsid w:val="30E31097"/>
    <w:rsid w:val="30EB7C3C"/>
    <w:rsid w:val="31394322"/>
    <w:rsid w:val="3184082E"/>
    <w:rsid w:val="31992E3D"/>
    <w:rsid w:val="31A92FFC"/>
    <w:rsid w:val="31D2634F"/>
    <w:rsid w:val="31FF4854"/>
    <w:rsid w:val="32214672"/>
    <w:rsid w:val="32583B43"/>
    <w:rsid w:val="32617B06"/>
    <w:rsid w:val="32643E8E"/>
    <w:rsid w:val="328304A8"/>
    <w:rsid w:val="32B44920"/>
    <w:rsid w:val="32BC5F4D"/>
    <w:rsid w:val="32BD0DBE"/>
    <w:rsid w:val="32DE3B6E"/>
    <w:rsid w:val="330A3963"/>
    <w:rsid w:val="33154A22"/>
    <w:rsid w:val="337A4526"/>
    <w:rsid w:val="33FE364D"/>
    <w:rsid w:val="3420079D"/>
    <w:rsid w:val="3429115A"/>
    <w:rsid w:val="34F2580B"/>
    <w:rsid w:val="353059E1"/>
    <w:rsid w:val="35346A34"/>
    <w:rsid w:val="354A5F40"/>
    <w:rsid w:val="357B0EFD"/>
    <w:rsid w:val="35803C3D"/>
    <w:rsid w:val="35C92D11"/>
    <w:rsid w:val="35F42A51"/>
    <w:rsid w:val="35FFEC5E"/>
    <w:rsid w:val="36024564"/>
    <w:rsid w:val="3619232D"/>
    <w:rsid w:val="361F260A"/>
    <w:rsid w:val="36276335"/>
    <w:rsid w:val="36981B5D"/>
    <w:rsid w:val="36A73428"/>
    <w:rsid w:val="36A9634B"/>
    <w:rsid w:val="36D079C8"/>
    <w:rsid w:val="36D517BD"/>
    <w:rsid w:val="36EB7CE0"/>
    <w:rsid w:val="36FD3E6E"/>
    <w:rsid w:val="37354DE5"/>
    <w:rsid w:val="375D40BC"/>
    <w:rsid w:val="377D1279"/>
    <w:rsid w:val="37D716E7"/>
    <w:rsid w:val="38631B53"/>
    <w:rsid w:val="386D5472"/>
    <w:rsid w:val="38C904AC"/>
    <w:rsid w:val="390327BB"/>
    <w:rsid w:val="394E33E8"/>
    <w:rsid w:val="396C6CF4"/>
    <w:rsid w:val="398E6F62"/>
    <w:rsid w:val="39B36A66"/>
    <w:rsid w:val="3A290002"/>
    <w:rsid w:val="3A2E128F"/>
    <w:rsid w:val="3A5A6801"/>
    <w:rsid w:val="3A5B63A2"/>
    <w:rsid w:val="3A880372"/>
    <w:rsid w:val="3A8F3EBA"/>
    <w:rsid w:val="3AB10259"/>
    <w:rsid w:val="3ABA6222"/>
    <w:rsid w:val="3AD674BD"/>
    <w:rsid w:val="3B1B510F"/>
    <w:rsid w:val="3B241CDC"/>
    <w:rsid w:val="3B301F44"/>
    <w:rsid w:val="3B3716DA"/>
    <w:rsid w:val="3B9373E6"/>
    <w:rsid w:val="3BAE4829"/>
    <w:rsid w:val="3BDF73C5"/>
    <w:rsid w:val="3BFA6208"/>
    <w:rsid w:val="3C05453A"/>
    <w:rsid w:val="3C34130B"/>
    <w:rsid w:val="3C4A6F5A"/>
    <w:rsid w:val="3C4C39CC"/>
    <w:rsid w:val="3C8856A4"/>
    <w:rsid w:val="3CE75062"/>
    <w:rsid w:val="3D2748D8"/>
    <w:rsid w:val="3D743CDB"/>
    <w:rsid w:val="3D902D22"/>
    <w:rsid w:val="3DD405AF"/>
    <w:rsid w:val="3DF4021A"/>
    <w:rsid w:val="3E047963"/>
    <w:rsid w:val="3E7132AB"/>
    <w:rsid w:val="3E8E5BBA"/>
    <w:rsid w:val="3E9E25CB"/>
    <w:rsid w:val="3EDC10FF"/>
    <w:rsid w:val="3EF01892"/>
    <w:rsid w:val="3EFA42ED"/>
    <w:rsid w:val="3F0A5E23"/>
    <w:rsid w:val="3F3F2FD1"/>
    <w:rsid w:val="3F520FBF"/>
    <w:rsid w:val="3F9803DD"/>
    <w:rsid w:val="3FE57CA4"/>
    <w:rsid w:val="402E1B38"/>
    <w:rsid w:val="40384169"/>
    <w:rsid w:val="405A4873"/>
    <w:rsid w:val="406022E2"/>
    <w:rsid w:val="407B3EBF"/>
    <w:rsid w:val="40905D53"/>
    <w:rsid w:val="40C6655A"/>
    <w:rsid w:val="40D64F73"/>
    <w:rsid w:val="40DF693D"/>
    <w:rsid w:val="40F16A8E"/>
    <w:rsid w:val="41055B30"/>
    <w:rsid w:val="411C5418"/>
    <w:rsid w:val="412545BE"/>
    <w:rsid w:val="4184340D"/>
    <w:rsid w:val="41C77552"/>
    <w:rsid w:val="41DD75D9"/>
    <w:rsid w:val="41E21275"/>
    <w:rsid w:val="41EC3DB8"/>
    <w:rsid w:val="42B85782"/>
    <w:rsid w:val="42F6152E"/>
    <w:rsid w:val="42FF6CFF"/>
    <w:rsid w:val="43075E6E"/>
    <w:rsid w:val="436B1A1A"/>
    <w:rsid w:val="43771108"/>
    <w:rsid w:val="438C4E1A"/>
    <w:rsid w:val="44174028"/>
    <w:rsid w:val="441746B8"/>
    <w:rsid w:val="441C67AB"/>
    <w:rsid w:val="446523D2"/>
    <w:rsid w:val="44765180"/>
    <w:rsid w:val="447A7A51"/>
    <w:rsid w:val="44BB500C"/>
    <w:rsid w:val="44DA0696"/>
    <w:rsid w:val="44E45943"/>
    <w:rsid w:val="453C4349"/>
    <w:rsid w:val="454E7037"/>
    <w:rsid w:val="4583380E"/>
    <w:rsid w:val="45993146"/>
    <w:rsid w:val="459E79F0"/>
    <w:rsid w:val="45AF27D7"/>
    <w:rsid w:val="45EB3538"/>
    <w:rsid w:val="463E0DC4"/>
    <w:rsid w:val="46440499"/>
    <w:rsid w:val="466F03AF"/>
    <w:rsid w:val="46771AC0"/>
    <w:rsid w:val="47347438"/>
    <w:rsid w:val="47867C8A"/>
    <w:rsid w:val="479B001B"/>
    <w:rsid w:val="47A55E85"/>
    <w:rsid w:val="47AC531D"/>
    <w:rsid w:val="47B36253"/>
    <w:rsid w:val="47D21CE6"/>
    <w:rsid w:val="47F70466"/>
    <w:rsid w:val="4820145E"/>
    <w:rsid w:val="48313978"/>
    <w:rsid w:val="485B4F92"/>
    <w:rsid w:val="486274F2"/>
    <w:rsid w:val="48876507"/>
    <w:rsid w:val="48A14890"/>
    <w:rsid w:val="48BD0CBA"/>
    <w:rsid w:val="48C37CC6"/>
    <w:rsid w:val="490D13CA"/>
    <w:rsid w:val="4A4C0CEF"/>
    <w:rsid w:val="4A67403B"/>
    <w:rsid w:val="4A734E79"/>
    <w:rsid w:val="4A8F4985"/>
    <w:rsid w:val="4A9C275A"/>
    <w:rsid w:val="4AB85DCA"/>
    <w:rsid w:val="4AD27698"/>
    <w:rsid w:val="4AE56E9A"/>
    <w:rsid w:val="4AF45F45"/>
    <w:rsid w:val="4B0A12D5"/>
    <w:rsid w:val="4B1B114F"/>
    <w:rsid w:val="4B250368"/>
    <w:rsid w:val="4B4022CA"/>
    <w:rsid w:val="4B7F6C9B"/>
    <w:rsid w:val="4B857DCA"/>
    <w:rsid w:val="4B9F1ABE"/>
    <w:rsid w:val="4BB01238"/>
    <w:rsid w:val="4BCF404D"/>
    <w:rsid w:val="4BEC2AE1"/>
    <w:rsid w:val="4C2F1AF1"/>
    <w:rsid w:val="4C3F1A69"/>
    <w:rsid w:val="4C4C7D4D"/>
    <w:rsid w:val="4C503838"/>
    <w:rsid w:val="4C692E82"/>
    <w:rsid w:val="4C8E6053"/>
    <w:rsid w:val="4C9B795E"/>
    <w:rsid w:val="4CA216B0"/>
    <w:rsid w:val="4CA7336B"/>
    <w:rsid w:val="4CEF5BAF"/>
    <w:rsid w:val="4D001539"/>
    <w:rsid w:val="4D060FF1"/>
    <w:rsid w:val="4D714797"/>
    <w:rsid w:val="4D9F0EEA"/>
    <w:rsid w:val="4DA60964"/>
    <w:rsid w:val="4E1A59EE"/>
    <w:rsid w:val="4E3A46A9"/>
    <w:rsid w:val="4E3C703C"/>
    <w:rsid w:val="4E92026E"/>
    <w:rsid w:val="4EB726FD"/>
    <w:rsid w:val="4EDA0894"/>
    <w:rsid w:val="4F095D32"/>
    <w:rsid w:val="4F1A4882"/>
    <w:rsid w:val="4F2B3557"/>
    <w:rsid w:val="4F2F71CE"/>
    <w:rsid w:val="4F3B1580"/>
    <w:rsid w:val="4F3C4DEC"/>
    <w:rsid w:val="4F585C8E"/>
    <w:rsid w:val="4F7C5051"/>
    <w:rsid w:val="4FDB2778"/>
    <w:rsid w:val="504900D3"/>
    <w:rsid w:val="50653B4A"/>
    <w:rsid w:val="50A3118B"/>
    <w:rsid w:val="50AA1BE6"/>
    <w:rsid w:val="50EA2B95"/>
    <w:rsid w:val="516620A8"/>
    <w:rsid w:val="5175589A"/>
    <w:rsid w:val="51BA74ED"/>
    <w:rsid w:val="51D952A2"/>
    <w:rsid w:val="51E919B2"/>
    <w:rsid w:val="52331CAF"/>
    <w:rsid w:val="52352B08"/>
    <w:rsid w:val="52892F5B"/>
    <w:rsid w:val="52F61709"/>
    <w:rsid w:val="54073585"/>
    <w:rsid w:val="543453A5"/>
    <w:rsid w:val="54843BCA"/>
    <w:rsid w:val="54D275F5"/>
    <w:rsid w:val="54DB7C79"/>
    <w:rsid w:val="54E74E26"/>
    <w:rsid w:val="54F93A6F"/>
    <w:rsid w:val="55580A4D"/>
    <w:rsid w:val="55627866"/>
    <w:rsid w:val="556F1F83"/>
    <w:rsid w:val="558B7070"/>
    <w:rsid w:val="55B45B96"/>
    <w:rsid w:val="55CC1AA1"/>
    <w:rsid w:val="55DA38A0"/>
    <w:rsid w:val="55DC1770"/>
    <w:rsid w:val="55EB22AC"/>
    <w:rsid w:val="561133F2"/>
    <w:rsid w:val="561F5757"/>
    <w:rsid w:val="56401CD5"/>
    <w:rsid w:val="56454BF1"/>
    <w:rsid w:val="56571FFA"/>
    <w:rsid w:val="56660C90"/>
    <w:rsid w:val="56A92CC7"/>
    <w:rsid w:val="56D204E6"/>
    <w:rsid w:val="571E77BD"/>
    <w:rsid w:val="57441969"/>
    <w:rsid w:val="57476652"/>
    <w:rsid w:val="5772766D"/>
    <w:rsid w:val="57D01AFF"/>
    <w:rsid w:val="57E010B8"/>
    <w:rsid w:val="57EB50BF"/>
    <w:rsid w:val="580405EF"/>
    <w:rsid w:val="581D5AED"/>
    <w:rsid w:val="586D09FC"/>
    <w:rsid w:val="58BD10F2"/>
    <w:rsid w:val="58CB127E"/>
    <w:rsid w:val="58CD33C2"/>
    <w:rsid w:val="592A2449"/>
    <w:rsid w:val="594A0687"/>
    <w:rsid w:val="595A3D47"/>
    <w:rsid w:val="596469D4"/>
    <w:rsid w:val="59BD375F"/>
    <w:rsid w:val="59E85E60"/>
    <w:rsid w:val="59ED3476"/>
    <w:rsid w:val="5A3134A1"/>
    <w:rsid w:val="5A435D8A"/>
    <w:rsid w:val="5A51252E"/>
    <w:rsid w:val="5A5F13E7"/>
    <w:rsid w:val="5AA173D8"/>
    <w:rsid w:val="5AAF4888"/>
    <w:rsid w:val="5B7F45A2"/>
    <w:rsid w:val="5BB71F8E"/>
    <w:rsid w:val="5BBC1D09"/>
    <w:rsid w:val="5BDB3215"/>
    <w:rsid w:val="5C34380B"/>
    <w:rsid w:val="5C441E45"/>
    <w:rsid w:val="5C6C09AA"/>
    <w:rsid w:val="5CBA4C19"/>
    <w:rsid w:val="5D194289"/>
    <w:rsid w:val="5D55190E"/>
    <w:rsid w:val="5D852344"/>
    <w:rsid w:val="5D8C2B4C"/>
    <w:rsid w:val="5DC32E71"/>
    <w:rsid w:val="5DDB4E6C"/>
    <w:rsid w:val="5DE448ED"/>
    <w:rsid w:val="5DF70E54"/>
    <w:rsid w:val="5E402B64"/>
    <w:rsid w:val="5E94654C"/>
    <w:rsid w:val="5EB01642"/>
    <w:rsid w:val="5F001951"/>
    <w:rsid w:val="5F006759"/>
    <w:rsid w:val="5F207449"/>
    <w:rsid w:val="5F225A0F"/>
    <w:rsid w:val="5F4C3A7F"/>
    <w:rsid w:val="5F7417D6"/>
    <w:rsid w:val="5F912AC4"/>
    <w:rsid w:val="5FA35FE5"/>
    <w:rsid w:val="5FCE4F4E"/>
    <w:rsid w:val="5FD14724"/>
    <w:rsid w:val="600C4824"/>
    <w:rsid w:val="600D0710"/>
    <w:rsid w:val="60153D3C"/>
    <w:rsid w:val="602F50D5"/>
    <w:rsid w:val="60700F30"/>
    <w:rsid w:val="607B7DDA"/>
    <w:rsid w:val="60B62E5B"/>
    <w:rsid w:val="60E87B88"/>
    <w:rsid w:val="60F36AC5"/>
    <w:rsid w:val="613A3445"/>
    <w:rsid w:val="61A76748"/>
    <w:rsid w:val="61D91A2E"/>
    <w:rsid w:val="627209F2"/>
    <w:rsid w:val="62900431"/>
    <w:rsid w:val="62B731FE"/>
    <w:rsid w:val="62C52E85"/>
    <w:rsid w:val="62DC368C"/>
    <w:rsid w:val="62E8177E"/>
    <w:rsid w:val="62F87114"/>
    <w:rsid w:val="63023C80"/>
    <w:rsid w:val="630C0161"/>
    <w:rsid w:val="63685D38"/>
    <w:rsid w:val="636D3AA1"/>
    <w:rsid w:val="63A31776"/>
    <w:rsid w:val="640A6AA4"/>
    <w:rsid w:val="642A1415"/>
    <w:rsid w:val="649B203D"/>
    <w:rsid w:val="64F22548"/>
    <w:rsid w:val="65033676"/>
    <w:rsid w:val="65442BCD"/>
    <w:rsid w:val="655C29BA"/>
    <w:rsid w:val="65610558"/>
    <w:rsid w:val="65804820"/>
    <w:rsid w:val="659106E2"/>
    <w:rsid w:val="65A2780B"/>
    <w:rsid w:val="65AB236D"/>
    <w:rsid w:val="65B8080F"/>
    <w:rsid w:val="65D03BC6"/>
    <w:rsid w:val="65E46075"/>
    <w:rsid w:val="66032238"/>
    <w:rsid w:val="662276B1"/>
    <w:rsid w:val="66483EC5"/>
    <w:rsid w:val="66700206"/>
    <w:rsid w:val="66704DB4"/>
    <w:rsid w:val="66A04F95"/>
    <w:rsid w:val="66B26720"/>
    <w:rsid w:val="67102453"/>
    <w:rsid w:val="67120A9E"/>
    <w:rsid w:val="6734799D"/>
    <w:rsid w:val="673E4038"/>
    <w:rsid w:val="67500178"/>
    <w:rsid w:val="679F3CC8"/>
    <w:rsid w:val="67D201EB"/>
    <w:rsid w:val="67E01163"/>
    <w:rsid w:val="680622D3"/>
    <w:rsid w:val="681168A6"/>
    <w:rsid w:val="68222C9E"/>
    <w:rsid w:val="686C2F70"/>
    <w:rsid w:val="688573AD"/>
    <w:rsid w:val="688651C2"/>
    <w:rsid w:val="68A67F29"/>
    <w:rsid w:val="68C15CCA"/>
    <w:rsid w:val="68D118F1"/>
    <w:rsid w:val="68DC7567"/>
    <w:rsid w:val="68EC6B14"/>
    <w:rsid w:val="68F62689"/>
    <w:rsid w:val="69001944"/>
    <w:rsid w:val="69350DCE"/>
    <w:rsid w:val="697D619C"/>
    <w:rsid w:val="697E5CFD"/>
    <w:rsid w:val="69EE3D79"/>
    <w:rsid w:val="69F96694"/>
    <w:rsid w:val="6A0E091D"/>
    <w:rsid w:val="6A260A0B"/>
    <w:rsid w:val="6A807108"/>
    <w:rsid w:val="6A901E6F"/>
    <w:rsid w:val="6ABA50AD"/>
    <w:rsid w:val="6ABC175A"/>
    <w:rsid w:val="6AC33DB7"/>
    <w:rsid w:val="6B006918"/>
    <w:rsid w:val="6B58725B"/>
    <w:rsid w:val="6BA94127"/>
    <w:rsid w:val="6BE57EBD"/>
    <w:rsid w:val="6BFE46EA"/>
    <w:rsid w:val="6C407AB9"/>
    <w:rsid w:val="6C7F53F2"/>
    <w:rsid w:val="6C8B20CC"/>
    <w:rsid w:val="6D1927C4"/>
    <w:rsid w:val="6D616AB2"/>
    <w:rsid w:val="6D6D0FF6"/>
    <w:rsid w:val="6DD54955"/>
    <w:rsid w:val="6DE4548A"/>
    <w:rsid w:val="6E2958EC"/>
    <w:rsid w:val="6E2D5373"/>
    <w:rsid w:val="6E3E2D5D"/>
    <w:rsid w:val="6E8F400F"/>
    <w:rsid w:val="6EB71B5D"/>
    <w:rsid w:val="6F447A17"/>
    <w:rsid w:val="6F773253"/>
    <w:rsid w:val="703B4AE4"/>
    <w:rsid w:val="704217E5"/>
    <w:rsid w:val="7076354C"/>
    <w:rsid w:val="707E56F3"/>
    <w:rsid w:val="7084648B"/>
    <w:rsid w:val="70F6444B"/>
    <w:rsid w:val="71152000"/>
    <w:rsid w:val="7121017E"/>
    <w:rsid w:val="71951D13"/>
    <w:rsid w:val="719A3A8C"/>
    <w:rsid w:val="71CD3A0B"/>
    <w:rsid w:val="71DD22F7"/>
    <w:rsid w:val="721376E2"/>
    <w:rsid w:val="721756F7"/>
    <w:rsid w:val="721A607D"/>
    <w:rsid w:val="72224ADC"/>
    <w:rsid w:val="7231680E"/>
    <w:rsid w:val="726C7C5A"/>
    <w:rsid w:val="72731B2F"/>
    <w:rsid w:val="727B38BE"/>
    <w:rsid w:val="72924529"/>
    <w:rsid w:val="72BD5AD1"/>
    <w:rsid w:val="72C87BB3"/>
    <w:rsid w:val="735465E8"/>
    <w:rsid w:val="735F6117"/>
    <w:rsid w:val="73A40AD9"/>
    <w:rsid w:val="73BC3875"/>
    <w:rsid w:val="73FC40C7"/>
    <w:rsid w:val="745D4D21"/>
    <w:rsid w:val="7466563C"/>
    <w:rsid w:val="74C01B01"/>
    <w:rsid w:val="74DB6895"/>
    <w:rsid w:val="752F342A"/>
    <w:rsid w:val="75843304"/>
    <w:rsid w:val="759E66FC"/>
    <w:rsid w:val="75C509F0"/>
    <w:rsid w:val="760C31AA"/>
    <w:rsid w:val="7632763C"/>
    <w:rsid w:val="766034F6"/>
    <w:rsid w:val="76CB6D18"/>
    <w:rsid w:val="76E41A31"/>
    <w:rsid w:val="76ED37EF"/>
    <w:rsid w:val="770F21D1"/>
    <w:rsid w:val="77BF7315"/>
    <w:rsid w:val="782E1286"/>
    <w:rsid w:val="782E3442"/>
    <w:rsid w:val="78532959"/>
    <w:rsid w:val="786C5C4B"/>
    <w:rsid w:val="78871402"/>
    <w:rsid w:val="78A7019A"/>
    <w:rsid w:val="78CA1834"/>
    <w:rsid w:val="78D56A00"/>
    <w:rsid w:val="78DF6F7C"/>
    <w:rsid w:val="790A6E9A"/>
    <w:rsid w:val="791870B6"/>
    <w:rsid w:val="796D5B63"/>
    <w:rsid w:val="798D055E"/>
    <w:rsid w:val="79B2097F"/>
    <w:rsid w:val="79BA3B0E"/>
    <w:rsid w:val="7A287679"/>
    <w:rsid w:val="7A390B78"/>
    <w:rsid w:val="7ABB6962"/>
    <w:rsid w:val="7AC940EF"/>
    <w:rsid w:val="7AF4539C"/>
    <w:rsid w:val="7B2867E1"/>
    <w:rsid w:val="7B4F7695"/>
    <w:rsid w:val="7B9C6D7F"/>
    <w:rsid w:val="7BBFE36C"/>
    <w:rsid w:val="7BFE17E7"/>
    <w:rsid w:val="7C013D85"/>
    <w:rsid w:val="7C182650"/>
    <w:rsid w:val="7C426179"/>
    <w:rsid w:val="7C662C4B"/>
    <w:rsid w:val="7CB32C8C"/>
    <w:rsid w:val="7D1A555D"/>
    <w:rsid w:val="7D1B3671"/>
    <w:rsid w:val="7D241628"/>
    <w:rsid w:val="7D5C3335"/>
    <w:rsid w:val="7D6C3033"/>
    <w:rsid w:val="7D733ECF"/>
    <w:rsid w:val="7DB40A20"/>
    <w:rsid w:val="7DBF6D54"/>
    <w:rsid w:val="7DC2451F"/>
    <w:rsid w:val="7DCA13D1"/>
    <w:rsid w:val="7DE7143A"/>
    <w:rsid w:val="7E136A50"/>
    <w:rsid w:val="7E2452F0"/>
    <w:rsid w:val="7E49765A"/>
    <w:rsid w:val="7E4C0FEB"/>
    <w:rsid w:val="7E7654DB"/>
    <w:rsid w:val="7EA857C5"/>
    <w:rsid w:val="7EBE0C5A"/>
    <w:rsid w:val="7EFB3C47"/>
    <w:rsid w:val="7F6271D2"/>
    <w:rsid w:val="7F850ECB"/>
    <w:rsid w:val="7F9E2999"/>
    <w:rsid w:val="7FAA2F0C"/>
    <w:rsid w:val="7FFD1637"/>
    <w:rsid w:val="A7CFE651"/>
    <w:rsid w:val="BEDBD596"/>
    <w:rsid w:val="CEB62A15"/>
    <w:rsid w:val="DCFD2C93"/>
    <w:rsid w:val="DDFF371E"/>
    <w:rsid w:val="DF77DDF5"/>
    <w:rsid w:val="DF7FC15B"/>
    <w:rsid w:val="E3FDFAD4"/>
    <w:rsid w:val="F6EFA82F"/>
    <w:rsid w:val="FB33D45F"/>
    <w:rsid w:val="FFE5606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qFormat="1" w:unhideWhenUsed="0"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iPriority="99"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qFormat="1" w:uiPriority="99" w:name="HTML Typewriter"/>
    <w:lsdException w:qFormat="1"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30"/>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5">
    <w:name w:val="heading 1"/>
    <w:basedOn w:val="1"/>
    <w:next w:val="1"/>
    <w:link w:val="61"/>
    <w:autoRedefine/>
    <w:qFormat/>
    <w:uiPriority w:val="0"/>
    <w:pPr>
      <w:keepNext/>
      <w:outlineLvl w:val="0"/>
    </w:pPr>
    <w:rPr>
      <w:sz w:val="28"/>
      <w:szCs w:val="24"/>
    </w:rPr>
  </w:style>
  <w:style w:type="paragraph" w:styleId="6">
    <w:name w:val="heading 2"/>
    <w:basedOn w:val="1"/>
    <w:next w:val="1"/>
    <w:link w:val="117"/>
    <w:autoRedefine/>
    <w:qFormat/>
    <w:uiPriority w:val="0"/>
    <w:pPr>
      <w:keepNext/>
      <w:keepLines/>
      <w:adjustRightInd w:val="0"/>
      <w:spacing w:before="260" w:after="260" w:line="416" w:lineRule="atLeast"/>
      <w:jc w:val="left"/>
      <w:textAlignment w:val="baseline"/>
      <w:outlineLvl w:val="1"/>
    </w:pPr>
    <w:rPr>
      <w:rFonts w:ascii="Arial" w:hAnsi="Arial" w:eastAsia="黑体"/>
      <w:b/>
      <w:kern w:val="0"/>
      <w:sz w:val="32"/>
    </w:rPr>
  </w:style>
  <w:style w:type="paragraph" w:styleId="7">
    <w:name w:val="heading 3"/>
    <w:basedOn w:val="1"/>
    <w:next w:val="1"/>
    <w:link w:val="63"/>
    <w:autoRedefine/>
    <w:qFormat/>
    <w:uiPriority w:val="0"/>
    <w:pPr>
      <w:keepNext/>
      <w:keepLines/>
      <w:spacing w:before="260" w:after="260" w:line="416" w:lineRule="auto"/>
      <w:outlineLvl w:val="2"/>
    </w:pPr>
    <w:rPr>
      <w:b/>
      <w:bCs/>
      <w:sz w:val="32"/>
      <w:szCs w:val="32"/>
      <w:lang w:val="zh-CN"/>
    </w:rPr>
  </w:style>
  <w:style w:type="paragraph" w:styleId="8">
    <w:name w:val="heading 4"/>
    <w:basedOn w:val="1"/>
    <w:next w:val="1"/>
    <w:link w:val="64"/>
    <w:autoRedefine/>
    <w:qFormat/>
    <w:uiPriority w:val="0"/>
    <w:pPr>
      <w:keepNext/>
      <w:keepLines/>
      <w:adjustRightInd w:val="0"/>
      <w:spacing w:before="280" w:after="290" w:line="376" w:lineRule="atLeast"/>
      <w:jc w:val="left"/>
      <w:textAlignment w:val="baseline"/>
      <w:outlineLvl w:val="3"/>
    </w:pPr>
    <w:rPr>
      <w:rFonts w:ascii="Arial" w:hAnsi="Arial" w:eastAsia="黑体"/>
      <w:b/>
      <w:kern w:val="0"/>
      <w:sz w:val="28"/>
    </w:rPr>
  </w:style>
  <w:style w:type="character" w:default="1" w:styleId="38">
    <w:name w:val="Default Paragraph Font"/>
    <w:autoRedefine/>
    <w:semiHidden/>
    <w:unhideWhenUsed/>
    <w:qFormat/>
    <w:uiPriority w:val="1"/>
  </w:style>
  <w:style w:type="table" w:default="1" w:styleId="36">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w:basedOn w:val="3"/>
    <w:next w:val="1"/>
    <w:autoRedefine/>
    <w:unhideWhenUsed/>
    <w:qFormat/>
    <w:uiPriority w:val="99"/>
    <w:pPr>
      <w:spacing w:line="400" w:lineRule="atLeast"/>
      <w:ind w:firstLine="426"/>
    </w:pPr>
    <w:rPr>
      <w:sz w:val="24"/>
      <w:szCs w:val="20"/>
    </w:rPr>
  </w:style>
  <w:style w:type="paragraph" w:styleId="3">
    <w:name w:val="Body Text"/>
    <w:basedOn w:val="1"/>
    <w:next w:val="4"/>
    <w:link w:val="77"/>
    <w:autoRedefine/>
    <w:qFormat/>
    <w:uiPriority w:val="0"/>
    <w:pPr>
      <w:spacing w:after="120"/>
    </w:pPr>
    <w:rPr>
      <w:szCs w:val="24"/>
    </w:rPr>
  </w:style>
  <w:style w:type="paragraph" w:customStyle="1" w:styleId="4">
    <w:name w:val="Default"/>
    <w:autoRedefine/>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paragraph" w:styleId="9">
    <w:name w:val="toc 7"/>
    <w:basedOn w:val="1"/>
    <w:next w:val="1"/>
    <w:autoRedefine/>
    <w:qFormat/>
    <w:uiPriority w:val="0"/>
    <w:pPr>
      <w:ind w:left="2520" w:leftChars="1200"/>
    </w:pPr>
  </w:style>
  <w:style w:type="paragraph" w:styleId="10">
    <w:name w:val="Document Map"/>
    <w:basedOn w:val="1"/>
    <w:link w:val="88"/>
    <w:autoRedefine/>
    <w:qFormat/>
    <w:uiPriority w:val="0"/>
    <w:pPr>
      <w:shd w:val="clear" w:color="auto" w:fill="000080"/>
    </w:pPr>
  </w:style>
  <w:style w:type="paragraph" w:styleId="11">
    <w:name w:val="annotation text"/>
    <w:basedOn w:val="1"/>
    <w:link w:val="82"/>
    <w:autoRedefine/>
    <w:semiHidden/>
    <w:qFormat/>
    <w:uiPriority w:val="99"/>
    <w:pPr>
      <w:jc w:val="left"/>
    </w:pPr>
  </w:style>
  <w:style w:type="paragraph" w:styleId="12">
    <w:name w:val="Body Text 3"/>
    <w:basedOn w:val="1"/>
    <w:link w:val="102"/>
    <w:autoRedefine/>
    <w:unhideWhenUsed/>
    <w:qFormat/>
    <w:uiPriority w:val="99"/>
    <w:pPr>
      <w:spacing w:after="120"/>
    </w:pPr>
    <w:rPr>
      <w:rFonts w:ascii="Calibri" w:hAnsi="Calibri"/>
      <w:sz w:val="16"/>
      <w:szCs w:val="16"/>
      <w:lang w:val="zh-CN"/>
    </w:rPr>
  </w:style>
  <w:style w:type="paragraph" w:styleId="13">
    <w:name w:val="Body Text Indent"/>
    <w:basedOn w:val="1"/>
    <w:next w:val="14"/>
    <w:link w:val="66"/>
    <w:autoRedefine/>
    <w:qFormat/>
    <w:uiPriority w:val="0"/>
    <w:pPr>
      <w:ind w:firstLine="540"/>
    </w:pPr>
    <w:rPr>
      <w:rFonts w:eastAsia="仿宋_GB2312"/>
      <w:sz w:val="28"/>
    </w:rPr>
  </w:style>
  <w:style w:type="paragraph" w:styleId="14">
    <w:name w:val="envelope return"/>
    <w:basedOn w:val="1"/>
    <w:autoRedefine/>
    <w:unhideWhenUsed/>
    <w:qFormat/>
    <w:uiPriority w:val="99"/>
    <w:pPr>
      <w:snapToGrid w:val="0"/>
      <w:spacing w:line="360" w:lineRule="auto"/>
    </w:pPr>
    <w:rPr>
      <w:rFonts w:ascii="Arial" w:hAnsi="Arial" w:cs="Arial"/>
    </w:rPr>
  </w:style>
  <w:style w:type="paragraph" w:styleId="15">
    <w:name w:val="toc 5"/>
    <w:basedOn w:val="1"/>
    <w:next w:val="1"/>
    <w:autoRedefine/>
    <w:qFormat/>
    <w:uiPriority w:val="0"/>
    <w:pPr>
      <w:ind w:left="1680" w:leftChars="800"/>
    </w:pPr>
  </w:style>
  <w:style w:type="paragraph" w:styleId="16">
    <w:name w:val="toc 3"/>
    <w:basedOn w:val="1"/>
    <w:next w:val="1"/>
    <w:autoRedefine/>
    <w:qFormat/>
    <w:uiPriority w:val="39"/>
    <w:pPr>
      <w:ind w:left="840" w:leftChars="400"/>
    </w:pPr>
  </w:style>
  <w:style w:type="paragraph" w:styleId="17">
    <w:name w:val="Plain Text"/>
    <w:basedOn w:val="1"/>
    <w:link w:val="85"/>
    <w:autoRedefine/>
    <w:qFormat/>
    <w:uiPriority w:val="0"/>
    <w:rPr>
      <w:rFonts w:ascii="宋体" w:hAnsi="Courier New" w:cstheme="minorBidi"/>
      <w:szCs w:val="22"/>
    </w:rPr>
  </w:style>
  <w:style w:type="paragraph" w:styleId="18">
    <w:name w:val="toc 8"/>
    <w:basedOn w:val="1"/>
    <w:next w:val="1"/>
    <w:autoRedefine/>
    <w:qFormat/>
    <w:uiPriority w:val="0"/>
    <w:pPr>
      <w:ind w:left="2940" w:leftChars="1400"/>
    </w:pPr>
  </w:style>
  <w:style w:type="paragraph" w:styleId="19">
    <w:name w:val="Date"/>
    <w:basedOn w:val="1"/>
    <w:next w:val="1"/>
    <w:link w:val="65"/>
    <w:autoRedefine/>
    <w:qFormat/>
    <w:uiPriority w:val="0"/>
    <w:rPr>
      <w:rFonts w:ascii="Arial" w:hAnsi="Arial" w:eastAsia="楷体_GB2312"/>
      <w:sz w:val="28"/>
    </w:rPr>
  </w:style>
  <w:style w:type="paragraph" w:styleId="20">
    <w:name w:val="Body Text Indent 2"/>
    <w:basedOn w:val="1"/>
    <w:link w:val="68"/>
    <w:autoRedefine/>
    <w:qFormat/>
    <w:uiPriority w:val="0"/>
    <w:pPr>
      <w:tabs>
        <w:tab w:val="left" w:pos="720"/>
      </w:tabs>
      <w:ind w:right="-506" w:rightChars="-241" w:firstLine="538" w:firstLineChars="192"/>
    </w:pPr>
    <w:rPr>
      <w:rFonts w:eastAsia="仿宋_GB2312"/>
      <w:sz w:val="28"/>
    </w:rPr>
  </w:style>
  <w:style w:type="paragraph" w:styleId="21">
    <w:name w:val="Balloon Text"/>
    <w:basedOn w:val="1"/>
    <w:link w:val="79"/>
    <w:autoRedefine/>
    <w:qFormat/>
    <w:uiPriority w:val="0"/>
    <w:rPr>
      <w:sz w:val="18"/>
      <w:szCs w:val="18"/>
    </w:rPr>
  </w:style>
  <w:style w:type="paragraph" w:styleId="22">
    <w:name w:val="footer"/>
    <w:basedOn w:val="1"/>
    <w:link w:val="60"/>
    <w:autoRedefine/>
    <w:unhideWhenUsed/>
    <w:qFormat/>
    <w:uiPriority w:val="99"/>
    <w:pPr>
      <w:tabs>
        <w:tab w:val="center" w:pos="4153"/>
        <w:tab w:val="right" w:pos="8306"/>
      </w:tabs>
      <w:snapToGrid w:val="0"/>
      <w:jc w:val="left"/>
    </w:pPr>
    <w:rPr>
      <w:sz w:val="18"/>
      <w:szCs w:val="18"/>
    </w:rPr>
  </w:style>
  <w:style w:type="paragraph" w:styleId="23">
    <w:name w:val="header"/>
    <w:basedOn w:val="1"/>
    <w:link w:val="5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4">
    <w:name w:val="toc 1"/>
    <w:basedOn w:val="1"/>
    <w:next w:val="1"/>
    <w:autoRedefine/>
    <w:qFormat/>
    <w:uiPriority w:val="0"/>
  </w:style>
  <w:style w:type="paragraph" w:styleId="25">
    <w:name w:val="toc 4"/>
    <w:basedOn w:val="1"/>
    <w:next w:val="1"/>
    <w:autoRedefine/>
    <w:qFormat/>
    <w:uiPriority w:val="0"/>
    <w:pPr>
      <w:ind w:left="1260" w:leftChars="600"/>
    </w:pPr>
  </w:style>
  <w:style w:type="paragraph" w:styleId="26">
    <w:name w:val="toc 6"/>
    <w:basedOn w:val="1"/>
    <w:next w:val="1"/>
    <w:autoRedefine/>
    <w:qFormat/>
    <w:uiPriority w:val="0"/>
    <w:pPr>
      <w:ind w:left="2100" w:leftChars="1000"/>
    </w:pPr>
  </w:style>
  <w:style w:type="paragraph" w:styleId="27">
    <w:name w:val="Body Text Indent 3"/>
    <w:basedOn w:val="1"/>
    <w:link w:val="74"/>
    <w:autoRedefine/>
    <w:qFormat/>
    <w:uiPriority w:val="0"/>
    <w:pPr>
      <w:ind w:left="178" w:leftChars="85" w:firstLine="560" w:firstLineChars="200"/>
    </w:pPr>
    <w:rPr>
      <w:rFonts w:ascii="仿宋_GB2312" w:hAnsi="Arial" w:eastAsia="仿宋_GB2312"/>
      <w:sz w:val="28"/>
      <w:szCs w:val="24"/>
    </w:rPr>
  </w:style>
  <w:style w:type="paragraph" w:styleId="28">
    <w:name w:val="toc 2"/>
    <w:basedOn w:val="1"/>
    <w:next w:val="1"/>
    <w:autoRedefine/>
    <w:qFormat/>
    <w:uiPriority w:val="39"/>
    <w:pPr>
      <w:ind w:left="420" w:leftChars="200"/>
    </w:pPr>
  </w:style>
  <w:style w:type="paragraph" w:styleId="29">
    <w:name w:val="toc 9"/>
    <w:basedOn w:val="1"/>
    <w:next w:val="1"/>
    <w:autoRedefine/>
    <w:qFormat/>
    <w:uiPriority w:val="0"/>
    <w:pPr>
      <w:ind w:left="3360" w:leftChars="1600"/>
    </w:pPr>
  </w:style>
  <w:style w:type="paragraph" w:styleId="30">
    <w:name w:val="Body Text 2"/>
    <w:basedOn w:val="1"/>
    <w:autoRedefine/>
    <w:qFormat/>
    <w:uiPriority w:val="0"/>
    <w:pPr>
      <w:spacing w:after="120" w:line="480" w:lineRule="auto"/>
    </w:pPr>
  </w:style>
  <w:style w:type="paragraph" w:styleId="31">
    <w:name w:val="HTML Preformatted"/>
    <w:basedOn w:val="1"/>
    <w:autoRedefine/>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32">
    <w:name w:val="Normal (Web)"/>
    <w:basedOn w:val="1"/>
    <w:autoRedefine/>
    <w:unhideWhenUsed/>
    <w:qFormat/>
    <w:uiPriority w:val="99"/>
    <w:pPr>
      <w:jc w:val="left"/>
    </w:pPr>
    <w:rPr>
      <w:kern w:val="0"/>
      <w:sz w:val="24"/>
    </w:rPr>
  </w:style>
  <w:style w:type="paragraph" w:styleId="33">
    <w:name w:val="index 1"/>
    <w:basedOn w:val="1"/>
    <w:next w:val="1"/>
    <w:autoRedefine/>
    <w:semiHidden/>
    <w:qFormat/>
    <w:uiPriority w:val="0"/>
    <w:pPr>
      <w:jc w:val="center"/>
    </w:pPr>
    <w:rPr>
      <w:rFonts w:ascii="仿宋_GB2312" w:eastAsia="仿宋_GB2312"/>
      <w:b/>
      <w:bCs/>
      <w:sz w:val="28"/>
    </w:rPr>
  </w:style>
  <w:style w:type="paragraph" w:styleId="34">
    <w:name w:val="annotation subject"/>
    <w:basedOn w:val="11"/>
    <w:next w:val="11"/>
    <w:link w:val="83"/>
    <w:autoRedefine/>
    <w:semiHidden/>
    <w:qFormat/>
    <w:uiPriority w:val="99"/>
    <w:rPr>
      <w:b/>
      <w:bCs/>
    </w:rPr>
  </w:style>
  <w:style w:type="paragraph" w:styleId="35">
    <w:name w:val="Body Text First Indent 2"/>
    <w:basedOn w:val="13"/>
    <w:autoRedefine/>
    <w:qFormat/>
    <w:uiPriority w:val="0"/>
    <w:pPr>
      <w:spacing w:line="360" w:lineRule="auto"/>
      <w:jc w:val="left"/>
    </w:pPr>
    <w:rPr>
      <w:rFonts w:cs="宋体"/>
      <w:sz w:val="28"/>
      <w:szCs w:val="28"/>
    </w:rPr>
  </w:style>
  <w:style w:type="table" w:styleId="37">
    <w:name w:val="Table Grid"/>
    <w:basedOn w:val="36"/>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basedOn w:val="38"/>
    <w:autoRedefine/>
    <w:qFormat/>
    <w:uiPriority w:val="0"/>
    <w:rPr>
      <w:b/>
      <w:bCs/>
    </w:rPr>
  </w:style>
  <w:style w:type="character" w:styleId="40">
    <w:name w:val="page number"/>
    <w:basedOn w:val="38"/>
    <w:autoRedefine/>
    <w:qFormat/>
    <w:uiPriority w:val="0"/>
  </w:style>
  <w:style w:type="character" w:styleId="41">
    <w:name w:val="FollowedHyperlink"/>
    <w:basedOn w:val="38"/>
    <w:autoRedefine/>
    <w:unhideWhenUsed/>
    <w:qFormat/>
    <w:uiPriority w:val="99"/>
    <w:rPr>
      <w:color w:val="954F72" w:themeColor="followedHyperlink"/>
      <w:u w:val="single"/>
      <w14:textFill>
        <w14:solidFill>
          <w14:schemeClr w14:val="folHlink"/>
        </w14:solidFill>
      </w14:textFill>
    </w:rPr>
  </w:style>
  <w:style w:type="character" w:styleId="42">
    <w:name w:val="Emphasis"/>
    <w:basedOn w:val="38"/>
    <w:autoRedefine/>
    <w:qFormat/>
    <w:uiPriority w:val="20"/>
    <w:rPr>
      <w:b/>
      <w:bCs/>
    </w:rPr>
  </w:style>
  <w:style w:type="character" w:styleId="43">
    <w:name w:val="HTML Definition"/>
    <w:basedOn w:val="38"/>
    <w:autoRedefine/>
    <w:semiHidden/>
    <w:unhideWhenUsed/>
    <w:qFormat/>
    <w:uiPriority w:val="99"/>
  </w:style>
  <w:style w:type="character" w:styleId="44">
    <w:name w:val="HTML Typewriter"/>
    <w:basedOn w:val="38"/>
    <w:autoRedefine/>
    <w:semiHidden/>
    <w:unhideWhenUsed/>
    <w:qFormat/>
    <w:uiPriority w:val="99"/>
    <w:rPr>
      <w:rFonts w:hint="default" w:ascii="monospace" w:hAnsi="monospace" w:eastAsia="monospace" w:cs="monospace"/>
      <w:sz w:val="20"/>
    </w:rPr>
  </w:style>
  <w:style w:type="character" w:styleId="45">
    <w:name w:val="HTML Acronym"/>
    <w:basedOn w:val="38"/>
    <w:autoRedefine/>
    <w:semiHidden/>
    <w:unhideWhenUsed/>
    <w:qFormat/>
    <w:uiPriority w:val="99"/>
  </w:style>
  <w:style w:type="character" w:styleId="46">
    <w:name w:val="HTML Variable"/>
    <w:basedOn w:val="38"/>
    <w:autoRedefine/>
    <w:semiHidden/>
    <w:unhideWhenUsed/>
    <w:qFormat/>
    <w:uiPriority w:val="99"/>
  </w:style>
  <w:style w:type="character" w:styleId="47">
    <w:name w:val="Hyperlink"/>
    <w:basedOn w:val="38"/>
    <w:autoRedefine/>
    <w:qFormat/>
    <w:uiPriority w:val="99"/>
    <w:rPr>
      <w:color w:val="333333"/>
      <w:u w:val="none"/>
    </w:rPr>
  </w:style>
  <w:style w:type="character" w:styleId="48">
    <w:name w:val="HTML Code"/>
    <w:basedOn w:val="38"/>
    <w:autoRedefine/>
    <w:semiHidden/>
    <w:unhideWhenUsed/>
    <w:qFormat/>
    <w:uiPriority w:val="99"/>
    <w:rPr>
      <w:rFonts w:hint="default" w:ascii="monospace" w:hAnsi="monospace" w:eastAsia="monospace" w:cs="monospace"/>
      <w:sz w:val="20"/>
    </w:rPr>
  </w:style>
  <w:style w:type="character" w:styleId="49">
    <w:name w:val="annotation reference"/>
    <w:autoRedefine/>
    <w:semiHidden/>
    <w:qFormat/>
    <w:uiPriority w:val="99"/>
    <w:rPr>
      <w:sz w:val="21"/>
      <w:szCs w:val="21"/>
    </w:rPr>
  </w:style>
  <w:style w:type="character" w:styleId="50">
    <w:name w:val="HTML Cite"/>
    <w:basedOn w:val="38"/>
    <w:autoRedefine/>
    <w:semiHidden/>
    <w:unhideWhenUsed/>
    <w:qFormat/>
    <w:uiPriority w:val="99"/>
  </w:style>
  <w:style w:type="character" w:styleId="51">
    <w:name w:val="HTML Keyboard"/>
    <w:basedOn w:val="38"/>
    <w:autoRedefine/>
    <w:semiHidden/>
    <w:unhideWhenUsed/>
    <w:qFormat/>
    <w:uiPriority w:val="99"/>
    <w:rPr>
      <w:rFonts w:ascii="monospace" w:hAnsi="monospace" w:eastAsia="monospace" w:cs="monospace"/>
      <w:sz w:val="20"/>
    </w:rPr>
  </w:style>
  <w:style w:type="character" w:styleId="52">
    <w:name w:val="HTML Sample"/>
    <w:basedOn w:val="38"/>
    <w:autoRedefine/>
    <w:semiHidden/>
    <w:unhideWhenUsed/>
    <w:qFormat/>
    <w:uiPriority w:val="99"/>
    <w:rPr>
      <w:rFonts w:hint="default" w:ascii="monospace" w:hAnsi="monospace" w:eastAsia="monospace" w:cs="monospace"/>
    </w:rPr>
  </w:style>
  <w:style w:type="paragraph" w:customStyle="1" w:styleId="53">
    <w:name w:val="_Style 2"/>
    <w:basedOn w:val="1"/>
    <w:next w:val="1"/>
    <w:autoRedefine/>
    <w:qFormat/>
    <w:uiPriority w:val="0"/>
    <w:pPr>
      <w:ind w:firstLine="420" w:firstLineChars="200"/>
    </w:pPr>
    <w:rPr>
      <w:rFonts w:ascii="Times New Roman" w:hAnsi="Times New Roman" w:eastAsia="宋体" w:cs="Times New Roman"/>
      <w:szCs w:val="24"/>
    </w:rPr>
  </w:style>
  <w:style w:type="paragraph" w:customStyle="1" w:styleId="54">
    <w:name w:val="表格文字"/>
    <w:basedOn w:val="1"/>
    <w:autoRedefine/>
    <w:qFormat/>
    <w:uiPriority w:val="0"/>
    <w:pPr>
      <w:spacing w:line="360" w:lineRule="exact"/>
      <w:jc w:val="center"/>
    </w:pPr>
    <w:rPr>
      <w:szCs w:val="20"/>
    </w:rPr>
  </w:style>
  <w:style w:type="paragraph" w:customStyle="1" w:styleId="55">
    <w:name w:val="style4"/>
    <w:basedOn w:val="1"/>
    <w:next w:val="56"/>
    <w:autoRedefine/>
    <w:qFormat/>
    <w:uiPriority w:val="0"/>
    <w:pPr>
      <w:widowControl/>
      <w:spacing w:before="280" w:after="280"/>
    </w:pPr>
    <w:rPr>
      <w:rFonts w:ascii="宋体"/>
      <w:sz w:val="18"/>
    </w:rPr>
  </w:style>
  <w:style w:type="paragraph" w:customStyle="1" w:styleId="56">
    <w:name w:val="2"/>
    <w:next w:val="1"/>
    <w:autoRedefine/>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57">
    <w:name w:val="列出段落1"/>
    <w:basedOn w:val="1"/>
    <w:autoRedefine/>
    <w:qFormat/>
    <w:uiPriority w:val="0"/>
    <w:pPr>
      <w:ind w:firstLine="420" w:firstLineChars="200"/>
    </w:pPr>
    <w:rPr>
      <w:rFonts w:ascii="Calibri" w:hAnsi="Calibri"/>
      <w:szCs w:val="22"/>
    </w:rPr>
  </w:style>
  <w:style w:type="paragraph" w:customStyle="1" w:styleId="58">
    <w:name w:val="目录 71"/>
    <w:basedOn w:val="1"/>
    <w:next w:val="1"/>
    <w:autoRedefine/>
    <w:qFormat/>
    <w:uiPriority w:val="0"/>
    <w:pPr>
      <w:ind w:left="2520"/>
    </w:pPr>
    <w:rPr>
      <w:rFonts w:ascii="Calibri"/>
    </w:rPr>
  </w:style>
  <w:style w:type="character" w:customStyle="1" w:styleId="59">
    <w:name w:val="页眉 字符"/>
    <w:basedOn w:val="38"/>
    <w:link w:val="23"/>
    <w:autoRedefine/>
    <w:qFormat/>
    <w:uiPriority w:val="0"/>
    <w:rPr>
      <w:sz w:val="18"/>
      <w:szCs w:val="18"/>
    </w:rPr>
  </w:style>
  <w:style w:type="character" w:customStyle="1" w:styleId="60">
    <w:name w:val="页脚 字符"/>
    <w:basedOn w:val="38"/>
    <w:link w:val="22"/>
    <w:autoRedefine/>
    <w:qFormat/>
    <w:uiPriority w:val="0"/>
    <w:rPr>
      <w:sz w:val="18"/>
      <w:szCs w:val="18"/>
    </w:rPr>
  </w:style>
  <w:style w:type="character" w:customStyle="1" w:styleId="61">
    <w:name w:val="标题 1 字符"/>
    <w:basedOn w:val="38"/>
    <w:link w:val="5"/>
    <w:autoRedefine/>
    <w:qFormat/>
    <w:uiPriority w:val="0"/>
    <w:rPr>
      <w:rFonts w:ascii="Times New Roman" w:hAnsi="Times New Roman" w:eastAsia="宋体" w:cs="Times New Roman"/>
      <w:sz w:val="28"/>
      <w:szCs w:val="24"/>
    </w:rPr>
  </w:style>
  <w:style w:type="character" w:customStyle="1" w:styleId="62">
    <w:name w:val="标题 2 Char"/>
    <w:basedOn w:val="38"/>
    <w:link w:val="6"/>
    <w:autoRedefine/>
    <w:qFormat/>
    <w:uiPriority w:val="0"/>
    <w:rPr>
      <w:rFonts w:ascii="Arial" w:hAnsi="Arial" w:eastAsia="黑体" w:cs="Times New Roman"/>
      <w:b/>
      <w:kern w:val="0"/>
      <w:sz w:val="32"/>
      <w:szCs w:val="20"/>
    </w:rPr>
  </w:style>
  <w:style w:type="character" w:customStyle="1" w:styleId="63">
    <w:name w:val="标题 3 字符"/>
    <w:basedOn w:val="38"/>
    <w:link w:val="7"/>
    <w:autoRedefine/>
    <w:qFormat/>
    <w:uiPriority w:val="0"/>
    <w:rPr>
      <w:rFonts w:ascii="Times New Roman" w:hAnsi="Times New Roman" w:eastAsia="宋体" w:cs="Times New Roman"/>
      <w:b/>
      <w:bCs/>
      <w:sz w:val="32"/>
      <w:szCs w:val="32"/>
      <w:lang w:val="zh-CN" w:eastAsia="zh-CN"/>
    </w:rPr>
  </w:style>
  <w:style w:type="character" w:customStyle="1" w:styleId="64">
    <w:name w:val="标题 4 字符"/>
    <w:basedOn w:val="38"/>
    <w:link w:val="8"/>
    <w:autoRedefine/>
    <w:qFormat/>
    <w:uiPriority w:val="0"/>
    <w:rPr>
      <w:rFonts w:ascii="Arial" w:hAnsi="Arial" w:eastAsia="黑体" w:cs="Times New Roman"/>
      <w:b/>
      <w:kern w:val="0"/>
      <w:sz w:val="28"/>
      <w:szCs w:val="20"/>
    </w:rPr>
  </w:style>
  <w:style w:type="character" w:customStyle="1" w:styleId="65">
    <w:name w:val="日期 字符"/>
    <w:basedOn w:val="38"/>
    <w:link w:val="19"/>
    <w:autoRedefine/>
    <w:qFormat/>
    <w:uiPriority w:val="0"/>
    <w:rPr>
      <w:rFonts w:ascii="Arial" w:hAnsi="Arial" w:eastAsia="楷体_GB2312" w:cs="Times New Roman"/>
      <w:sz w:val="28"/>
      <w:szCs w:val="20"/>
    </w:rPr>
  </w:style>
  <w:style w:type="character" w:customStyle="1" w:styleId="66">
    <w:name w:val="正文文本缩进 字符"/>
    <w:basedOn w:val="38"/>
    <w:link w:val="13"/>
    <w:autoRedefine/>
    <w:qFormat/>
    <w:uiPriority w:val="0"/>
    <w:rPr>
      <w:rFonts w:ascii="Times New Roman" w:hAnsi="Times New Roman" w:eastAsia="仿宋_GB2312" w:cs="Times New Roman"/>
      <w:sz w:val="28"/>
      <w:szCs w:val="20"/>
    </w:rPr>
  </w:style>
  <w:style w:type="paragraph" w:customStyle="1" w:styleId="67">
    <w:name w:val="_Style 20"/>
    <w:autoRedefine/>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68">
    <w:name w:val="正文文本缩进 2 字符"/>
    <w:basedOn w:val="38"/>
    <w:link w:val="20"/>
    <w:autoRedefine/>
    <w:qFormat/>
    <w:uiPriority w:val="0"/>
    <w:rPr>
      <w:rFonts w:ascii="Times New Roman" w:hAnsi="Times New Roman" w:eastAsia="仿宋_GB2312" w:cs="Times New Roman"/>
      <w:sz w:val="28"/>
      <w:szCs w:val="20"/>
    </w:rPr>
  </w:style>
  <w:style w:type="paragraph" w:customStyle="1" w:styleId="69">
    <w:name w:val="样式1"/>
    <w:basedOn w:val="1"/>
    <w:autoRedefine/>
    <w:qFormat/>
    <w:uiPriority w:val="0"/>
    <w:pPr>
      <w:numPr>
        <w:ilvl w:val="0"/>
        <w:numId w:val="1"/>
      </w:numPr>
      <w:adjustRightInd w:val="0"/>
      <w:textAlignment w:val="baseline"/>
    </w:pPr>
    <w:rPr>
      <w:rFonts w:ascii="宋体" w:hAnsi="宋体"/>
      <w:kern w:val="0"/>
    </w:rPr>
  </w:style>
  <w:style w:type="paragraph" w:customStyle="1" w:styleId="70">
    <w:name w:val="样式 宋体 五号 行距: 单倍行距"/>
    <w:basedOn w:val="1"/>
    <w:autoRedefine/>
    <w:qFormat/>
    <w:uiPriority w:val="0"/>
    <w:pPr>
      <w:adjustRightInd w:val="0"/>
      <w:jc w:val="left"/>
      <w:textAlignment w:val="baseline"/>
    </w:pPr>
    <w:rPr>
      <w:rFonts w:ascii="宋体" w:hAnsi="宋体"/>
      <w:kern w:val="0"/>
    </w:rPr>
  </w:style>
  <w:style w:type="paragraph" w:customStyle="1" w:styleId="71">
    <w:name w:val="样式 标题 2 + 宋体 五号 行距: 单倍行距"/>
    <w:basedOn w:val="6"/>
    <w:autoRedefine/>
    <w:qFormat/>
    <w:uiPriority w:val="0"/>
    <w:pPr>
      <w:spacing w:line="240" w:lineRule="auto"/>
    </w:pPr>
    <w:rPr>
      <w:rFonts w:ascii="宋体" w:hAnsi="宋体" w:eastAsia="宋体"/>
      <w:sz w:val="21"/>
    </w:rPr>
  </w:style>
  <w:style w:type="paragraph" w:customStyle="1" w:styleId="72">
    <w:name w:val="Char Char Char Char Char"/>
    <w:basedOn w:val="1"/>
    <w:autoRedefine/>
    <w:qFormat/>
    <w:uiPriority w:val="0"/>
    <w:rPr>
      <w:rFonts w:ascii="Tahoma" w:hAnsi="Tahoma"/>
      <w:sz w:val="24"/>
    </w:rPr>
  </w:style>
  <w:style w:type="paragraph" w:customStyle="1" w:styleId="73">
    <w:name w:val="Char"/>
    <w:basedOn w:val="1"/>
    <w:autoRedefine/>
    <w:qFormat/>
    <w:uiPriority w:val="0"/>
    <w:rPr>
      <w:rFonts w:ascii="Tahoma" w:hAnsi="Tahoma"/>
      <w:sz w:val="24"/>
    </w:rPr>
  </w:style>
  <w:style w:type="character" w:customStyle="1" w:styleId="74">
    <w:name w:val="正文文本缩进 3 字符"/>
    <w:basedOn w:val="38"/>
    <w:link w:val="27"/>
    <w:autoRedefine/>
    <w:qFormat/>
    <w:uiPriority w:val="0"/>
    <w:rPr>
      <w:rFonts w:ascii="仿宋_GB2312" w:hAnsi="Arial" w:eastAsia="仿宋_GB2312" w:cs="Times New Roman"/>
      <w:sz w:val="28"/>
      <w:szCs w:val="24"/>
    </w:rPr>
  </w:style>
  <w:style w:type="paragraph" w:customStyle="1" w:styleId="75">
    <w:name w:val="Char1"/>
    <w:basedOn w:val="1"/>
    <w:autoRedefine/>
    <w:qFormat/>
    <w:uiPriority w:val="0"/>
    <w:rPr>
      <w:rFonts w:ascii="Tahoma" w:hAnsi="Tahoma" w:eastAsia="仿宋_GB2312"/>
      <w:sz w:val="24"/>
    </w:rPr>
  </w:style>
  <w:style w:type="paragraph" w:customStyle="1" w:styleId="76">
    <w:name w:val="Char Char Char Char Char Char Char1 Char"/>
    <w:basedOn w:val="1"/>
    <w:autoRedefine/>
    <w:qFormat/>
    <w:uiPriority w:val="0"/>
    <w:rPr>
      <w:rFonts w:ascii="Tahoma" w:hAnsi="Tahoma"/>
      <w:sz w:val="24"/>
    </w:rPr>
  </w:style>
  <w:style w:type="character" w:customStyle="1" w:styleId="77">
    <w:name w:val="正文文本 字符"/>
    <w:basedOn w:val="38"/>
    <w:link w:val="3"/>
    <w:autoRedefine/>
    <w:qFormat/>
    <w:uiPriority w:val="0"/>
    <w:rPr>
      <w:rFonts w:ascii="Times New Roman" w:hAnsi="Times New Roman" w:eastAsia="宋体" w:cs="Times New Roman"/>
      <w:szCs w:val="24"/>
    </w:rPr>
  </w:style>
  <w:style w:type="paragraph" w:customStyle="1" w:styleId="78">
    <w:name w:val="Char Char Char Char"/>
    <w:basedOn w:val="1"/>
    <w:next w:val="1"/>
    <w:autoRedefine/>
    <w:qFormat/>
    <w:uiPriority w:val="0"/>
    <w:pPr>
      <w:widowControl/>
      <w:spacing w:line="360" w:lineRule="auto"/>
      <w:jc w:val="left"/>
    </w:pPr>
  </w:style>
  <w:style w:type="character" w:customStyle="1" w:styleId="79">
    <w:name w:val="批注框文本 字符"/>
    <w:basedOn w:val="38"/>
    <w:link w:val="21"/>
    <w:autoRedefine/>
    <w:qFormat/>
    <w:uiPriority w:val="0"/>
    <w:rPr>
      <w:rFonts w:ascii="Times New Roman" w:hAnsi="Times New Roman" w:eastAsia="宋体" w:cs="Times New Roman"/>
      <w:sz w:val="18"/>
      <w:szCs w:val="18"/>
    </w:rPr>
  </w:style>
  <w:style w:type="paragraph" w:customStyle="1" w:styleId="80">
    <w:name w:val="Char Char Char"/>
    <w:basedOn w:val="1"/>
    <w:autoRedefine/>
    <w:qFormat/>
    <w:uiPriority w:val="0"/>
    <w:rPr>
      <w:rFonts w:ascii="Tahoma" w:hAnsi="Tahoma"/>
      <w:sz w:val="24"/>
    </w:rPr>
  </w:style>
  <w:style w:type="paragraph" w:customStyle="1" w:styleId="81">
    <w:name w:val="Char Char Char Char Char Char Char Char Char Char"/>
    <w:basedOn w:val="1"/>
    <w:autoRedefine/>
    <w:qFormat/>
    <w:uiPriority w:val="0"/>
    <w:rPr>
      <w:rFonts w:ascii="Tahoma" w:hAnsi="Tahoma" w:cs="仿宋_GB2312"/>
      <w:sz w:val="24"/>
    </w:rPr>
  </w:style>
  <w:style w:type="character" w:customStyle="1" w:styleId="82">
    <w:name w:val="批注文字 字符"/>
    <w:basedOn w:val="38"/>
    <w:link w:val="11"/>
    <w:autoRedefine/>
    <w:semiHidden/>
    <w:qFormat/>
    <w:uiPriority w:val="99"/>
    <w:rPr>
      <w:rFonts w:ascii="Times New Roman" w:hAnsi="Times New Roman" w:eastAsia="宋体" w:cs="Times New Roman"/>
      <w:szCs w:val="20"/>
    </w:rPr>
  </w:style>
  <w:style w:type="character" w:customStyle="1" w:styleId="83">
    <w:name w:val="批注主题 字符"/>
    <w:basedOn w:val="82"/>
    <w:link w:val="34"/>
    <w:autoRedefine/>
    <w:semiHidden/>
    <w:qFormat/>
    <w:uiPriority w:val="99"/>
    <w:rPr>
      <w:rFonts w:ascii="Times New Roman" w:hAnsi="Times New Roman" w:eastAsia="宋体" w:cs="Times New Roman"/>
      <w:b/>
      <w:bCs/>
      <w:szCs w:val="20"/>
    </w:rPr>
  </w:style>
  <w:style w:type="paragraph" w:customStyle="1" w:styleId="84">
    <w:name w:val="Char Char Char Char Char Char"/>
    <w:basedOn w:val="1"/>
    <w:autoRedefine/>
    <w:qFormat/>
    <w:uiPriority w:val="0"/>
  </w:style>
  <w:style w:type="character" w:customStyle="1" w:styleId="85">
    <w:name w:val="纯文本 字符"/>
    <w:link w:val="17"/>
    <w:autoRedefine/>
    <w:qFormat/>
    <w:uiPriority w:val="0"/>
    <w:rPr>
      <w:rFonts w:ascii="宋体" w:hAnsi="Courier New" w:eastAsia="宋体"/>
    </w:rPr>
  </w:style>
  <w:style w:type="character" w:customStyle="1" w:styleId="86">
    <w:name w:val="纯文本 Char1"/>
    <w:basedOn w:val="38"/>
    <w:autoRedefine/>
    <w:semiHidden/>
    <w:qFormat/>
    <w:uiPriority w:val="99"/>
    <w:rPr>
      <w:rFonts w:ascii="宋体" w:hAnsi="Courier New" w:eastAsia="宋体" w:cs="Courier New"/>
      <w:szCs w:val="21"/>
    </w:rPr>
  </w:style>
  <w:style w:type="paragraph" w:customStyle="1" w:styleId="87">
    <w:name w:val="Char12 Char Char Char"/>
    <w:basedOn w:val="1"/>
    <w:autoRedefine/>
    <w:qFormat/>
    <w:uiPriority w:val="0"/>
  </w:style>
  <w:style w:type="character" w:customStyle="1" w:styleId="88">
    <w:name w:val="文档结构图 字符"/>
    <w:basedOn w:val="38"/>
    <w:link w:val="10"/>
    <w:autoRedefine/>
    <w:qFormat/>
    <w:uiPriority w:val="0"/>
    <w:rPr>
      <w:rFonts w:ascii="Times New Roman" w:hAnsi="Times New Roman" w:eastAsia="宋体" w:cs="Times New Roman"/>
      <w:szCs w:val="20"/>
      <w:shd w:val="clear" w:color="auto" w:fill="000080"/>
    </w:rPr>
  </w:style>
  <w:style w:type="character" w:customStyle="1" w:styleId="89">
    <w:name w:val="style29"/>
    <w:autoRedefine/>
    <w:qFormat/>
    <w:uiPriority w:val="0"/>
  </w:style>
  <w:style w:type="character" w:customStyle="1" w:styleId="90">
    <w:name w:val="正文1"/>
    <w:autoRedefine/>
    <w:qFormat/>
    <w:uiPriority w:val="0"/>
  </w:style>
  <w:style w:type="character" w:customStyle="1" w:styleId="91">
    <w:name w:val="font11"/>
    <w:autoRedefine/>
    <w:qFormat/>
    <w:uiPriority w:val="0"/>
    <w:rPr>
      <w:rFonts w:hint="default" w:ascii="Times New Roman" w:hAnsi="Times New Roman" w:cs="Times New Roman"/>
      <w:color w:val="3366FF"/>
      <w:sz w:val="24"/>
      <w:szCs w:val="24"/>
      <w:u w:val="none"/>
    </w:rPr>
  </w:style>
  <w:style w:type="character" w:customStyle="1" w:styleId="92">
    <w:name w:val="font21"/>
    <w:autoRedefine/>
    <w:qFormat/>
    <w:uiPriority w:val="0"/>
    <w:rPr>
      <w:rFonts w:hint="eastAsia" w:ascii="宋体" w:hAnsi="宋体" w:eastAsia="宋体"/>
      <w:color w:val="3366FF"/>
      <w:sz w:val="24"/>
      <w:szCs w:val="24"/>
      <w:u w:val="none"/>
    </w:rPr>
  </w:style>
  <w:style w:type="paragraph" w:customStyle="1" w:styleId="93">
    <w:name w:val="Char Char15"/>
    <w:basedOn w:val="1"/>
    <w:autoRedefine/>
    <w:qFormat/>
    <w:uiPriority w:val="0"/>
    <w:rPr>
      <w:rFonts w:ascii="Tahoma" w:hAnsi="Tahoma" w:eastAsia="仿宋_GB2312"/>
      <w:sz w:val="24"/>
    </w:rPr>
  </w:style>
  <w:style w:type="paragraph" w:customStyle="1" w:styleId="94">
    <w:name w:val="Char2"/>
    <w:basedOn w:val="1"/>
    <w:autoRedefine/>
    <w:qFormat/>
    <w:uiPriority w:val="0"/>
    <w:pPr>
      <w:tabs>
        <w:tab w:val="left" w:pos="360"/>
      </w:tabs>
    </w:pPr>
    <w:rPr>
      <w:sz w:val="24"/>
      <w:szCs w:val="24"/>
    </w:rPr>
  </w:style>
  <w:style w:type="paragraph" w:customStyle="1" w:styleId="95">
    <w:name w:val="Char16"/>
    <w:basedOn w:val="1"/>
    <w:autoRedefine/>
    <w:qFormat/>
    <w:uiPriority w:val="0"/>
    <w:rPr>
      <w:rFonts w:ascii="Tahoma" w:hAnsi="Tahoma" w:eastAsia="仿宋_GB2312"/>
      <w:sz w:val="24"/>
    </w:rPr>
  </w:style>
  <w:style w:type="paragraph" w:customStyle="1" w:styleId="96">
    <w:name w:val="Char Char1"/>
    <w:basedOn w:val="1"/>
    <w:autoRedefine/>
    <w:qFormat/>
    <w:uiPriority w:val="0"/>
    <w:rPr>
      <w:rFonts w:ascii="Tahoma" w:hAnsi="Tahoma"/>
      <w:sz w:val="24"/>
    </w:rPr>
  </w:style>
  <w:style w:type="paragraph" w:customStyle="1" w:styleId="97">
    <w:name w:val="Char Char Char Char Char Char Char"/>
    <w:basedOn w:val="1"/>
    <w:autoRedefine/>
    <w:qFormat/>
    <w:uiPriority w:val="0"/>
    <w:rPr>
      <w:szCs w:val="24"/>
    </w:rPr>
  </w:style>
  <w:style w:type="paragraph" w:customStyle="1" w:styleId="98">
    <w:name w:val="Char Char"/>
    <w:basedOn w:val="1"/>
    <w:autoRedefine/>
    <w:qFormat/>
    <w:uiPriority w:val="0"/>
    <w:rPr>
      <w:rFonts w:ascii="Tahoma" w:hAnsi="Tahoma" w:cs="仿宋_GB2312"/>
      <w:sz w:val="24"/>
    </w:rPr>
  </w:style>
  <w:style w:type="paragraph" w:customStyle="1" w:styleId="99">
    <w:name w:val="Char Char2"/>
    <w:basedOn w:val="1"/>
    <w:autoRedefine/>
    <w:qFormat/>
    <w:uiPriority w:val="0"/>
    <w:rPr>
      <w:rFonts w:ascii="Tahoma" w:hAnsi="Tahoma" w:cs="仿宋_GB2312"/>
      <w:sz w:val="24"/>
    </w:rPr>
  </w:style>
  <w:style w:type="paragraph" w:customStyle="1" w:styleId="100">
    <w:name w:val="Char Char Char1"/>
    <w:basedOn w:val="1"/>
    <w:autoRedefine/>
    <w:qFormat/>
    <w:uiPriority w:val="0"/>
    <w:rPr>
      <w:rFonts w:ascii="Tahoma" w:hAnsi="Tahoma"/>
      <w:sz w:val="24"/>
    </w:rPr>
  </w:style>
  <w:style w:type="paragraph" w:customStyle="1" w:styleId="101">
    <w:name w:val="D&amp;L"/>
    <w:basedOn w:val="23"/>
    <w:autoRedefine/>
    <w:qFormat/>
    <w:uiPriority w:val="0"/>
    <w:pPr>
      <w:pBdr>
        <w:bottom w:val="thinThickSmallGap" w:color="auto" w:sz="18" w:space="1"/>
      </w:pBdr>
      <w:adjustRightInd w:val="0"/>
      <w:snapToGrid/>
      <w:spacing w:line="240" w:lineRule="atLeast"/>
      <w:textAlignment w:val="baseline"/>
    </w:pPr>
    <w:rPr>
      <w:kern w:val="0"/>
      <w:sz w:val="24"/>
      <w:szCs w:val="20"/>
      <w:lang w:val="zh-CN"/>
    </w:rPr>
  </w:style>
  <w:style w:type="character" w:customStyle="1" w:styleId="102">
    <w:name w:val="正文文本 3 字符"/>
    <w:basedOn w:val="38"/>
    <w:link w:val="12"/>
    <w:autoRedefine/>
    <w:qFormat/>
    <w:uiPriority w:val="99"/>
    <w:rPr>
      <w:rFonts w:ascii="Calibri" w:hAnsi="Calibri" w:eastAsia="宋体" w:cs="Times New Roman"/>
      <w:sz w:val="16"/>
      <w:szCs w:val="16"/>
      <w:lang w:val="zh-CN" w:eastAsia="zh-CN"/>
    </w:rPr>
  </w:style>
  <w:style w:type="paragraph" w:customStyle="1" w:styleId="103">
    <w:name w:val="xl31"/>
    <w:basedOn w:val="1"/>
    <w:autoRedefine/>
    <w:qFormat/>
    <w:uiPriority w:val="0"/>
    <w:pPr>
      <w:widowControl/>
      <w:spacing w:before="100" w:beforeAutospacing="1" w:after="100" w:afterAutospacing="1"/>
      <w:jc w:val="center"/>
    </w:pPr>
    <w:rPr>
      <w:rFonts w:ascii="宋体" w:hAnsi="宋体"/>
      <w:b/>
      <w:bCs/>
      <w:kern w:val="0"/>
      <w:sz w:val="28"/>
      <w:szCs w:val="28"/>
    </w:rPr>
  </w:style>
  <w:style w:type="paragraph" w:customStyle="1" w:styleId="104">
    <w:name w:val="正文_0"/>
    <w:autoRedefine/>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05">
    <w:name w:val="style23"/>
    <w:autoRedefine/>
    <w:qFormat/>
    <w:uiPriority w:val="0"/>
    <w:rPr>
      <w:rFonts w:ascii="Times New Roman" w:hAnsi="Times New Roman" w:eastAsia="宋体"/>
    </w:rPr>
  </w:style>
  <w:style w:type="paragraph" w:customStyle="1" w:styleId="106">
    <w:name w:val="p0"/>
    <w:basedOn w:val="1"/>
    <w:autoRedefine/>
    <w:qFormat/>
    <w:uiPriority w:val="0"/>
    <w:pPr>
      <w:widowControl/>
      <w:jc w:val="left"/>
    </w:pPr>
    <w:rPr>
      <w:rFonts w:ascii="等线" w:hAnsi="等线" w:eastAsia="等线" w:cs="等线"/>
      <w:kern w:val="0"/>
      <w:sz w:val="20"/>
      <w:szCs w:val="22"/>
    </w:rPr>
  </w:style>
  <w:style w:type="paragraph" w:customStyle="1" w:styleId="107">
    <w:name w:val="列表段落1"/>
    <w:basedOn w:val="1"/>
    <w:autoRedefine/>
    <w:qFormat/>
    <w:uiPriority w:val="34"/>
    <w:pPr>
      <w:ind w:firstLine="420" w:firstLineChars="200"/>
    </w:pPr>
    <w:rPr>
      <w:szCs w:val="24"/>
    </w:rPr>
  </w:style>
  <w:style w:type="paragraph" w:customStyle="1" w:styleId="108">
    <w:name w:val="y-正文"/>
    <w:basedOn w:val="1"/>
    <w:autoRedefine/>
    <w:qFormat/>
    <w:uiPriority w:val="0"/>
    <w:pPr>
      <w:widowControl/>
      <w:adjustRightInd w:val="0"/>
      <w:snapToGrid w:val="0"/>
      <w:spacing w:after="80" w:line="360" w:lineRule="auto"/>
      <w:ind w:firstLine="480" w:firstLineChars="200"/>
      <w:jc w:val="left"/>
    </w:pPr>
    <w:rPr>
      <w:rFonts w:ascii="Tahoma" w:hAnsi="Tahoma" w:eastAsia="微软雅黑"/>
      <w:kern w:val="0"/>
      <w:sz w:val="24"/>
      <w:szCs w:val="28"/>
    </w:rPr>
  </w:style>
  <w:style w:type="paragraph" w:styleId="109">
    <w:name w:val="List Paragraph"/>
    <w:basedOn w:val="1"/>
    <w:autoRedefine/>
    <w:qFormat/>
    <w:uiPriority w:val="99"/>
    <w:pPr>
      <w:ind w:firstLine="420" w:firstLineChars="200"/>
    </w:pPr>
  </w:style>
  <w:style w:type="table" w:customStyle="1" w:styleId="110">
    <w:name w:val="Table Normal"/>
    <w:autoRedefine/>
    <w:semiHidden/>
    <w:unhideWhenUsed/>
    <w:qFormat/>
    <w:uiPriority w:val="0"/>
    <w:rPr>
      <w:rFonts w:ascii="Arial" w:hAnsi="Arial" w:cs="Arial" w:eastAsiaTheme="minorEastAsia"/>
    </w:rPr>
    <w:tblPr>
      <w:tblCellMar>
        <w:top w:w="0" w:type="dxa"/>
        <w:left w:w="0" w:type="dxa"/>
        <w:bottom w:w="0" w:type="dxa"/>
        <w:right w:w="0" w:type="dxa"/>
      </w:tblCellMar>
    </w:tblPr>
  </w:style>
  <w:style w:type="character" w:customStyle="1" w:styleId="111">
    <w:name w:val="first-child3"/>
    <w:basedOn w:val="38"/>
    <w:autoRedefine/>
    <w:qFormat/>
    <w:uiPriority w:val="0"/>
  </w:style>
  <w:style w:type="character" w:customStyle="1" w:styleId="112">
    <w:name w:val="layui-this"/>
    <w:basedOn w:val="38"/>
    <w:autoRedefine/>
    <w:qFormat/>
    <w:uiPriority w:val="0"/>
    <w:rPr>
      <w:bdr w:val="single" w:color="EEEEEE" w:sz="4" w:space="0"/>
      <w:shd w:val="clear" w:color="auto" w:fill="FFFFFF"/>
    </w:rPr>
  </w:style>
  <w:style w:type="character" w:customStyle="1" w:styleId="113">
    <w:name w:val="first-child2"/>
    <w:basedOn w:val="38"/>
    <w:autoRedefine/>
    <w:qFormat/>
    <w:uiPriority w:val="0"/>
  </w:style>
  <w:style w:type="character" w:customStyle="1" w:styleId="114">
    <w:name w:val="first-child"/>
    <w:basedOn w:val="38"/>
    <w:autoRedefine/>
    <w:qFormat/>
    <w:uiPriority w:val="0"/>
  </w:style>
  <w:style w:type="character" w:customStyle="1" w:styleId="115">
    <w:name w:val="first-child1"/>
    <w:basedOn w:val="38"/>
    <w:autoRedefine/>
    <w:qFormat/>
    <w:uiPriority w:val="0"/>
  </w:style>
  <w:style w:type="paragraph" w:customStyle="1" w:styleId="116">
    <w:name w:val="Table Paragraph"/>
    <w:basedOn w:val="1"/>
    <w:autoRedefine/>
    <w:qFormat/>
    <w:uiPriority w:val="99"/>
    <w:pPr>
      <w:jc w:val="left"/>
    </w:pPr>
    <w:rPr>
      <w:rFonts w:ascii="宋体" w:hAnsi="宋体" w:cs="宋体"/>
      <w:kern w:val="0"/>
      <w:sz w:val="22"/>
      <w:szCs w:val="22"/>
      <w:lang w:eastAsia="en-US"/>
    </w:rPr>
  </w:style>
  <w:style w:type="character" w:customStyle="1" w:styleId="117">
    <w:name w:val="标题 2 字符"/>
    <w:link w:val="6"/>
    <w:autoRedefine/>
    <w:qFormat/>
    <w:uiPriority w:val="0"/>
    <w:rPr>
      <w:rFonts w:ascii="Arial" w:hAnsi="Arial" w:eastAsia="黑体"/>
      <w:b/>
      <w:bCs/>
      <w:sz w:val="32"/>
      <w:szCs w:val="32"/>
    </w:rPr>
  </w:style>
  <w:style w:type="character" w:customStyle="1" w:styleId="118">
    <w:name w:val="place"/>
    <w:basedOn w:val="38"/>
    <w:autoRedefine/>
    <w:qFormat/>
    <w:uiPriority w:val="0"/>
  </w:style>
  <w:style w:type="character" w:customStyle="1" w:styleId="119">
    <w:name w:val="place1"/>
    <w:basedOn w:val="38"/>
    <w:autoRedefine/>
    <w:qFormat/>
    <w:uiPriority w:val="0"/>
  </w:style>
  <w:style w:type="character" w:customStyle="1" w:styleId="120">
    <w:name w:val="place2"/>
    <w:basedOn w:val="38"/>
    <w:autoRedefine/>
    <w:qFormat/>
    <w:uiPriority w:val="0"/>
    <w:rPr>
      <w:rFonts w:ascii="微软雅黑" w:hAnsi="微软雅黑" w:eastAsia="微软雅黑" w:cs="微软雅黑"/>
      <w:color w:val="888888"/>
      <w:sz w:val="20"/>
      <w:szCs w:val="20"/>
    </w:rPr>
  </w:style>
  <w:style w:type="character" w:customStyle="1" w:styleId="121">
    <w:name w:val="place3"/>
    <w:basedOn w:val="38"/>
    <w:autoRedefine/>
    <w:qFormat/>
    <w:uiPriority w:val="0"/>
  </w:style>
  <w:style w:type="character" w:customStyle="1" w:styleId="122">
    <w:name w:val="font"/>
    <w:basedOn w:val="38"/>
    <w:autoRedefine/>
    <w:qFormat/>
    <w:uiPriority w:val="0"/>
  </w:style>
  <w:style w:type="character" w:customStyle="1" w:styleId="123">
    <w:name w:val="font1"/>
    <w:basedOn w:val="38"/>
    <w:autoRedefine/>
    <w:qFormat/>
    <w:uiPriority w:val="0"/>
  </w:style>
  <w:style w:type="character" w:customStyle="1" w:styleId="124">
    <w:name w:val="gwds_nopic"/>
    <w:basedOn w:val="38"/>
    <w:autoRedefine/>
    <w:qFormat/>
    <w:uiPriority w:val="0"/>
  </w:style>
  <w:style w:type="character" w:customStyle="1" w:styleId="125">
    <w:name w:val="gwds_nopic1"/>
    <w:basedOn w:val="38"/>
    <w:autoRedefine/>
    <w:qFormat/>
    <w:uiPriority w:val="0"/>
  </w:style>
  <w:style w:type="character" w:customStyle="1" w:styleId="126">
    <w:name w:val="gwds_nopic2"/>
    <w:basedOn w:val="38"/>
    <w:autoRedefine/>
    <w:qFormat/>
    <w:uiPriority w:val="0"/>
  </w:style>
  <w:style w:type="character" w:customStyle="1" w:styleId="127">
    <w:name w:val="noline"/>
    <w:basedOn w:val="38"/>
    <w:autoRedefine/>
    <w:qFormat/>
    <w:uiPriority w:val="0"/>
  </w:style>
  <w:style w:type="character" w:customStyle="1" w:styleId="128">
    <w:name w:val="hover17"/>
    <w:basedOn w:val="38"/>
    <w:autoRedefine/>
    <w:qFormat/>
    <w:uiPriority w:val="0"/>
    <w:rPr>
      <w:color w:val="025291"/>
    </w:rPr>
  </w:style>
  <w:style w:type="character" w:customStyle="1" w:styleId="129">
    <w:name w:val="Unresolved Mention"/>
    <w:basedOn w:val="38"/>
    <w:autoRedefine/>
    <w:semiHidden/>
    <w:unhideWhenUsed/>
    <w:qFormat/>
    <w:uiPriority w:val="99"/>
    <w:rPr>
      <w:color w:val="605E5C"/>
      <w:shd w:val="clear" w:color="auto" w:fill="E1DFDD"/>
    </w:rPr>
  </w:style>
  <w:style w:type="character" w:customStyle="1" w:styleId="130">
    <w:name w:val="NormalCharacter"/>
    <w:link w:val="1"/>
    <w:autoRedefine/>
    <w:qFormat/>
    <w:uiPriority w:val="0"/>
    <w:rPr>
      <w:rFonts w:ascii="Times New Roman" w:hAnsi="Times New Roman" w:eastAsia="宋体" w:cs="Times New Roman"/>
      <w:kern w:val="2"/>
      <w:sz w:val="21"/>
      <w:lang w:val="en-US" w:eastAsia="zh-CN" w:bidi="ar-SA"/>
    </w:rPr>
  </w:style>
  <w:style w:type="character" w:customStyle="1" w:styleId="131">
    <w:name w:val="hover1"/>
    <w:basedOn w:val="38"/>
    <w:autoRedefine/>
    <w:qFormat/>
    <w:uiPriority w:val="0"/>
    <w:rPr>
      <w:color w:val="2590EB"/>
      <w:shd w:val="clear" w:fill="E9F4FD"/>
    </w:rPr>
  </w:style>
  <w:style w:type="character" w:customStyle="1" w:styleId="132">
    <w:name w:val="hover2"/>
    <w:basedOn w:val="38"/>
    <w:autoRedefine/>
    <w:qFormat/>
    <w:uiPriority w:val="0"/>
    <w:rPr>
      <w:color w:val="2590EB"/>
    </w:rPr>
  </w:style>
  <w:style w:type="character" w:customStyle="1" w:styleId="133">
    <w:name w:val="hover3"/>
    <w:basedOn w:val="38"/>
    <w:autoRedefine/>
    <w:qFormat/>
    <w:uiPriority w:val="0"/>
    <w:rPr>
      <w:color w:val="2590EB"/>
    </w:rPr>
  </w:style>
  <w:style w:type="character" w:customStyle="1" w:styleId="134">
    <w:name w:val="hover4"/>
    <w:basedOn w:val="38"/>
    <w:autoRedefine/>
    <w:qFormat/>
    <w:uiPriority w:val="0"/>
  </w:style>
  <w:style w:type="character" w:customStyle="1" w:styleId="135">
    <w:name w:val="hover"/>
    <w:basedOn w:val="38"/>
    <w:autoRedefine/>
    <w:qFormat/>
    <w:uiPriority w:val="0"/>
  </w:style>
  <w:style w:type="paragraph" w:customStyle="1" w:styleId="136">
    <w:name w:val="WPSOffice手动目录 1"/>
    <w:autoRedefine/>
    <w:qFormat/>
    <w:uiPriority w:val="0"/>
    <w:pPr>
      <w:ind w:leftChars="0"/>
    </w:pPr>
    <w:rPr>
      <w:rFonts w:ascii="Times New Roman" w:hAnsi="Times New Roman" w:eastAsia="宋体" w:cs="Times New Roman"/>
      <w:sz w:val="20"/>
      <w:szCs w:val="20"/>
    </w:rPr>
  </w:style>
  <w:style w:type="paragraph" w:customStyle="1" w:styleId="137">
    <w:name w:val="TOC1"/>
    <w:basedOn w:val="1"/>
    <w:next w:val="1"/>
    <w:autoRedefine/>
    <w:qFormat/>
    <w:uiPriority w:val="0"/>
    <w:pPr>
      <w:spacing w:before="120" w:after="120" w:line="360" w:lineRule="auto"/>
      <w:ind w:left="200" w:hanging="200" w:hangingChars="200"/>
      <w:jc w:val="left"/>
      <w:textAlignment w:val="baseline"/>
    </w:pPr>
    <w:rPr>
      <w:rFonts w:ascii="宋体" w:hAnsi="宋体" w:eastAsia="宋体" w:cs="宋体"/>
      <w:bCs/>
      <w:caps/>
      <w:sz w:val="20"/>
      <w:lang w:val="en-US" w:eastAsia="zh-CN" w:bidi="ar-SA"/>
    </w:rPr>
  </w:style>
  <w:style w:type="paragraph" w:customStyle="1" w:styleId="138">
    <w:name w:val="BodyText2"/>
    <w:basedOn w:val="1"/>
    <w:autoRedefine/>
    <w:qFormat/>
    <w:uiPriority w:val="0"/>
    <w:pPr>
      <w:jc w:val="both"/>
      <w:textAlignment w:val="baseline"/>
    </w:pPr>
    <w:rPr>
      <w:rFonts w:ascii="仿宋_GB2312" w:hAnsi="Times New Roman" w:eastAsia="仿宋_GB2312"/>
      <w:b/>
      <w:kern w:val="2"/>
      <w:sz w:val="24"/>
      <w:szCs w:val="20"/>
      <w:lang w:val="en-US" w:eastAsia="zh-CN" w:bidi="ar-SA"/>
    </w:rPr>
  </w:style>
  <w:style w:type="paragraph" w:customStyle="1" w:styleId="139">
    <w:name w:val="首行缩进"/>
    <w:autoRedefine/>
    <w:qFormat/>
    <w:uiPriority w:val="0"/>
    <w:pPr>
      <w:widowControl w:val="0"/>
      <w:ind w:firstLine="480" w:firstLineChars="200"/>
      <w:jc w:val="both"/>
    </w:pPr>
    <w:rPr>
      <w:rFonts w:ascii="宋体" w:hAnsi="宋体" w:eastAsia="宋体" w:cs="Times New Roman"/>
      <w:kern w:val="2"/>
      <w:sz w:val="21"/>
      <w:szCs w:val="22"/>
      <w:lang w:val="zh-CN" w:eastAsia="zh-CN" w:bidi="ar-SA"/>
    </w:rPr>
  </w:style>
  <w:style w:type="paragraph" w:customStyle="1" w:styleId="140">
    <w:name w:val="模板普通正文"/>
    <w:basedOn w:val="13"/>
    <w:qFormat/>
    <w:uiPriority w:val="0"/>
    <w:pPr>
      <w:spacing w:beforeLines="50" w:after="10"/>
      <w:ind w:left="0" w:leftChars="0" w:firstLine="490" w:firstLineChars="175"/>
      <w:jc w:val="left"/>
    </w:pPr>
    <w:rPr>
      <w:sz w:val="20"/>
    </w:rPr>
  </w:style>
  <w:style w:type="paragraph" w:customStyle="1" w:styleId="141">
    <w:name w:val="Table Text"/>
    <w:basedOn w:val="1"/>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7CDF53-A877-4735-BCB4-3C56E2EDB802}">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31</Pages>
  <Words>1941</Words>
  <Characters>2295</Characters>
  <Lines>294</Lines>
  <Paragraphs>82</Paragraphs>
  <TotalTime>23</TotalTime>
  <ScaleCrop>false</ScaleCrop>
  <LinksUpToDate>false</LinksUpToDate>
  <CharactersWithSpaces>2340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2022-10-27T12:50:00Z</dcterms:created>
  <dc:creator>朱少尉</dc:creator>
  <cp:lastModifiedBy>孙小珂</cp:lastModifiedBy>
  <cp:lastPrinted>2026-09-08T08:25:00Z</cp:lastPrinted>
  <dcterms:modified xsi:type="dcterms:W3CDTF">2026-09-08T08:58:59Z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7AEDF01F3BD2488B97D3560EB396DAE9_13</vt:lpwstr>
  </property>
  <property fmtid="{D5CDD505-2E9C-101B-9397-08002B2CF9AE}" pid="4" name="KSOTemplateDocerSaveRecord">
    <vt:lpwstr>eyJoZGlkIjoiZGE3MTMyODEzNWExOTc5YjU4ZDZjNWNmMGFmMjBhZjYiLCJ1c2VySWQiOiIxNjgwOTYzODkxIn0=</vt:lpwstr>
  </property>
</Properties>
</file>