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172505">
      <w:pPr>
        <w:tabs>
          <w:tab w:val="left" w:pos="315"/>
          <w:tab w:val="left" w:pos="8820"/>
        </w:tabs>
        <w:spacing w:before="240" w:beforeLines="100" w:after="120" w:afterLines="50" w:line="500" w:lineRule="exact"/>
        <w:ind w:right="267" w:rightChars="127"/>
        <w:jc w:val="center"/>
        <w:rPr>
          <w:rFonts w:ascii="宋体" w:hAnsi="宋体" w:eastAsia="宋体"/>
          <w:b/>
          <w:bCs/>
          <w:color w:val="auto"/>
          <w:sz w:val="52"/>
          <w:szCs w:val="52"/>
          <w:highlight w:val="none"/>
        </w:rPr>
      </w:pPr>
    </w:p>
    <w:p w14:paraId="1802CDAC">
      <w:pPr>
        <w:keepNext w:val="0"/>
        <w:keepLines w:val="0"/>
        <w:pageBreakBefore w:val="0"/>
        <w:widowControl w:val="0"/>
        <w:tabs>
          <w:tab w:val="left" w:pos="315"/>
          <w:tab w:val="left" w:pos="8820"/>
        </w:tabs>
        <w:kinsoku/>
        <w:wordWrap/>
        <w:overflowPunct/>
        <w:topLinePunct w:val="0"/>
        <w:autoSpaceDE/>
        <w:autoSpaceDN/>
        <w:bidi w:val="0"/>
        <w:adjustRightInd/>
        <w:snapToGrid/>
        <w:spacing w:before="312" w:beforeLines="100" w:after="156" w:afterLines="50" w:line="700" w:lineRule="exact"/>
        <w:ind w:right="267" w:rightChars="127"/>
        <w:jc w:val="center"/>
        <w:textAlignment w:val="auto"/>
        <w:rPr>
          <w:rFonts w:hint="eastAsia" w:ascii="宋体" w:hAnsi="宋体" w:eastAsia="宋体"/>
          <w:b/>
          <w:bCs/>
          <w:color w:val="auto"/>
          <w:sz w:val="52"/>
          <w:szCs w:val="52"/>
          <w:highlight w:val="none"/>
        </w:rPr>
      </w:pPr>
      <w:bookmarkStart w:id="0" w:name="_Hlk9544796"/>
      <w:r>
        <w:rPr>
          <w:rFonts w:hint="eastAsia" w:ascii="宋体" w:hAnsi="宋体" w:eastAsia="宋体"/>
          <w:b/>
          <w:bCs/>
          <w:color w:val="auto"/>
          <w:sz w:val="52"/>
          <w:szCs w:val="52"/>
          <w:highlight w:val="none"/>
          <w:lang w:val="en-US" w:eastAsia="zh-CN"/>
        </w:rPr>
        <w:t>竞争性谈判</w:t>
      </w:r>
      <w:r>
        <w:rPr>
          <w:rFonts w:hint="eastAsia" w:ascii="宋体" w:hAnsi="宋体" w:eastAsia="宋体"/>
          <w:b/>
          <w:bCs/>
          <w:color w:val="auto"/>
          <w:sz w:val="52"/>
          <w:szCs w:val="52"/>
          <w:highlight w:val="none"/>
        </w:rPr>
        <w:t>文件</w:t>
      </w:r>
    </w:p>
    <w:bookmarkEnd w:id="0"/>
    <w:p w14:paraId="756630EB">
      <w:pPr>
        <w:keepNext w:val="0"/>
        <w:keepLines w:val="0"/>
        <w:pageBreakBefore w:val="0"/>
        <w:widowControl w:val="0"/>
        <w:tabs>
          <w:tab w:val="left" w:pos="315"/>
          <w:tab w:val="left" w:pos="8820"/>
        </w:tabs>
        <w:kinsoku/>
        <w:wordWrap/>
        <w:overflowPunct/>
        <w:topLinePunct w:val="0"/>
        <w:autoSpaceDE/>
        <w:autoSpaceDN/>
        <w:bidi w:val="0"/>
        <w:adjustRightInd/>
        <w:snapToGrid/>
        <w:spacing w:before="312" w:beforeLines="100" w:after="156" w:afterLines="50" w:line="700" w:lineRule="exact"/>
        <w:ind w:right="267" w:rightChars="127"/>
        <w:jc w:val="center"/>
        <w:textAlignment w:val="auto"/>
        <w:rPr>
          <w:rFonts w:hint="eastAsia" w:ascii="宋体" w:hAnsi="宋体" w:eastAsia="宋体"/>
          <w:b/>
          <w:bCs/>
          <w:color w:val="auto"/>
          <w:sz w:val="52"/>
          <w:szCs w:val="52"/>
          <w:highlight w:val="none"/>
          <w:lang w:eastAsia="zh-CN"/>
        </w:rPr>
      </w:pPr>
    </w:p>
    <w:p w14:paraId="659450DE">
      <w:pPr>
        <w:tabs>
          <w:tab w:val="left" w:pos="315"/>
          <w:tab w:val="left" w:pos="8820"/>
        </w:tabs>
        <w:spacing w:before="312" w:beforeLines="100" w:after="156" w:afterLines="50" w:line="500" w:lineRule="exact"/>
        <w:ind w:right="267" w:rightChars="127"/>
        <w:jc w:val="center"/>
        <w:rPr>
          <w:rFonts w:hint="eastAsia" w:ascii="宋体" w:hAnsi="宋体" w:eastAsia="宋体" w:cs="宋体"/>
          <w:b/>
          <w:bCs/>
          <w:color w:val="auto"/>
          <w:sz w:val="40"/>
          <w:szCs w:val="40"/>
          <w:highlight w:val="none"/>
          <w:lang w:eastAsia="zh-CN"/>
        </w:rPr>
      </w:pPr>
    </w:p>
    <w:p w14:paraId="194EB8F3">
      <w:pPr>
        <w:tabs>
          <w:tab w:val="left" w:pos="315"/>
          <w:tab w:val="left" w:pos="8820"/>
        </w:tabs>
        <w:spacing w:before="312" w:beforeLines="100" w:after="156" w:afterLines="50" w:line="500" w:lineRule="exact"/>
        <w:ind w:right="267" w:rightChars="127"/>
        <w:jc w:val="center"/>
        <w:rPr>
          <w:rFonts w:hint="eastAsia" w:ascii="宋体" w:hAnsi="宋体" w:eastAsia="宋体" w:cs="宋体"/>
          <w:b/>
          <w:bCs/>
          <w:color w:val="auto"/>
          <w:sz w:val="36"/>
          <w:szCs w:val="36"/>
          <w:highlight w:val="none"/>
          <w:lang w:eastAsia="zh-CN"/>
        </w:rPr>
      </w:pPr>
      <w:r>
        <w:rPr>
          <w:rFonts w:hint="eastAsia" w:ascii="宋体" w:hAnsi="宋体" w:eastAsia="宋体" w:cs="宋体"/>
          <w:b/>
          <w:bCs/>
          <w:color w:val="auto"/>
          <w:sz w:val="36"/>
          <w:szCs w:val="36"/>
          <w:highlight w:val="none"/>
          <w:lang w:eastAsia="zh-CN"/>
        </w:rPr>
        <w:t>（</w:t>
      </w:r>
      <w:r>
        <w:rPr>
          <w:rFonts w:hint="eastAsia" w:ascii="宋体" w:hAnsi="宋体" w:eastAsia="宋体" w:cs="宋体"/>
          <w:b/>
          <w:bCs/>
          <w:color w:val="auto"/>
          <w:sz w:val="36"/>
          <w:szCs w:val="36"/>
          <w:highlight w:val="none"/>
          <w:lang w:val="en-US" w:eastAsia="zh-CN"/>
        </w:rPr>
        <w:t>货物类</w:t>
      </w:r>
      <w:r>
        <w:rPr>
          <w:rFonts w:hint="eastAsia" w:ascii="宋体" w:hAnsi="宋体" w:eastAsia="宋体" w:cs="宋体"/>
          <w:b/>
          <w:bCs/>
          <w:color w:val="auto"/>
          <w:sz w:val="36"/>
          <w:szCs w:val="36"/>
          <w:highlight w:val="none"/>
          <w:lang w:eastAsia="zh-CN"/>
        </w:rPr>
        <w:t>）</w:t>
      </w:r>
    </w:p>
    <w:p w14:paraId="3157AAC6">
      <w:pPr>
        <w:tabs>
          <w:tab w:val="left" w:pos="315"/>
          <w:tab w:val="left" w:pos="8820"/>
        </w:tabs>
        <w:spacing w:before="240" w:beforeLines="100" w:after="120" w:afterLines="50" w:line="500" w:lineRule="exact"/>
        <w:ind w:right="267" w:rightChars="127"/>
        <w:jc w:val="center"/>
        <w:rPr>
          <w:rFonts w:ascii="宋体" w:hAnsi="宋体" w:eastAsia="宋体"/>
          <w:bCs/>
          <w:color w:val="auto"/>
          <w:sz w:val="44"/>
          <w:szCs w:val="44"/>
          <w:highlight w:val="none"/>
        </w:rPr>
      </w:pPr>
    </w:p>
    <w:p w14:paraId="2982BF24">
      <w:pPr>
        <w:tabs>
          <w:tab w:val="left" w:pos="315"/>
          <w:tab w:val="left" w:pos="8820"/>
        </w:tabs>
        <w:spacing w:before="240" w:beforeLines="100" w:after="120" w:afterLines="50" w:line="500" w:lineRule="exact"/>
        <w:ind w:right="267" w:rightChars="127"/>
        <w:jc w:val="center"/>
        <w:rPr>
          <w:rFonts w:ascii="宋体" w:hAnsi="宋体" w:eastAsia="宋体"/>
          <w:b/>
          <w:bCs/>
          <w:color w:val="auto"/>
          <w:sz w:val="44"/>
          <w:szCs w:val="44"/>
          <w:highlight w:val="none"/>
        </w:rPr>
      </w:pPr>
    </w:p>
    <w:p w14:paraId="30BD1045">
      <w:pPr>
        <w:tabs>
          <w:tab w:val="left" w:pos="315"/>
          <w:tab w:val="left" w:pos="8820"/>
        </w:tabs>
        <w:spacing w:before="240" w:beforeLines="100" w:after="120" w:afterLines="50" w:line="500" w:lineRule="exact"/>
        <w:ind w:right="267" w:rightChars="127"/>
        <w:jc w:val="center"/>
        <w:rPr>
          <w:rFonts w:ascii="宋体" w:hAnsi="宋体" w:eastAsia="宋体"/>
          <w:b/>
          <w:bCs/>
          <w:color w:val="auto"/>
          <w:sz w:val="44"/>
          <w:szCs w:val="44"/>
          <w:highlight w:val="none"/>
        </w:rPr>
      </w:pPr>
    </w:p>
    <w:p w14:paraId="130F0BA9">
      <w:pPr>
        <w:tabs>
          <w:tab w:val="left" w:pos="315"/>
          <w:tab w:val="left" w:pos="8820"/>
        </w:tabs>
        <w:spacing w:before="240" w:beforeLines="100" w:after="120" w:afterLines="50" w:line="500" w:lineRule="exact"/>
        <w:ind w:right="267" w:rightChars="127"/>
        <w:jc w:val="both"/>
        <w:rPr>
          <w:rFonts w:ascii="宋体" w:hAnsi="宋体" w:eastAsia="宋体"/>
          <w:b/>
          <w:bCs/>
          <w:color w:val="auto"/>
          <w:sz w:val="44"/>
          <w:szCs w:val="44"/>
          <w:highlight w:val="none"/>
        </w:rPr>
      </w:pPr>
    </w:p>
    <w:p w14:paraId="4C161B55">
      <w:pPr>
        <w:tabs>
          <w:tab w:val="left" w:pos="315"/>
          <w:tab w:val="left" w:pos="8820"/>
        </w:tabs>
        <w:spacing w:before="240" w:beforeLines="100" w:after="120" w:afterLines="50" w:line="500" w:lineRule="exact"/>
        <w:ind w:right="267" w:rightChars="127"/>
        <w:jc w:val="both"/>
        <w:rPr>
          <w:rFonts w:ascii="宋体" w:hAnsi="宋体" w:eastAsia="宋体"/>
          <w:b/>
          <w:bCs/>
          <w:color w:val="auto"/>
          <w:sz w:val="44"/>
          <w:szCs w:val="44"/>
          <w:highlight w:val="none"/>
        </w:rPr>
      </w:pPr>
    </w:p>
    <w:p w14:paraId="0A558265">
      <w:pPr>
        <w:tabs>
          <w:tab w:val="left" w:pos="2410"/>
        </w:tabs>
        <w:autoSpaceDE w:val="0"/>
        <w:autoSpaceDN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eastAsia="zh-CN"/>
        </w:rPr>
      </w:pPr>
      <w:r>
        <w:rPr>
          <w:rFonts w:hint="eastAsia" w:ascii="宋体" w:hAnsi="宋体" w:eastAsia="宋体"/>
          <w:b/>
          <w:color w:val="auto"/>
          <w:spacing w:val="20"/>
          <w:kern w:val="0"/>
          <w:sz w:val="32"/>
          <w:szCs w:val="32"/>
          <w:highlight w:val="none"/>
        </w:rPr>
        <w:t>项目名称：“皖蒲1号”石菖蒲种苗采购项目</w:t>
      </w:r>
    </w:p>
    <w:p w14:paraId="44F7CC49">
      <w:pPr>
        <w:tabs>
          <w:tab w:val="left" w:pos="2410"/>
        </w:tabs>
        <w:autoSpaceDE w:val="0"/>
        <w:autoSpaceDN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eastAsia="zh-CN"/>
        </w:rPr>
      </w:pPr>
      <w:r>
        <w:rPr>
          <w:rFonts w:hint="eastAsia" w:ascii="宋体" w:hAnsi="宋体" w:eastAsia="宋体"/>
          <w:b/>
          <w:color w:val="auto"/>
          <w:spacing w:val="20"/>
          <w:kern w:val="0"/>
          <w:sz w:val="32"/>
          <w:szCs w:val="32"/>
          <w:highlight w:val="none"/>
        </w:rPr>
        <w:t>项目编号：</w:t>
      </w:r>
      <w:r>
        <w:rPr>
          <w:rFonts w:hint="eastAsia" w:ascii="宋体" w:hAnsi="宋体" w:eastAsia="宋体"/>
          <w:b/>
          <w:color w:val="auto"/>
          <w:spacing w:val="20"/>
          <w:kern w:val="0"/>
          <w:sz w:val="32"/>
          <w:szCs w:val="32"/>
          <w:highlight w:val="none"/>
          <w:lang w:val="en-US" w:eastAsia="zh-CN"/>
        </w:rPr>
        <w:t>DBSCG-2026-117</w:t>
      </w:r>
    </w:p>
    <w:p w14:paraId="5D4DC0B7">
      <w:pPr>
        <w:tabs>
          <w:tab w:val="left" w:pos="2410"/>
        </w:tabs>
        <w:autoSpaceDE w:val="0"/>
        <w:autoSpaceDN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eastAsia="zh-CN"/>
        </w:rPr>
      </w:pPr>
      <w:r>
        <w:rPr>
          <w:rFonts w:hint="eastAsia" w:ascii="宋体" w:hAnsi="宋体" w:eastAsia="宋体"/>
          <w:b/>
          <w:color w:val="auto"/>
          <w:spacing w:val="20"/>
          <w:kern w:val="0"/>
          <w:sz w:val="32"/>
          <w:szCs w:val="32"/>
          <w:highlight w:val="none"/>
        </w:rPr>
        <w:t>采 购 人：</w:t>
      </w:r>
      <w:r>
        <w:rPr>
          <w:rFonts w:hint="eastAsia" w:ascii="宋体" w:hAnsi="宋体" w:eastAsia="宋体"/>
          <w:b/>
          <w:color w:val="auto"/>
          <w:spacing w:val="20"/>
          <w:kern w:val="0"/>
          <w:sz w:val="32"/>
          <w:szCs w:val="32"/>
          <w:highlight w:val="none"/>
          <w:lang w:val="en-US" w:eastAsia="zh-CN"/>
        </w:rPr>
        <w:t>霍山县林业局</w:t>
      </w:r>
    </w:p>
    <w:p w14:paraId="6F116E3F">
      <w:pPr>
        <w:tabs>
          <w:tab w:val="left" w:pos="2410"/>
        </w:tabs>
        <w:autoSpaceDE w:val="0"/>
        <w:autoSpaceDN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eastAsia="zh-CN"/>
        </w:rPr>
      </w:pPr>
      <w:r>
        <w:rPr>
          <w:rFonts w:hint="eastAsia" w:ascii="宋体" w:hAnsi="宋体" w:eastAsia="宋体"/>
          <w:b/>
          <w:color w:val="auto"/>
          <w:spacing w:val="20"/>
          <w:kern w:val="0"/>
          <w:sz w:val="32"/>
          <w:szCs w:val="32"/>
          <w:highlight w:val="none"/>
        </w:rPr>
        <w:t>采购代理机构：</w:t>
      </w:r>
      <w:r>
        <w:rPr>
          <w:rFonts w:hint="eastAsia" w:ascii="宋体" w:hAnsi="宋体" w:eastAsia="宋体"/>
          <w:b/>
          <w:color w:val="auto"/>
          <w:spacing w:val="20"/>
          <w:kern w:val="0"/>
          <w:sz w:val="32"/>
          <w:szCs w:val="32"/>
          <w:highlight w:val="none"/>
          <w:lang w:val="en-US" w:eastAsia="zh-CN"/>
        </w:rPr>
        <w:t>安徽大别山工程咨询有限公司</w:t>
      </w:r>
    </w:p>
    <w:p w14:paraId="0D1BDAC8">
      <w:pPr>
        <w:tabs>
          <w:tab w:val="left" w:pos="315"/>
          <w:tab w:val="left" w:pos="8820"/>
        </w:tabs>
        <w:spacing w:before="240" w:beforeLines="100" w:after="120" w:afterLines="50" w:line="500" w:lineRule="exact"/>
        <w:ind w:right="267" w:rightChars="127"/>
        <w:jc w:val="center"/>
        <w:rPr>
          <w:rFonts w:ascii="宋体" w:hAnsi="宋体" w:eastAsia="宋体"/>
          <w:b/>
          <w:bCs/>
          <w:color w:val="auto"/>
          <w:sz w:val="44"/>
          <w:szCs w:val="44"/>
          <w:highlight w:val="none"/>
        </w:rPr>
      </w:pPr>
    </w:p>
    <w:p w14:paraId="563FC288">
      <w:pPr>
        <w:tabs>
          <w:tab w:val="left" w:pos="2410"/>
        </w:tabs>
        <w:autoSpaceDE w:val="0"/>
        <w:autoSpaceDN w:val="0"/>
        <w:adjustRightInd w:val="0"/>
        <w:snapToGrid w:val="0"/>
        <w:spacing w:line="360" w:lineRule="auto"/>
        <w:jc w:val="center"/>
        <w:rPr>
          <w:rFonts w:hint="eastAsia" w:ascii="宋体" w:hAnsi="宋体" w:eastAsia="宋体"/>
          <w:b/>
          <w:color w:val="auto"/>
          <w:sz w:val="36"/>
          <w:highlight w:val="none"/>
        </w:rPr>
        <w:sectPr>
          <w:footerReference r:id="rId3" w:type="default"/>
          <w:pgSz w:w="11907" w:h="16840"/>
          <w:pgMar w:top="1474" w:right="1814" w:bottom="1474" w:left="1814" w:header="851" w:footer="992" w:gutter="0"/>
          <w:pgNumType w:fmt="decimal"/>
          <w:cols w:space="720" w:num="1"/>
          <w:docGrid w:linePitch="462" w:charSpace="0"/>
        </w:sectPr>
      </w:pPr>
      <w:r>
        <w:rPr>
          <w:rFonts w:hint="eastAsia" w:ascii="宋体" w:hAnsi="宋体" w:eastAsia="宋体"/>
          <w:b/>
          <w:color w:val="auto"/>
          <w:sz w:val="36"/>
          <w:highlight w:val="none"/>
          <w:u w:val="single"/>
          <w:lang w:val="en-US" w:eastAsia="zh-CN"/>
        </w:rPr>
        <w:t>2026</w:t>
      </w:r>
      <w:r>
        <w:rPr>
          <w:rFonts w:hint="eastAsia" w:ascii="宋体" w:hAnsi="宋体" w:eastAsia="宋体"/>
          <w:b/>
          <w:color w:val="auto"/>
          <w:sz w:val="36"/>
          <w:highlight w:val="none"/>
        </w:rPr>
        <w:t>年</w:t>
      </w:r>
      <w:r>
        <w:rPr>
          <w:rFonts w:hint="eastAsia" w:ascii="宋体" w:hAnsi="宋体" w:eastAsia="宋体"/>
          <w:b/>
          <w:color w:val="auto"/>
          <w:sz w:val="36"/>
          <w:highlight w:val="none"/>
          <w:u w:val="single"/>
          <w:lang w:val="en-US" w:eastAsia="zh-CN"/>
        </w:rPr>
        <w:t>10</w:t>
      </w:r>
      <w:r>
        <w:rPr>
          <w:rFonts w:hint="eastAsia" w:ascii="宋体" w:hAnsi="宋体" w:eastAsia="宋体"/>
          <w:b/>
          <w:color w:val="auto"/>
          <w:sz w:val="36"/>
          <w:highlight w:val="none"/>
        </w:rPr>
        <w:t>月</w:t>
      </w:r>
    </w:p>
    <w:p w14:paraId="14B5151F">
      <w:pPr>
        <w:tabs>
          <w:tab w:val="left" w:pos="2410"/>
        </w:tabs>
        <w:autoSpaceDE w:val="0"/>
        <w:autoSpaceDN w:val="0"/>
        <w:adjustRightInd w:val="0"/>
        <w:snapToGrid w:val="0"/>
        <w:spacing w:line="360" w:lineRule="auto"/>
        <w:jc w:val="center"/>
        <w:rPr>
          <w:rFonts w:ascii="宋体" w:hAnsi="宋体" w:eastAsia="宋体"/>
          <w:b/>
          <w:color w:val="auto"/>
          <w:sz w:val="40"/>
          <w:szCs w:val="24"/>
          <w:highlight w:val="none"/>
        </w:rPr>
      </w:pPr>
      <w:r>
        <w:rPr>
          <w:rFonts w:hint="eastAsia" w:ascii="宋体" w:hAnsi="宋体" w:eastAsia="宋体"/>
          <w:b/>
          <w:color w:val="auto"/>
          <w:sz w:val="40"/>
          <w:szCs w:val="24"/>
          <w:highlight w:val="none"/>
        </w:rPr>
        <w:t>目  录</w:t>
      </w:r>
    </w:p>
    <w:p w14:paraId="35F9380E">
      <w:pPr>
        <w:pStyle w:val="10"/>
        <w:tabs>
          <w:tab w:val="right" w:leader="dot" w:pos="8279"/>
        </w:tabs>
        <w:spacing w:line="360" w:lineRule="auto"/>
        <w:rPr>
          <w:rFonts w:asciiTheme="minorEastAsia" w:hAnsiTheme="minorEastAsia"/>
          <w:b/>
          <w:bCs/>
          <w:color w:val="auto"/>
          <w:sz w:val="24"/>
          <w:szCs w:val="24"/>
          <w:highlight w:val="none"/>
        </w:rPr>
      </w:pPr>
    </w:p>
    <w:p w14:paraId="48ED10C1">
      <w:pPr>
        <w:pStyle w:val="10"/>
        <w:tabs>
          <w:tab w:val="right" w:leader="dot" w:pos="8279"/>
        </w:tabs>
        <w:spacing w:line="360" w:lineRule="auto"/>
        <w:rPr>
          <w:rFonts w:hint="eastAsia" w:ascii="宋体" w:hAnsi="宋体" w:eastAsia="宋体" w:cs="宋体"/>
          <w:color w:val="auto"/>
          <w:sz w:val="28"/>
          <w:szCs w:val="28"/>
          <w:highlight w:val="none"/>
        </w:rPr>
      </w:pPr>
      <w:r>
        <w:rPr>
          <w:rFonts w:hint="eastAsia" w:ascii="宋体" w:hAnsi="宋体" w:eastAsia="宋体" w:cs="宋体"/>
          <w:b/>
          <w:bCs/>
          <w:color w:val="auto"/>
          <w:sz w:val="28"/>
          <w:szCs w:val="28"/>
          <w:highlight w:val="none"/>
        </w:rPr>
        <w:fldChar w:fldCharType="begin"/>
      </w:r>
      <w:r>
        <w:rPr>
          <w:rFonts w:hint="eastAsia" w:ascii="宋体" w:hAnsi="宋体" w:eastAsia="宋体" w:cs="宋体"/>
          <w:b/>
          <w:bCs/>
          <w:color w:val="auto"/>
          <w:sz w:val="28"/>
          <w:szCs w:val="28"/>
          <w:highlight w:val="none"/>
        </w:rPr>
        <w:instrText xml:space="preserve"> TOC \o "1-2" \h \z \u </w:instrText>
      </w:r>
      <w:r>
        <w:rPr>
          <w:rFonts w:hint="eastAsia" w:ascii="宋体" w:hAnsi="宋体" w:eastAsia="宋体" w:cs="宋体"/>
          <w:b/>
          <w:bCs/>
          <w:color w:val="auto"/>
          <w:sz w:val="28"/>
          <w:szCs w:val="28"/>
          <w:highlight w:val="none"/>
        </w:rPr>
        <w:fldChar w:fldCharType="separate"/>
      </w:r>
      <w:r>
        <w:rPr>
          <w:rFonts w:hint="eastAsia" w:ascii="宋体" w:hAnsi="宋体" w:eastAsia="宋体" w:cs="宋体"/>
          <w:bCs/>
          <w:color w:val="auto"/>
          <w:sz w:val="28"/>
          <w:szCs w:val="28"/>
          <w:highlight w:val="none"/>
        </w:rPr>
        <w:fldChar w:fldCharType="begin"/>
      </w:r>
      <w:r>
        <w:rPr>
          <w:rFonts w:hint="eastAsia" w:ascii="宋体" w:hAnsi="宋体" w:eastAsia="宋体" w:cs="宋体"/>
          <w:bCs/>
          <w:color w:val="auto"/>
          <w:sz w:val="28"/>
          <w:szCs w:val="28"/>
          <w:highlight w:val="none"/>
        </w:rPr>
        <w:instrText xml:space="preserve"> HYPERLINK \l _Toc14792 </w:instrText>
      </w:r>
      <w:r>
        <w:rPr>
          <w:rFonts w:hint="eastAsia" w:ascii="宋体" w:hAnsi="宋体" w:eastAsia="宋体" w:cs="宋体"/>
          <w:bCs/>
          <w:color w:val="auto"/>
          <w:sz w:val="28"/>
          <w:szCs w:val="28"/>
          <w:highlight w:val="none"/>
        </w:rPr>
        <w:fldChar w:fldCharType="separate"/>
      </w:r>
      <w:r>
        <w:rPr>
          <w:rFonts w:hint="eastAsia" w:ascii="宋体" w:hAnsi="宋体" w:eastAsia="宋体" w:cs="宋体"/>
          <w:color w:val="auto"/>
          <w:sz w:val="28"/>
          <w:szCs w:val="28"/>
          <w:highlight w:val="none"/>
        </w:rPr>
        <w:t xml:space="preserve">第一章  </w:t>
      </w:r>
      <w:r>
        <w:rPr>
          <w:rFonts w:hint="eastAsia" w:ascii="宋体" w:hAnsi="宋体" w:eastAsia="宋体" w:cs="宋体"/>
          <w:color w:val="auto"/>
          <w:sz w:val="28"/>
          <w:szCs w:val="28"/>
          <w:highlight w:val="none"/>
          <w:lang w:eastAsia="zh-CN"/>
        </w:rPr>
        <w:t>采购邀请</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_Toc14792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3</w:t>
      </w:r>
      <w:r>
        <w:rPr>
          <w:rFonts w:hint="eastAsia" w:ascii="宋体" w:hAnsi="宋体" w:eastAsia="宋体" w:cs="宋体"/>
          <w:color w:val="auto"/>
          <w:sz w:val="28"/>
          <w:szCs w:val="28"/>
          <w:highlight w:val="none"/>
        </w:rPr>
        <w:fldChar w:fldCharType="end"/>
      </w:r>
      <w:r>
        <w:rPr>
          <w:rFonts w:hint="eastAsia" w:ascii="宋体" w:hAnsi="宋体" w:eastAsia="宋体" w:cs="宋体"/>
          <w:bCs/>
          <w:color w:val="auto"/>
          <w:sz w:val="28"/>
          <w:szCs w:val="28"/>
          <w:highlight w:val="none"/>
        </w:rPr>
        <w:fldChar w:fldCharType="end"/>
      </w:r>
    </w:p>
    <w:p w14:paraId="25468DA3">
      <w:pPr>
        <w:pStyle w:val="10"/>
        <w:tabs>
          <w:tab w:val="right" w:leader="dot" w:pos="8279"/>
        </w:tabs>
        <w:spacing w:line="360" w:lineRule="auto"/>
        <w:rPr>
          <w:rFonts w:hint="eastAsia" w:ascii="宋体" w:hAnsi="宋体" w:eastAsia="宋体" w:cs="宋体"/>
          <w:color w:val="auto"/>
          <w:sz w:val="28"/>
          <w:szCs w:val="28"/>
          <w:highlight w:val="none"/>
        </w:rPr>
      </w:pPr>
      <w:r>
        <w:rPr>
          <w:rFonts w:hint="eastAsia" w:ascii="宋体" w:hAnsi="宋体" w:eastAsia="宋体" w:cs="宋体"/>
          <w:bCs/>
          <w:color w:val="auto"/>
          <w:sz w:val="28"/>
          <w:szCs w:val="28"/>
          <w:highlight w:val="none"/>
        </w:rPr>
        <w:fldChar w:fldCharType="begin"/>
      </w:r>
      <w:r>
        <w:rPr>
          <w:rFonts w:hint="eastAsia" w:ascii="宋体" w:hAnsi="宋体" w:eastAsia="宋体" w:cs="宋体"/>
          <w:bCs/>
          <w:color w:val="auto"/>
          <w:sz w:val="28"/>
          <w:szCs w:val="28"/>
          <w:highlight w:val="none"/>
        </w:rPr>
        <w:instrText xml:space="preserve"> HYPERLINK \l _Toc21898 </w:instrText>
      </w:r>
      <w:r>
        <w:rPr>
          <w:rFonts w:hint="eastAsia" w:ascii="宋体" w:hAnsi="宋体" w:eastAsia="宋体" w:cs="宋体"/>
          <w:bCs/>
          <w:color w:val="auto"/>
          <w:sz w:val="28"/>
          <w:szCs w:val="28"/>
          <w:highlight w:val="none"/>
        </w:rPr>
        <w:fldChar w:fldCharType="separate"/>
      </w:r>
      <w:r>
        <w:rPr>
          <w:rFonts w:hint="eastAsia" w:ascii="宋体" w:hAnsi="宋体" w:eastAsia="宋体" w:cs="宋体"/>
          <w:color w:val="auto"/>
          <w:sz w:val="28"/>
          <w:szCs w:val="28"/>
          <w:highlight w:val="none"/>
        </w:rPr>
        <w:t>第二章  供应商须知</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_Toc21898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6</w:t>
      </w:r>
      <w:r>
        <w:rPr>
          <w:rFonts w:hint="eastAsia" w:ascii="宋体" w:hAnsi="宋体" w:eastAsia="宋体" w:cs="宋体"/>
          <w:color w:val="auto"/>
          <w:sz w:val="28"/>
          <w:szCs w:val="28"/>
          <w:highlight w:val="none"/>
        </w:rPr>
        <w:fldChar w:fldCharType="end"/>
      </w:r>
      <w:r>
        <w:rPr>
          <w:rFonts w:hint="eastAsia" w:ascii="宋体" w:hAnsi="宋体" w:eastAsia="宋体" w:cs="宋体"/>
          <w:bCs/>
          <w:color w:val="auto"/>
          <w:sz w:val="28"/>
          <w:szCs w:val="28"/>
          <w:highlight w:val="none"/>
        </w:rPr>
        <w:fldChar w:fldCharType="end"/>
      </w:r>
    </w:p>
    <w:p w14:paraId="7980B36C">
      <w:pPr>
        <w:pStyle w:val="10"/>
        <w:tabs>
          <w:tab w:val="right" w:leader="dot" w:pos="8279"/>
        </w:tabs>
        <w:spacing w:line="360" w:lineRule="auto"/>
        <w:rPr>
          <w:rFonts w:hint="eastAsia" w:ascii="宋体" w:hAnsi="宋体" w:eastAsia="宋体" w:cs="宋体"/>
          <w:color w:val="auto"/>
          <w:sz w:val="28"/>
          <w:szCs w:val="28"/>
          <w:highlight w:val="none"/>
        </w:rPr>
      </w:pPr>
      <w:r>
        <w:rPr>
          <w:rFonts w:hint="eastAsia" w:ascii="宋体" w:hAnsi="宋体" w:eastAsia="宋体" w:cs="宋体"/>
          <w:bCs/>
          <w:color w:val="auto"/>
          <w:sz w:val="28"/>
          <w:szCs w:val="28"/>
          <w:highlight w:val="none"/>
        </w:rPr>
        <w:fldChar w:fldCharType="begin"/>
      </w:r>
      <w:r>
        <w:rPr>
          <w:rFonts w:hint="eastAsia" w:ascii="宋体" w:hAnsi="宋体" w:eastAsia="宋体" w:cs="宋体"/>
          <w:bCs/>
          <w:color w:val="auto"/>
          <w:sz w:val="28"/>
          <w:szCs w:val="28"/>
          <w:highlight w:val="none"/>
        </w:rPr>
        <w:instrText xml:space="preserve"> HYPERLINK \l _Toc25461 </w:instrText>
      </w:r>
      <w:r>
        <w:rPr>
          <w:rFonts w:hint="eastAsia" w:ascii="宋体" w:hAnsi="宋体" w:eastAsia="宋体" w:cs="宋体"/>
          <w:bCs/>
          <w:color w:val="auto"/>
          <w:sz w:val="28"/>
          <w:szCs w:val="28"/>
          <w:highlight w:val="none"/>
        </w:rPr>
        <w:fldChar w:fldCharType="separate"/>
      </w:r>
      <w:r>
        <w:rPr>
          <w:rFonts w:hint="eastAsia" w:ascii="宋体" w:hAnsi="宋体" w:eastAsia="宋体" w:cs="宋体"/>
          <w:color w:val="auto"/>
          <w:sz w:val="28"/>
          <w:szCs w:val="28"/>
          <w:highlight w:val="none"/>
        </w:rPr>
        <w:t>第三章  采购需求</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_Toc25461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20</w:t>
      </w:r>
      <w:r>
        <w:rPr>
          <w:rFonts w:hint="eastAsia" w:ascii="宋体" w:hAnsi="宋体" w:eastAsia="宋体" w:cs="宋体"/>
          <w:color w:val="auto"/>
          <w:sz w:val="28"/>
          <w:szCs w:val="28"/>
          <w:highlight w:val="none"/>
        </w:rPr>
        <w:fldChar w:fldCharType="end"/>
      </w:r>
      <w:r>
        <w:rPr>
          <w:rFonts w:hint="eastAsia" w:ascii="宋体" w:hAnsi="宋体" w:eastAsia="宋体" w:cs="宋体"/>
          <w:bCs/>
          <w:color w:val="auto"/>
          <w:sz w:val="28"/>
          <w:szCs w:val="28"/>
          <w:highlight w:val="none"/>
        </w:rPr>
        <w:fldChar w:fldCharType="end"/>
      </w:r>
    </w:p>
    <w:p w14:paraId="13419AD4">
      <w:pPr>
        <w:pStyle w:val="10"/>
        <w:tabs>
          <w:tab w:val="right" w:leader="dot" w:pos="8279"/>
        </w:tabs>
        <w:spacing w:line="360" w:lineRule="auto"/>
        <w:rPr>
          <w:rFonts w:hint="eastAsia" w:ascii="宋体" w:hAnsi="宋体" w:eastAsia="宋体" w:cs="宋体"/>
          <w:color w:val="auto"/>
          <w:sz w:val="28"/>
          <w:szCs w:val="28"/>
          <w:highlight w:val="none"/>
        </w:rPr>
      </w:pPr>
      <w:r>
        <w:rPr>
          <w:rFonts w:hint="eastAsia" w:ascii="宋体" w:hAnsi="宋体" w:eastAsia="宋体" w:cs="宋体"/>
          <w:bCs/>
          <w:color w:val="auto"/>
          <w:sz w:val="28"/>
          <w:szCs w:val="28"/>
          <w:highlight w:val="none"/>
        </w:rPr>
        <w:fldChar w:fldCharType="begin"/>
      </w:r>
      <w:r>
        <w:rPr>
          <w:rFonts w:hint="eastAsia" w:ascii="宋体" w:hAnsi="宋体" w:eastAsia="宋体" w:cs="宋体"/>
          <w:bCs/>
          <w:color w:val="auto"/>
          <w:sz w:val="28"/>
          <w:szCs w:val="28"/>
          <w:highlight w:val="none"/>
        </w:rPr>
        <w:instrText xml:space="preserve"> HYPERLINK \l _Toc20811 </w:instrText>
      </w:r>
      <w:r>
        <w:rPr>
          <w:rFonts w:hint="eastAsia" w:ascii="宋体" w:hAnsi="宋体" w:eastAsia="宋体" w:cs="宋体"/>
          <w:bCs/>
          <w:color w:val="auto"/>
          <w:sz w:val="28"/>
          <w:szCs w:val="28"/>
          <w:highlight w:val="none"/>
        </w:rPr>
        <w:fldChar w:fldCharType="separate"/>
      </w:r>
      <w:r>
        <w:rPr>
          <w:rFonts w:hint="eastAsia" w:ascii="宋体" w:hAnsi="宋体" w:eastAsia="宋体" w:cs="宋体"/>
          <w:color w:val="auto"/>
          <w:sz w:val="28"/>
          <w:szCs w:val="28"/>
          <w:highlight w:val="none"/>
        </w:rPr>
        <w:t>第四章  评审方法和标准</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_Toc20811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21</w:t>
      </w:r>
      <w:r>
        <w:rPr>
          <w:rFonts w:hint="eastAsia" w:ascii="宋体" w:hAnsi="宋体" w:eastAsia="宋体" w:cs="宋体"/>
          <w:color w:val="auto"/>
          <w:sz w:val="28"/>
          <w:szCs w:val="28"/>
          <w:highlight w:val="none"/>
        </w:rPr>
        <w:fldChar w:fldCharType="end"/>
      </w:r>
      <w:r>
        <w:rPr>
          <w:rFonts w:hint="eastAsia" w:ascii="宋体" w:hAnsi="宋体" w:eastAsia="宋体" w:cs="宋体"/>
          <w:bCs/>
          <w:color w:val="auto"/>
          <w:sz w:val="28"/>
          <w:szCs w:val="28"/>
          <w:highlight w:val="none"/>
        </w:rPr>
        <w:fldChar w:fldCharType="end"/>
      </w:r>
    </w:p>
    <w:p w14:paraId="7141A984">
      <w:pPr>
        <w:pStyle w:val="10"/>
        <w:tabs>
          <w:tab w:val="right" w:leader="dot" w:pos="8279"/>
        </w:tabs>
        <w:spacing w:line="360" w:lineRule="auto"/>
        <w:rPr>
          <w:rFonts w:hint="eastAsia" w:ascii="宋体" w:hAnsi="宋体" w:eastAsia="宋体" w:cs="宋体"/>
          <w:color w:val="auto"/>
          <w:sz w:val="28"/>
          <w:szCs w:val="28"/>
          <w:highlight w:val="none"/>
        </w:rPr>
      </w:pPr>
      <w:r>
        <w:rPr>
          <w:rFonts w:hint="eastAsia" w:ascii="宋体" w:hAnsi="宋体" w:eastAsia="宋体" w:cs="宋体"/>
          <w:bCs/>
          <w:color w:val="auto"/>
          <w:sz w:val="28"/>
          <w:szCs w:val="28"/>
          <w:highlight w:val="none"/>
        </w:rPr>
        <w:fldChar w:fldCharType="begin"/>
      </w:r>
      <w:r>
        <w:rPr>
          <w:rFonts w:hint="eastAsia" w:ascii="宋体" w:hAnsi="宋体" w:eastAsia="宋体" w:cs="宋体"/>
          <w:bCs/>
          <w:color w:val="auto"/>
          <w:sz w:val="28"/>
          <w:szCs w:val="28"/>
          <w:highlight w:val="none"/>
        </w:rPr>
        <w:instrText xml:space="preserve"> HYPERLINK \l _Toc6738 </w:instrText>
      </w:r>
      <w:r>
        <w:rPr>
          <w:rFonts w:hint="eastAsia" w:ascii="宋体" w:hAnsi="宋体" w:eastAsia="宋体" w:cs="宋体"/>
          <w:bCs/>
          <w:color w:val="auto"/>
          <w:sz w:val="28"/>
          <w:szCs w:val="28"/>
          <w:highlight w:val="none"/>
        </w:rPr>
        <w:fldChar w:fldCharType="separate"/>
      </w:r>
      <w:r>
        <w:rPr>
          <w:rFonts w:hint="eastAsia" w:ascii="宋体" w:hAnsi="宋体" w:eastAsia="宋体" w:cs="宋体"/>
          <w:color w:val="auto"/>
          <w:sz w:val="28"/>
          <w:szCs w:val="28"/>
          <w:highlight w:val="none"/>
        </w:rPr>
        <w:t>第五章  采购合同</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_Toc6738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23</w:t>
      </w:r>
      <w:r>
        <w:rPr>
          <w:rFonts w:hint="eastAsia" w:ascii="宋体" w:hAnsi="宋体" w:eastAsia="宋体" w:cs="宋体"/>
          <w:color w:val="auto"/>
          <w:sz w:val="28"/>
          <w:szCs w:val="28"/>
          <w:highlight w:val="none"/>
        </w:rPr>
        <w:fldChar w:fldCharType="end"/>
      </w:r>
      <w:r>
        <w:rPr>
          <w:rFonts w:hint="eastAsia" w:ascii="宋体" w:hAnsi="宋体" w:eastAsia="宋体" w:cs="宋体"/>
          <w:bCs/>
          <w:color w:val="auto"/>
          <w:sz w:val="28"/>
          <w:szCs w:val="28"/>
          <w:highlight w:val="none"/>
        </w:rPr>
        <w:fldChar w:fldCharType="end"/>
      </w:r>
    </w:p>
    <w:p w14:paraId="7DE4147C">
      <w:pPr>
        <w:pStyle w:val="10"/>
        <w:tabs>
          <w:tab w:val="right" w:leader="dot" w:pos="8279"/>
        </w:tabs>
        <w:spacing w:line="360" w:lineRule="auto"/>
        <w:rPr>
          <w:rFonts w:hint="eastAsia" w:ascii="宋体" w:hAnsi="宋体" w:eastAsia="宋体" w:cs="宋体"/>
          <w:color w:val="auto"/>
          <w:sz w:val="28"/>
          <w:szCs w:val="28"/>
          <w:highlight w:val="none"/>
        </w:rPr>
      </w:pPr>
      <w:r>
        <w:rPr>
          <w:rFonts w:hint="eastAsia" w:ascii="宋体" w:hAnsi="宋体" w:eastAsia="宋体" w:cs="宋体"/>
          <w:bCs/>
          <w:color w:val="auto"/>
          <w:sz w:val="28"/>
          <w:szCs w:val="28"/>
          <w:highlight w:val="none"/>
        </w:rPr>
        <w:fldChar w:fldCharType="begin"/>
      </w:r>
      <w:r>
        <w:rPr>
          <w:rFonts w:hint="eastAsia" w:ascii="宋体" w:hAnsi="宋体" w:eastAsia="宋体" w:cs="宋体"/>
          <w:bCs/>
          <w:color w:val="auto"/>
          <w:sz w:val="28"/>
          <w:szCs w:val="28"/>
          <w:highlight w:val="none"/>
        </w:rPr>
        <w:instrText xml:space="preserve"> HYPERLINK \l _Toc24145 </w:instrText>
      </w:r>
      <w:r>
        <w:rPr>
          <w:rFonts w:hint="eastAsia" w:ascii="宋体" w:hAnsi="宋体" w:eastAsia="宋体" w:cs="宋体"/>
          <w:bCs/>
          <w:color w:val="auto"/>
          <w:sz w:val="28"/>
          <w:szCs w:val="28"/>
          <w:highlight w:val="none"/>
        </w:rPr>
        <w:fldChar w:fldCharType="separate"/>
      </w:r>
      <w:r>
        <w:rPr>
          <w:rFonts w:hint="eastAsia" w:ascii="宋体" w:hAnsi="宋体" w:eastAsia="宋体" w:cs="宋体"/>
          <w:color w:val="auto"/>
          <w:sz w:val="28"/>
          <w:szCs w:val="28"/>
          <w:highlight w:val="none"/>
        </w:rPr>
        <w:t>第六章  响应文件格式</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_Toc24145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24</w:t>
      </w:r>
      <w:r>
        <w:rPr>
          <w:rFonts w:hint="eastAsia" w:ascii="宋体" w:hAnsi="宋体" w:eastAsia="宋体" w:cs="宋体"/>
          <w:color w:val="auto"/>
          <w:sz w:val="28"/>
          <w:szCs w:val="28"/>
          <w:highlight w:val="none"/>
        </w:rPr>
        <w:fldChar w:fldCharType="end"/>
      </w:r>
      <w:r>
        <w:rPr>
          <w:rFonts w:hint="eastAsia" w:ascii="宋体" w:hAnsi="宋体" w:eastAsia="宋体" w:cs="宋体"/>
          <w:bCs/>
          <w:color w:val="auto"/>
          <w:sz w:val="28"/>
          <w:szCs w:val="28"/>
          <w:highlight w:val="none"/>
        </w:rPr>
        <w:fldChar w:fldCharType="end"/>
      </w:r>
    </w:p>
    <w:p w14:paraId="2BF97C13">
      <w:pPr>
        <w:pStyle w:val="10"/>
        <w:tabs>
          <w:tab w:val="right" w:leader="dot" w:pos="8279"/>
        </w:tabs>
        <w:spacing w:line="360" w:lineRule="auto"/>
        <w:rPr>
          <w:rFonts w:hint="eastAsia" w:ascii="宋体" w:hAnsi="宋体" w:eastAsia="宋体" w:cs="宋体"/>
          <w:color w:val="auto"/>
          <w:sz w:val="28"/>
          <w:szCs w:val="28"/>
          <w:highlight w:val="none"/>
        </w:rPr>
      </w:pPr>
      <w:r>
        <w:rPr>
          <w:rFonts w:hint="eastAsia" w:ascii="宋体" w:hAnsi="宋体" w:eastAsia="宋体" w:cs="宋体"/>
          <w:bCs/>
          <w:color w:val="auto"/>
          <w:sz w:val="28"/>
          <w:szCs w:val="28"/>
          <w:highlight w:val="none"/>
        </w:rPr>
        <w:fldChar w:fldCharType="begin"/>
      </w:r>
      <w:r>
        <w:rPr>
          <w:rFonts w:hint="eastAsia" w:ascii="宋体" w:hAnsi="宋体" w:eastAsia="宋体" w:cs="宋体"/>
          <w:bCs/>
          <w:color w:val="auto"/>
          <w:sz w:val="28"/>
          <w:szCs w:val="28"/>
          <w:highlight w:val="none"/>
        </w:rPr>
        <w:instrText xml:space="preserve"> HYPERLINK \l _Toc11034 </w:instrText>
      </w:r>
      <w:r>
        <w:rPr>
          <w:rFonts w:hint="eastAsia" w:ascii="宋体" w:hAnsi="宋体" w:eastAsia="宋体" w:cs="宋体"/>
          <w:bCs/>
          <w:color w:val="auto"/>
          <w:sz w:val="28"/>
          <w:szCs w:val="28"/>
          <w:highlight w:val="none"/>
        </w:rPr>
        <w:fldChar w:fldCharType="separate"/>
      </w:r>
      <w:r>
        <w:rPr>
          <w:rFonts w:hint="eastAsia" w:ascii="宋体" w:hAnsi="宋体" w:eastAsia="宋体" w:cs="宋体"/>
          <w:bCs/>
          <w:color w:val="auto"/>
          <w:sz w:val="28"/>
          <w:szCs w:val="28"/>
          <w:highlight w:val="none"/>
        </w:rPr>
        <w:t>第</w:t>
      </w:r>
      <w:r>
        <w:rPr>
          <w:rFonts w:hint="eastAsia" w:ascii="宋体" w:hAnsi="宋体" w:eastAsia="宋体" w:cs="宋体"/>
          <w:bCs/>
          <w:color w:val="auto"/>
          <w:sz w:val="28"/>
          <w:szCs w:val="28"/>
          <w:highlight w:val="none"/>
          <w:lang w:val="en-US" w:eastAsia="zh-CN"/>
        </w:rPr>
        <w:t>七</w:t>
      </w:r>
      <w:r>
        <w:rPr>
          <w:rFonts w:hint="eastAsia" w:ascii="宋体" w:hAnsi="宋体" w:eastAsia="宋体" w:cs="宋体"/>
          <w:bCs/>
          <w:color w:val="auto"/>
          <w:sz w:val="28"/>
          <w:szCs w:val="28"/>
          <w:highlight w:val="none"/>
        </w:rPr>
        <w:t xml:space="preserve">章  </w:t>
      </w:r>
      <w:r>
        <w:rPr>
          <w:rFonts w:hint="eastAsia" w:ascii="宋体" w:hAnsi="宋体" w:eastAsia="宋体" w:cs="宋体"/>
          <w:color w:val="auto"/>
          <w:sz w:val="28"/>
          <w:szCs w:val="28"/>
          <w:highlight w:val="none"/>
        </w:rPr>
        <w:t>供应</w:t>
      </w:r>
      <w:r>
        <w:rPr>
          <w:rFonts w:hint="eastAsia" w:ascii="宋体" w:hAnsi="宋体" w:eastAsia="宋体" w:cs="宋体"/>
          <w:bCs/>
          <w:color w:val="auto"/>
          <w:sz w:val="28"/>
          <w:szCs w:val="28"/>
          <w:highlight w:val="none"/>
        </w:rPr>
        <w:t>商询问函和质疑函范本</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_Toc11034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33</w:t>
      </w:r>
      <w:r>
        <w:rPr>
          <w:rFonts w:hint="eastAsia" w:ascii="宋体" w:hAnsi="宋体" w:eastAsia="宋体" w:cs="宋体"/>
          <w:color w:val="auto"/>
          <w:sz w:val="28"/>
          <w:szCs w:val="28"/>
          <w:highlight w:val="none"/>
        </w:rPr>
        <w:fldChar w:fldCharType="end"/>
      </w:r>
      <w:r>
        <w:rPr>
          <w:rFonts w:hint="eastAsia" w:ascii="宋体" w:hAnsi="宋体" w:eastAsia="宋体" w:cs="宋体"/>
          <w:bCs/>
          <w:color w:val="auto"/>
          <w:sz w:val="28"/>
          <w:szCs w:val="28"/>
          <w:highlight w:val="none"/>
        </w:rPr>
        <w:fldChar w:fldCharType="end"/>
      </w:r>
    </w:p>
    <w:p w14:paraId="507F9508">
      <w:pPr>
        <w:pStyle w:val="11"/>
        <w:tabs>
          <w:tab w:val="right" w:leader="dot" w:pos="8296"/>
        </w:tabs>
        <w:spacing w:line="360" w:lineRule="auto"/>
        <w:rPr>
          <w:color w:val="auto"/>
          <w:highlight w:val="none"/>
        </w:rPr>
      </w:pPr>
      <w:r>
        <w:rPr>
          <w:rFonts w:hint="eastAsia" w:ascii="宋体" w:hAnsi="宋体" w:eastAsia="宋体" w:cs="宋体"/>
          <w:bCs/>
          <w:color w:val="auto"/>
          <w:sz w:val="28"/>
          <w:szCs w:val="28"/>
          <w:highlight w:val="none"/>
        </w:rPr>
        <w:fldChar w:fldCharType="end"/>
      </w:r>
    </w:p>
    <w:p w14:paraId="7C6D5CD5">
      <w:pPr>
        <w:spacing w:line="360" w:lineRule="auto"/>
        <w:jc w:val="center"/>
        <w:outlineLvl w:val="1"/>
        <w:rPr>
          <w:rFonts w:asciiTheme="minorEastAsia" w:hAnsiTheme="minorEastAsia" w:eastAsiaTheme="minorEastAsia"/>
          <w:b/>
          <w:color w:val="auto"/>
          <w:sz w:val="28"/>
          <w:highlight w:val="none"/>
        </w:rPr>
        <w:sectPr>
          <w:pgSz w:w="11907" w:h="16840"/>
          <w:pgMar w:top="1474" w:right="1814" w:bottom="1474" w:left="1814" w:header="851" w:footer="992" w:gutter="0"/>
          <w:pgNumType w:fmt="decimal"/>
          <w:cols w:space="720" w:num="1"/>
          <w:docGrid w:linePitch="462" w:charSpace="0"/>
        </w:sectPr>
      </w:pPr>
    </w:p>
    <w:p w14:paraId="460F3F8D">
      <w:pPr>
        <w:spacing w:line="360" w:lineRule="auto"/>
        <w:jc w:val="center"/>
        <w:outlineLvl w:val="0"/>
        <w:rPr>
          <w:rFonts w:hint="eastAsia" w:asciiTheme="minorEastAsia" w:hAnsiTheme="minorEastAsia" w:eastAsiaTheme="minorEastAsia"/>
          <w:b/>
          <w:color w:val="auto"/>
          <w:sz w:val="28"/>
          <w:highlight w:val="none"/>
          <w:lang w:eastAsia="zh-CN"/>
        </w:rPr>
      </w:pPr>
      <w:bookmarkStart w:id="1" w:name="_Toc14792"/>
      <w:r>
        <w:rPr>
          <w:rFonts w:hint="eastAsia" w:asciiTheme="minorEastAsia" w:hAnsiTheme="minorEastAsia" w:eastAsiaTheme="minorEastAsia"/>
          <w:b/>
          <w:color w:val="auto"/>
          <w:sz w:val="28"/>
          <w:highlight w:val="none"/>
        </w:rPr>
        <w:t xml:space="preserve">第一章 </w:t>
      </w:r>
      <w:r>
        <w:rPr>
          <w:rFonts w:asciiTheme="minorEastAsia" w:hAnsiTheme="minorEastAsia" w:eastAsiaTheme="minorEastAsia"/>
          <w:b/>
          <w:color w:val="auto"/>
          <w:sz w:val="28"/>
          <w:highlight w:val="none"/>
        </w:rPr>
        <w:t xml:space="preserve"> </w:t>
      </w:r>
      <w:bookmarkEnd w:id="1"/>
      <w:r>
        <w:rPr>
          <w:rFonts w:hint="eastAsia" w:asciiTheme="minorEastAsia" w:hAnsiTheme="minorEastAsia" w:eastAsiaTheme="minorEastAsia"/>
          <w:b/>
          <w:color w:val="auto"/>
          <w:sz w:val="28"/>
          <w:highlight w:val="none"/>
          <w:lang w:eastAsia="zh-CN"/>
        </w:rPr>
        <w:t>采购邀请</w:t>
      </w:r>
    </w:p>
    <w:p w14:paraId="569E2B0F">
      <w:pPr>
        <w:pageBreakBefore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540" w:lineRule="exact"/>
        <w:ind w:firstLine="560" w:firstLineChars="200"/>
        <w:jc w:val="both"/>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项目概况：</w:t>
      </w:r>
      <w:r>
        <w:rPr>
          <w:rFonts w:hint="eastAsia" w:ascii="仿宋" w:hAnsi="仿宋" w:eastAsia="仿宋" w:cs="仿宋"/>
          <w:color w:val="auto"/>
          <w:sz w:val="28"/>
          <w:szCs w:val="28"/>
          <w:highlight w:val="none"/>
          <w:u w:val="single"/>
        </w:rPr>
        <w:t>“皖蒲1号”石菖蒲种苗采购项目（项目编号：</w:t>
      </w:r>
      <w:r>
        <w:rPr>
          <w:rFonts w:hint="eastAsia" w:ascii="仿宋" w:hAnsi="仿宋" w:eastAsia="仿宋" w:cs="仿宋"/>
          <w:color w:val="auto"/>
          <w:sz w:val="28"/>
          <w:szCs w:val="28"/>
          <w:highlight w:val="none"/>
          <w:u w:val="single"/>
          <w:lang w:eastAsia="zh-CN"/>
        </w:rPr>
        <w:t>DBSCG-2026-117</w:t>
      </w:r>
      <w:r>
        <w:rPr>
          <w:rFonts w:hint="eastAsia" w:ascii="仿宋" w:hAnsi="仿宋" w:eastAsia="仿宋" w:cs="仿宋"/>
          <w:color w:val="auto"/>
          <w:sz w:val="28"/>
          <w:szCs w:val="28"/>
          <w:highlight w:val="none"/>
          <w:u w:val="single"/>
        </w:rPr>
        <w:t>）</w:t>
      </w:r>
      <w:r>
        <w:rPr>
          <w:rFonts w:hint="eastAsia" w:ascii="仿宋" w:hAnsi="仿宋" w:eastAsia="仿宋" w:cs="仿宋"/>
          <w:color w:val="auto"/>
          <w:sz w:val="28"/>
          <w:szCs w:val="28"/>
          <w:highlight w:val="none"/>
        </w:rPr>
        <w:t>的潜在供应商应在</w:t>
      </w:r>
      <w:r>
        <w:rPr>
          <w:rFonts w:hint="eastAsia" w:ascii="仿宋" w:hAnsi="仿宋" w:eastAsia="仿宋" w:cs="仿宋"/>
          <w:color w:val="auto"/>
          <w:sz w:val="28"/>
          <w:szCs w:val="28"/>
          <w:highlight w:val="none"/>
          <w:lang w:eastAsia="zh-CN"/>
        </w:rPr>
        <w:t>安徽霍山国有资产投资控股集团有限公司</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u w:val="none"/>
          <w:lang w:eastAsia="zh-CN"/>
        </w:rPr>
        <w:t>http://www.ahdmig.cn</w:t>
      </w:r>
      <w:r>
        <w:rPr>
          <w:rFonts w:hint="eastAsia" w:ascii="仿宋" w:hAnsi="仿宋" w:eastAsia="仿宋" w:cs="仿宋"/>
          <w:color w:val="auto"/>
          <w:sz w:val="28"/>
          <w:szCs w:val="28"/>
          <w:highlight w:val="none"/>
          <w:u w:val="none"/>
        </w:rPr>
        <w:t>）获取采购文件，并于</w:t>
      </w:r>
      <w:r>
        <w:rPr>
          <w:rFonts w:hint="eastAsia" w:ascii="仿宋" w:hAnsi="仿宋" w:eastAsia="仿宋" w:cs="仿宋"/>
          <w:bCs/>
          <w:color w:val="auto"/>
          <w:sz w:val="28"/>
          <w:szCs w:val="28"/>
          <w:highlight w:val="none"/>
          <w:u w:val="single"/>
          <w:lang w:val="en-US" w:eastAsia="zh-CN"/>
        </w:rPr>
        <w:t>2026</w:t>
      </w:r>
      <w:r>
        <w:rPr>
          <w:rFonts w:hint="eastAsia" w:ascii="仿宋" w:hAnsi="仿宋" w:eastAsia="仿宋" w:cs="仿宋"/>
          <w:bCs/>
          <w:color w:val="auto"/>
          <w:sz w:val="28"/>
          <w:szCs w:val="28"/>
          <w:highlight w:val="none"/>
        </w:rPr>
        <w:t>年</w:t>
      </w:r>
      <w:r>
        <w:rPr>
          <w:rFonts w:hint="eastAsia" w:ascii="仿宋" w:hAnsi="仿宋" w:eastAsia="仿宋" w:cs="仿宋"/>
          <w:bCs/>
          <w:color w:val="auto"/>
          <w:sz w:val="28"/>
          <w:szCs w:val="28"/>
          <w:highlight w:val="none"/>
          <w:u w:val="single"/>
          <w:lang w:val="en-US" w:eastAsia="zh-CN"/>
        </w:rPr>
        <w:t>10</w:t>
      </w:r>
      <w:r>
        <w:rPr>
          <w:rFonts w:hint="eastAsia" w:ascii="仿宋" w:hAnsi="仿宋" w:eastAsia="仿宋" w:cs="仿宋"/>
          <w:bCs/>
          <w:color w:val="auto"/>
          <w:sz w:val="28"/>
          <w:szCs w:val="28"/>
          <w:highlight w:val="none"/>
        </w:rPr>
        <w:t>月</w:t>
      </w:r>
      <w:r>
        <w:rPr>
          <w:rFonts w:hint="eastAsia" w:ascii="仿宋" w:hAnsi="仿宋" w:eastAsia="仿宋" w:cs="仿宋"/>
          <w:bCs/>
          <w:color w:val="auto"/>
          <w:sz w:val="28"/>
          <w:szCs w:val="28"/>
          <w:highlight w:val="none"/>
          <w:u w:val="single"/>
          <w:lang w:val="en-US" w:eastAsia="zh-CN"/>
        </w:rPr>
        <w:t>16</w:t>
      </w:r>
      <w:r>
        <w:rPr>
          <w:rFonts w:hint="eastAsia" w:ascii="仿宋" w:hAnsi="仿宋" w:eastAsia="仿宋" w:cs="仿宋"/>
          <w:bCs/>
          <w:color w:val="auto"/>
          <w:sz w:val="28"/>
          <w:szCs w:val="28"/>
          <w:highlight w:val="none"/>
        </w:rPr>
        <w:t>日</w:t>
      </w:r>
      <w:r>
        <w:rPr>
          <w:rFonts w:hint="eastAsia" w:ascii="仿宋" w:hAnsi="仿宋" w:eastAsia="仿宋" w:cs="仿宋"/>
          <w:bCs/>
          <w:color w:val="auto"/>
          <w:sz w:val="28"/>
          <w:szCs w:val="28"/>
          <w:highlight w:val="none"/>
          <w:u w:val="single"/>
          <w:lang w:val="en-US" w:eastAsia="zh-CN"/>
        </w:rPr>
        <w:t>10</w:t>
      </w:r>
      <w:r>
        <w:rPr>
          <w:rFonts w:hint="eastAsia" w:ascii="仿宋" w:hAnsi="仿宋" w:eastAsia="仿宋" w:cs="仿宋"/>
          <w:bCs/>
          <w:color w:val="auto"/>
          <w:sz w:val="28"/>
          <w:szCs w:val="28"/>
          <w:highlight w:val="none"/>
        </w:rPr>
        <w:t>点</w:t>
      </w:r>
      <w:r>
        <w:rPr>
          <w:rFonts w:hint="eastAsia" w:ascii="仿宋" w:hAnsi="仿宋" w:eastAsia="仿宋" w:cs="仿宋"/>
          <w:bCs/>
          <w:color w:val="auto"/>
          <w:sz w:val="28"/>
          <w:szCs w:val="28"/>
          <w:highlight w:val="none"/>
          <w:u w:val="single"/>
          <w:lang w:val="en-US" w:eastAsia="zh-CN"/>
        </w:rPr>
        <w:t>00</w:t>
      </w:r>
      <w:r>
        <w:rPr>
          <w:rFonts w:hint="eastAsia" w:ascii="仿宋" w:hAnsi="仿宋" w:eastAsia="仿宋" w:cs="仿宋"/>
          <w:bCs/>
          <w:color w:val="auto"/>
          <w:sz w:val="28"/>
          <w:szCs w:val="28"/>
          <w:highlight w:val="none"/>
        </w:rPr>
        <w:t>分</w:t>
      </w:r>
      <w:r>
        <w:rPr>
          <w:rFonts w:hint="eastAsia" w:ascii="仿宋" w:hAnsi="仿宋" w:eastAsia="仿宋" w:cs="仿宋"/>
          <w:color w:val="auto"/>
          <w:sz w:val="28"/>
          <w:szCs w:val="28"/>
          <w:highlight w:val="none"/>
        </w:rPr>
        <w:t>（北京时间）前</w:t>
      </w:r>
      <w:r>
        <w:rPr>
          <w:rFonts w:hint="eastAsia" w:ascii="仿宋" w:hAnsi="仿宋" w:eastAsia="仿宋" w:cs="仿宋"/>
          <w:color w:val="auto"/>
          <w:sz w:val="28"/>
          <w:szCs w:val="28"/>
          <w:highlight w:val="none"/>
          <w:lang w:val="en-US" w:eastAsia="zh-CN"/>
        </w:rPr>
        <w:t>提交</w:t>
      </w:r>
      <w:r>
        <w:rPr>
          <w:rFonts w:hint="eastAsia" w:ascii="仿宋" w:hAnsi="仿宋" w:eastAsia="仿宋" w:cs="仿宋"/>
          <w:color w:val="auto"/>
          <w:sz w:val="28"/>
          <w:szCs w:val="28"/>
          <w:highlight w:val="none"/>
        </w:rPr>
        <w:t>响应文件。</w:t>
      </w:r>
    </w:p>
    <w:p w14:paraId="5F0D980E">
      <w:pPr>
        <w:pStyle w:val="2"/>
        <w:pageBreakBefore w:val="0"/>
        <w:kinsoku/>
        <w:wordWrap/>
        <w:overflowPunct/>
        <w:topLinePunct w:val="0"/>
        <w:autoSpaceDE/>
        <w:autoSpaceDN/>
        <w:bidi w:val="0"/>
        <w:adjustRightInd/>
        <w:snapToGrid/>
        <w:spacing w:before="0" w:after="0" w:line="540" w:lineRule="exact"/>
        <w:ind w:left="0"/>
        <w:jc w:val="both"/>
        <w:textAlignment w:val="auto"/>
        <w:rPr>
          <w:rFonts w:ascii="黑体" w:hAnsi="黑体" w:cs="黑体"/>
          <w:b w:val="0"/>
          <w:bCs/>
          <w:color w:val="auto"/>
          <w:sz w:val="28"/>
          <w:szCs w:val="28"/>
          <w:highlight w:val="none"/>
        </w:rPr>
      </w:pPr>
      <w:bookmarkStart w:id="2" w:name="_Toc31720"/>
      <w:bookmarkStart w:id="3" w:name="_Toc35393629"/>
      <w:bookmarkStart w:id="4" w:name="_Toc35393798"/>
      <w:bookmarkStart w:id="5" w:name="_Toc20658"/>
      <w:bookmarkStart w:id="6" w:name="_Toc28359012"/>
      <w:bookmarkStart w:id="7" w:name="_Toc13970"/>
      <w:bookmarkStart w:id="8" w:name="_Toc9864"/>
      <w:bookmarkStart w:id="9" w:name="_Toc28359089"/>
      <w:r>
        <w:rPr>
          <w:rFonts w:hint="eastAsia" w:ascii="黑体" w:hAnsi="黑体" w:cs="黑体"/>
          <w:b w:val="0"/>
          <w:bCs/>
          <w:color w:val="auto"/>
          <w:sz w:val="28"/>
          <w:szCs w:val="28"/>
          <w:highlight w:val="none"/>
        </w:rPr>
        <w:t>一、项目基本情况</w:t>
      </w:r>
      <w:bookmarkEnd w:id="2"/>
      <w:bookmarkEnd w:id="3"/>
      <w:bookmarkEnd w:id="4"/>
      <w:bookmarkEnd w:id="5"/>
      <w:bookmarkEnd w:id="6"/>
      <w:bookmarkEnd w:id="7"/>
      <w:bookmarkEnd w:id="8"/>
      <w:bookmarkEnd w:id="9"/>
    </w:p>
    <w:p w14:paraId="3F840EB5">
      <w:pPr>
        <w:pageBreakBefore w:val="0"/>
        <w:kinsoku/>
        <w:wordWrap/>
        <w:overflowPunct/>
        <w:topLinePunct w:val="0"/>
        <w:autoSpaceDE/>
        <w:autoSpaceDN/>
        <w:bidi w:val="0"/>
        <w:adjustRightInd/>
        <w:snapToGrid/>
        <w:spacing w:line="540" w:lineRule="exact"/>
        <w:ind w:left="0" w:firstLine="560" w:firstLineChars="200"/>
        <w:jc w:val="both"/>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1、项目编号：</w:t>
      </w:r>
      <w:bookmarkStart w:id="126" w:name="_GoBack"/>
      <w:r>
        <w:rPr>
          <w:rFonts w:hint="eastAsia" w:ascii="仿宋" w:hAnsi="仿宋" w:eastAsia="仿宋" w:cs="仿宋"/>
          <w:color w:val="auto"/>
          <w:sz w:val="28"/>
          <w:szCs w:val="28"/>
          <w:highlight w:val="none"/>
          <w:lang w:eastAsia="zh-CN"/>
        </w:rPr>
        <w:t>DBSCG-2026-117</w:t>
      </w:r>
      <w:bookmarkEnd w:id="126"/>
    </w:p>
    <w:p w14:paraId="3E1C1475">
      <w:pPr>
        <w:pageBreakBefore w:val="0"/>
        <w:kinsoku/>
        <w:wordWrap/>
        <w:overflowPunct/>
        <w:topLinePunct w:val="0"/>
        <w:autoSpaceDE/>
        <w:autoSpaceDN/>
        <w:bidi w:val="0"/>
        <w:adjustRightInd/>
        <w:snapToGrid/>
        <w:spacing w:line="540" w:lineRule="exact"/>
        <w:ind w:left="0" w:firstLine="560" w:firstLineChars="200"/>
        <w:jc w:val="both"/>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2、项目名称：“皖蒲1号”石菖蒲种苗</w:t>
      </w:r>
      <w:r>
        <w:rPr>
          <w:rFonts w:hint="eastAsia" w:ascii="仿宋" w:hAnsi="仿宋" w:eastAsia="仿宋" w:cs="仿宋"/>
          <w:color w:val="auto"/>
          <w:sz w:val="28"/>
          <w:szCs w:val="28"/>
          <w:highlight w:val="none"/>
          <w:lang w:val="en-US" w:eastAsia="zh-CN"/>
        </w:rPr>
        <w:t>采购项目</w:t>
      </w:r>
    </w:p>
    <w:p w14:paraId="5EC258EC">
      <w:pPr>
        <w:pageBreakBefore w:val="0"/>
        <w:kinsoku/>
        <w:wordWrap/>
        <w:overflowPunct/>
        <w:topLinePunct w:val="0"/>
        <w:autoSpaceDE/>
        <w:autoSpaceDN/>
        <w:bidi w:val="0"/>
        <w:adjustRightInd/>
        <w:snapToGrid/>
        <w:spacing w:line="540" w:lineRule="exact"/>
        <w:ind w:left="0" w:firstLine="560" w:firstLineChars="200"/>
        <w:jc w:val="both"/>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3、项目类型：</w:t>
      </w:r>
      <w:r>
        <w:rPr>
          <w:rFonts w:hint="eastAsia" w:ascii="仿宋" w:hAnsi="仿宋" w:eastAsia="仿宋" w:cs="仿宋"/>
          <w:color w:val="auto"/>
          <w:sz w:val="28"/>
          <w:szCs w:val="28"/>
          <w:highlight w:val="none"/>
          <w:lang w:val="en-US" w:eastAsia="zh-CN"/>
        </w:rPr>
        <w:t>货物</w:t>
      </w:r>
      <w:r>
        <w:rPr>
          <w:rFonts w:hint="eastAsia" w:ascii="仿宋" w:hAnsi="仿宋" w:eastAsia="仿宋" w:cs="仿宋"/>
          <w:color w:val="auto"/>
          <w:sz w:val="28"/>
          <w:szCs w:val="28"/>
          <w:highlight w:val="none"/>
        </w:rPr>
        <w:t>类</w:t>
      </w:r>
    </w:p>
    <w:p w14:paraId="7F583876">
      <w:pPr>
        <w:pageBreakBefore w:val="0"/>
        <w:kinsoku/>
        <w:wordWrap/>
        <w:overflowPunct/>
        <w:topLinePunct w:val="0"/>
        <w:autoSpaceDE/>
        <w:autoSpaceDN/>
        <w:bidi w:val="0"/>
        <w:adjustRightInd/>
        <w:snapToGrid/>
        <w:spacing w:line="540" w:lineRule="exact"/>
        <w:ind w:left="0" w:firstLine="560" w:firstLineChars="200"/>
        <w:jc w:val="both"/>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4、采购方式：竞争性</w:t>
      </w:r>
      <w:r>
        <w:rPr>
          <w:rFonts w:hint="eastAsia" w:ascii="仿宋" w:hAnsi="仿宋" w:eastAsia="仿宋" w:cs="仿宋"/>
          <w:color w:val="auto"/>
          <w:sz w:val="28"/>
          <w:szCs w:val="28"/>
          <w:highlight w:val="none"/>
          <w:lang w:eastAsia="zh-CN"/>
        </w:rPr>
        <w:t>谈判</w:t>
      </w:r>
    </w:p>
    <w:p w14:paraId="147FD52C">
      <w:pPr>
        <w:pageBreakBefore w:val="0"/>
        <w:kinsoku/>
        <w:wordWrap/>
        <w:overflowPunct/>
        <w:topLinePunct w:val="0"/>
        <w:autoSpaceDE/>
        <w:autoSpaceDN/>
        <w:bidi w:val="0"/>
        <w:adjustRightInd/>
        <w:snapToGrid/>
        <w:spacing w:line="540" w:lineRule="exact"/>
        <w:ind w:left="0" w:firstLine="560" w:firstLineChars="200"/>
        <w:jc w:val="both"/>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5、预算金额：</w:t>
      </w:r>
      <w:r>
        <w:rPr>
          <w:rFonts w:hint="eastAsia" w:ascii="仿宋" w:hAnsi="仿宋" w:eastAsia="仿宋" w:cs="仿宋"/>
          <w:color w:val="auto"/>
          <w:sz w:val="28"/>
          <w:szCs w:val="28"/>
          <w:highlight w:val="none"/>
          <w:u w:val="single"/>
          <w:lang w:val="en-US" w:eastAsia="zh-CN"/>
        </w:rPr>
        <w:t>35</w:t>
      </w:r>
      <w:r>
        <w:rPr>
          <w:rFonts w:hint="eastAsia" w:ascii="仿宋" w:hAnsi="仿宋" w:eastAsia="仿宋" w:cs="仿宋"/>
          <w:color w:val="auto"/>
          <w:sz w:val="28"/>
          <w:szCs w:val="28"/>
          <w:highlight w:val="none"/>
        </w:rPr>
        <w:t>万元</w:t>
      </w:r>
    </w:p>
    <w:p w14:paraId="2E8BAC7B">
      <w:pPr>
        <w:pageBreakBefore w:val="0"/>
        <w:kinsoku/>
        <w:wordWrap/>
        <w:overflowPunct/>
        <w:topLinePunct w:val="0"/>
        <w:autoSpaceDE/>
        <w:autoSpaceDN/>
        <w:bidi w:val="0"/>
        <w:adjustRightInd/>
        <w:snapToGrid/>
        <w:spacing w:line="540" w:lineRule="exact"/>
        <w:ind w:left="0" w:firstLine="560" w:firstLineChars="200"/>
        <w:jc w:val="both"/>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6、最高限价：</w:t>
      </w:r>
      <w:r>
        <w:rPr>
          <w:rFonts w:hint="eastAsia" w:ascii="仿宋" w:hAnsi="仿宋" w:eastAsia="仿宋" w:cs="仿宋"/>
          <w:color w:val="auto"/>
          <w:sz w:val="28"/>
          <w:szCs w:val="28"/>
          <w:highlight w:val="none"/>
          <w:u w:val="single"/>
          <w:lang w:val="en-US" w:eastAsia="zh-CN"/>
        </w:rPr>
        <w:t>35</w:t>
      </w:r>
      <w:r>
        <w:rPr>
          <w:rFonts w:hint="eastAsia" w:ascii="仿宋" w:hAnsi="仿宋" w:eastAsia="仿宋" w:cs="仿宋"/>
          <w:color w:val="auto"/>
          <w:sz w:val="28"/>
          <w:szCs w:val="28"/>
          <w:highlight w:val="none"/>
        </w:rPr>
        <w:t>万元</w:t>
      </w:r>
      <w:r>
        <w:rPr>
          <w:rFonts w:hint="eastAsia" w:ascii="仿宋" w:hAnsi="仿宋" w:eastAsia="仿宋" w:cs="仿宋"/>
          <w:color w:val="auto"/>
          <w:sz w:val="28"/>
          <w:szCs w:val="28"/>
          <w:highlight w:val="none"/>
          <w:lang w:eastAsia="zh-CN"/>
        </w:rPr>
        <w:t>（0.5元/株）</w:t>
      </w:r>
    </w:p>
    <w:p w14:paraId="70A95FF3">
      <w:pPr>
        <w:pageBreakBefore w:val="0"/>
        <w:widowControl/>
        <w:kinsoku/>
        <w:wordWrap/>
        <w:overflowPunct/>
        <w:topLinePunct w:val="0"/>
        <w:autoSpaceDE/>
        <w:autoSpaceDN/>
        <w:bidi w:val="0"/>
        <w:adjustRightInd/>
        <w:snapToGrid/>
        <w:spacing w:line="540" w:lineRule="exact"/>
        <w:ind w:left="0" w:firstLine="560" w:firstLineChars="200"/>
        <w:jc w:val="both"/>
        <w:textAlignment w:val="auto"/>
        <w:rPr>
          <w:rFonts w:hint="default" w:ascii="仿宋" w:hAnsi="仿宋" w:eastAsia="仿宋" w:cs="仿宋"/>
          <w:color w:val="auto"/>
          <w:sz w:val="28"/>
          <w:szCs w:val="28"/>
          <w:highlight w:val="none"/>
          <w:u w:val="single"/>
          <w:lang w:val="en-US" w:eastAsia="zh-CN"/>
        </w:rPr>
      </w:pPr>
      <w:r>
        <w:rPr>
          <w:rFonts w:hint="eastAsia" w:ascii="仿宋" w:hAnsi="仿宋" w:eastAsia="仿宋" w:cs="仿宋"/>
          <w:color w:val="auto"/>
          <w:sz w:val="28"/>
          <w:szCs w:val="28"/>
          <w:highlight w:val="none"/>
        </w:rPr>
        <w:t>7、采购需求：</w:t>
      </w:r>
      <w:r>
        <w:rPr>
          <w:rFonts w:hint="eastAsia" w:ascii="仿宋" w:hAnsi="仿宋" w:eastAsia="仿宋" w:cs="仿宋"/>
          <w:i w:val="0"/>
          <w:iCs w:val="0"/>
          <w:color w:val="auto"/>
          <w:sz w:val="28"/>
          <w:szCs w:val="28"/>
          <w:highlight w:val="none"/>
          <w:lang w:val="en-US" w:eastAsia="zh-CN"/>
        </w:rPr>
        <w:t>本项目</w:t>
      </w:r>
      <w:r>
        <w:rPr>
          <w:rFonts w:hint="eastAsia" w:ascii="仿宋" w:hAnsi="仿宋" w:eastAsia="仿宋" w:cs="仿宋"/>
          <w:i w:val="0"/>
          <w:iCs w:val="0"/>
          <w:color w:val="auto"/>
          <w:sz w:val="28"/>
          <w:szCs w:val="28"/>
          <w:highlight w:val="none"/>
        </w:rPr>
        <w:t>采购</w:t>
      </w:r>
      <w:r>
        <w:rPr>
          <w:rFonts w:hint="eastAsia" w:ascii="仿宋" w:hAnsi="仿宋" w:eastAsia="仿宋" w:cs="仿宋"/>
          <w:i w:val="0"/>
          <w:iCs w:val="0"/>
          <w:color w:val="auto"/>
          <w:sz w:val="28"/>
          <w:szCs w:val="28"/>
          <w:highlight w:val="none"/>
          <w:lang w:val="en-US" w:eastAsia="zh-CN"/>
        </w:rPr>
        <w:t>货物为</w:t>
      </w:r>
      <w:r>
        <w:rPr>
          <w:rFonts w:hint="eastAsia" w:ascii="仿宋" w:hAnsi="仿宋" w:eastAsia="仿宋" w:cs="仿宋"/>
          <w:i w:val="0"/>
          <w:iCs w:val="0"/>
          <w:color w:val="auto"/>
          <w:sz w:val="28"/>
          <w:szCs w:val="28"/>
          <w:highlight w:val="none"/>
        </w:rPr>
        <w:t>石菖蒲新品种“皖蒲1号”种苗70万株</w:t>
      </w:r>
      <w:r>
        <w:rPr>
          <w:rFonts w:hint="eastAsia" w:ascii="仿宋" w:hAnsi="仿宋" w:eastAsia="仿宋" w:cs="仿宋"/>
          <w:i w:val="0"/>
          <w:iCs w:val="0"/>
          <w:color w:val="auto"/>
          <w:sz w:val="28"/>
          <w:szCs w:val="28"/>
          <w:highlight w:val="none"/>
          <w:lang w:eastAsia="zh-CN"/>
        </w:rPr>
        <w:t>，</w:t>
      </w:r>
      <w:r>
        <w:rPr>
          <w:rFonts w:hint="eastAsia" w:ascii="仿宋" w:hAnsi="仿宋" w:eastAsia="仿宋" w:cs="仿宋"/>
          <w:i w:val="0"/>
          <w:iCs w:val="0"/>
          <w:color w:val="auto"/>
          <w:sz w:val="28"/>
          <w:szCs w:val="28"/>
          <w:highlight w:val="none"/>
          <w:lang w:val="en-US" w:eastAsia="zh-CN"/>
        </w:rPr>
        <w:t>详见采购需求。</w:t>
      </w:r>
    </w:p>
    <w:p w14:paraId="6CF9F2AF">
      <w:pPr>
        <w:pageBreakBefore w:val="0"/>
        <w:widowControl/>
        <w:kinsoku/>
        <w:wordWrap/>
        <w:overflowPunct/>
        <w:topLinePunct w:val="0"/>
        <w:autoSpaceDE/>
        <w:autoSpaceDN/>
        <w:bidi w:val="0"/>
        <w:adjustRightInd/>
        <w:snapToGrid/>
        <w:spacing w:line="540" w:lineRule="exact"/>
        <w:ind w:left="0" w:firstLine="560" w:firstLineChars="200"/>
        <w:jc w:val="both"/>
        <w:textAlignment w:val="auto"/>
        <w:rPr>
          <w:rFonts w:hint="default" w:ascii="仿宋" w:hAnsi="仿宋" w:eastAsia="仿宋" w:cs="仿宋"/>
          <w:color w:val="auto"/>
          <w:sz w:val="28"/>
          <w:szCs w:val="28"/>
          <w:highlight w:val="none"/>
          <w:u w:val="single"/>
          <w:lang w:val="en-US" w:eastAsia="zh-CN"/>
        </w:rPr>
      </w:pPr>
      <w:r>
        <w:rPr>
          <w:rFonts w:hint="eastAsia" w:ascii="仿宋" w:hAnsi="仿宋" w:eastAsia="仿宋" w:cs="仿宋"/>
          <w:color w:val="auto"/>
          <w:sz w:val="28"/>
          <w:szCs w:val="28"/>
          <w:highlight w:val="none"/>
        </w:rPr>
        <w:t>8、合同履行期限：2026年</w:t>
      </w:r>
      <w:r>
        <w:rPr>
          <w:rFonts w:hint="eastAsia" w:ascii="仿宋" w:hAnsi="仿宋" w:eastAsia="仿宋" w:cs="仿宋"/>
          <w:color w:val="auto"/>
          <w:sz w:val="28"/>
          <w:szCs w:val="28"/>
          <w:highlight w:val="none"/>
          <w:lang w:eastAsia="zh-CN"/>
        </w:rPr>
        <w:t>10月21日</w:t>
      </w:r>
      <w:r>
        <w:rPr>
          <w:rFonts w:hint="eastAsia" w:ascii="仿宋" w:hAnsi="仿宋" w:eastAsia="仿宋" w:cs="仿宋"/>
          <w:color w:val="auto"/>
          <w:sz w:val="28"/>
          <w:szCs w:val="28"/>
          <w:highlight w:val="none"/>
        </w:rPr>
        <w:t>前</w:t>
      </w:r>
      <w:r>
        <w:rPr>
          <w:rFonts w:hint="eastAsia" w:ascii="仿宋" w:hAnsi="仿宋" w:eastAsia="仿宋" w:cs="仿宋"/>
          <w:color w:val="auto"/>
          <w:sz w:val="28"/>
          <w:szCs w:val="28"/>
          <w:highlight w:val="none"/>
          <w:lang w:val="en-US" w:eastAsia="zh-CN"/>
        </w:rPr>
        <w:t>完成供货。</w:t>
      </w:r>
    </w:p>
    <w:p w14:paraId="7CEB6FCD">
      <w:pPr>
        <w:pageBreakBefore w:val="0"/>
        <w:kinsoku/>
        <w:wordWrap/>
        <w:overflowPunct/>
        <w:topLinePunct w:val="0"/>
        <w:autoSpaceDE/>
        <w:autoSpaceDN/>
        <w:bidi w:val="0"/>
        <w:adjustRightInd/>
        <w:snapToGrid/>
        <w:spacing w:line="540" w:lineRule="exact"/>
        <w:ind w:left="0" w:firstLine="560" w:firstLineChars="200"/>
        <w:jc w:val="both"/>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9、是否接受联合体：本项目不接受联合体。</w:t>
      </w:r>
    </w:p>
    <w:p w14:paraId="55F43B44">
      <w:pPr>
        <w:pStyle w:val="2"/>
        <w:pageBreakBefore w:val="0"/>
        <w:kinsoku/>
        <w:wordWrap/>
        <w:overflowPunct/>
        <w:topLinePunct w:val="0"/>
        <w:autoSpaceDE/>
        <w:autoSpaceDN/>
        <w:bidi w:val="0"/>
        <w:adjustRightInd/>
        <w:snapToGrid/>
        <w:spacing w:before="0" w:after="0" w:line="540" w:lineRule="exact"/>
        <w:ind w:left="0"/>
        <w:jc w:val="both"/>
        <w:textAlignment w:val="auto"/>
        <w:rPr>
          <w:rFonts w:ascii="黑体" w:hAnsi="黑体" w:cs="黑体"/>
          <w:b w:val="0"/>
          <w:bCs/>
          <w:color w:val="auto"/>
          <w:sz w:val="28"/>
          <w:szCs w:val="28"/>
          <w:highlight w:val="none"/>
        </w:rPr>
      </w:pPr>
      <w:bookmarkStart w:id="10" w:name="_Toc31029"/>
      <w:bookmarkStart w:id="11" w:name="_Toc24573"/>
      <w:bookmarkStart w:id="12" w:name="_Toc28359090"/>
      <w:bookmarkStart w:id="13" w:name="_Toc35393799"/>
      <w:bookmarkStart w:id="14" w:name="_Toc35393630"/>
      <w:bookmarkStart w:id="15" w:name="_Toc8072"/>
      <w:bookmarkStart w:id="16" w:name="_Toc18558"/>
      <w:bookmarkStart w:id="17" w:name="_Toc28359013"/>
      <w:bookmarkStart w:id="18" w:name="_Toc28359014"/>
      <w:bookmarkStart w:id="19" w:name="_Toc28359091"/>
      <w:r>
        <w:rPr>
          <w:rFonts w:hint="eastAsia" w:ascii="黑体" w:hAnsi="黑体" w:cs="黑体"/>
          <w:b w:val="0"/>
          <w:bCs/>
          <w:color w:val="auto"/>
          <w:sz w:val="28"/>
          <w:szCs w:val="28"/>
          <w:highlight w:val="none"/>
        </w:rPr>
        <w:t>二、申请人的资格要求</w:t>
      </w:r>
      <w:bookmarkEnd w:id="10"/>
      <w:bookmarkEnd w:id="11"/>
      <w:bookmarkEnd w:id="12"/>
      <w:bookmarkEnd w:id="13"/>
      <w:bookmarkEnd w:id="14"/>
      <w:bookmarkEnd w:id="15"/>
      <w:bookmarkEnd w:id="16"/>
      <w:bookmarkEnd w:id="17"/>
    </w:p>
    <w:p w14:paraId="3586D5C6">
      <w:pPr>
        <w:pageBreakBefore w:val="0"/>
        <w:kinsoku/>
        <w:wordWrap/>
        <w:overflowPunct/>
        <w:topLinePunct w:val="0"/>
        <w:autoSpaceDE/>
        <w:autoSpaceDN/>
        <w:bidi w:val="0"/>
        <w:adjustRightInd/>
        <w:snapToGrid/>
        <w:spacing w:line="540" w:lineRule="exact"/>
        <w:ind w:left="0" w:firstLine="560" w:firstLineChars="200"/>
        <w:jc w:val="both"/>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供应商须具有有效的营业执照</w:t>
      </w:r>
      <w:r>
        <w:rPr>
          <w:rFonts w:hint="eastAsia" w:ascii="仿宋" w:hAnsi="仿宋" w:eastAsia="仿宋" w:cs="仿宋"/>
          <w:color w:val="auto"/>
          <w:sz w:val="28"/>
          <w:szCs w:val="28"/>
          <w:highlight w:val="none"/>
        </w:rPr>
        <w:t>；</w:t>
      </w:r>
    </w:p>
    <w:p w14:paraId="4AACD6E7">
      <w:pPr>
        <w:pageBreakBefore w:val="0"/>
        <w:kinsoku/>
        <w:wordWrap/>
        <w:overflowPunct/>
        <w:topLinePunct w:val="0"/>
        <w:autoSpaceDE/>
        <w:autoSpaceDN/>
        <w:bidi w:val="0"/>
        <w:adjustRightInd/>
        <w:snapToGrid/>
        <w:spacing w:line="54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2、本项目的特定资格要求：</w:t>
      </w:r>
    </w:p>
    <w:p w14:paraId="431B50BC">
      <w:pPr>
        <w:pageBreakBefore w:val="0"/>
        <w:kinsoku/>
        <w:wordWrap/>
        <w:overflowPunct/>
        <w:topLinePunct w:val="0"/>
        <w:autoSpaceDE/>
        <w:autoSpaceDN/>
        <w:bidi w:val="0"/>
        <w:adjustRightInd/>
        <w:snapToGrid/>
        <w:spacing w:line="540" w:lineRule="exact"/>
        <w:ind w:left="0" w:firstLine="560" w:firstLineChars="200"/>
        <w:jc w:val="both"/>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1）供应商应为石菖蒲新品种“皖蒲1号”品种鉴定登记证书登记单位，或提供登记单位出具的“皖蒲1号”种源证明；</w:t>
      </w:r>
    </w:p>
    <w:p w14:paraId="33FFFBF6">
      <w:pPr>
        <w:pageBreakBefore w:val="0"/>
        <w:kinsoku/>
        <w:wordWrap/>
        <w:overflowPunct/>
        <w:topLinePunct w:val="0"/>
        <w:autoSpaceDE/>
        <w:autoSpaceDN/>
        <w:bidi w:val="0"/>
        <w:adjustRightInd/>
        <w:snapToGrid/>
        <w:spacing w:line="540" w:lineRule="exact"/>
        <w:ind w:left="0" w:firstLine="560" w:firstLineChars="200"/>
        <w:jc w:val="both"/>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（2）供应商需提供20亩以上石菖蒲新品种“皖蒲1号”种植基地证明材料（属地政府或主管部门证明）。</w:t>
      </w:r>
    </w:p>
    <w:p w14:paraId="2A5B3399">
      <w:pPr>
        <w:pStyle w:val="2"/>
        <w:pageBreakBefore w:val="0"/>
        <w:kinsoku/>
        <w:wordWrap/>
        <w:overflowPunct/>
        <w:topLinePunct w:val="0"/>
        <w:autoSpaceDE/>
        <w:autoSpaceDN/>
        <w:bidi w:val="0"/>
        <w:adjustRightInd/>
        <w:snapToGrid/>
        <w:spacing w:before="0" w:after="0" w:line="540" w:lineRule="exact"/>
        <w:ind w:left="0"/>
        <w:jc w:val="both"/>
        <w:textAlignment w:val="auto"/>
        <w:rPr>
          <w:rFonts w:ascii="黑体" w:hAnsi="黑体" w:cs="黑体"/>
          <w:b w:val="0"/>
          <w:bCs/>
          <w:color w:val="auto"/>
          <w:sz w:val="28"/>
          <w:szCs w:val="28"/>
          <w:highlight w:val="none"/>
        </w:rPr>
      </w:pPr>
      <w:bookmarkStart w:id="20" w:name="_Toc35393631"/>
      <w:bookmarkStart w:id="21" w:name="_Toc35393800"/>
      <w:bookmarkStart w:id="22" w:name="_Toc32583"/>
      <w:bookmarkStart w:id="23" w:name="_Toc23310"/>
      <w:bookmarkStart w:id="24" w:name="_Toc26634"/>
      <w:bookmarkStart w:id="25" w:name="_Toc575"/>
      <w:r>
        <w:rPr>
          <w:rFonts w:hint="eastAsia" w:ascii="黑体" w:hAnsi="黑体" w:cs="黑体"/>
          <w:b w:val="0"/>
          <w:bCs/>
          <w:color w:val="auto"/>
          <w:sz w:val="28"/>
          <w:szCs w:val="28"/>
          <w:highlight w:val="none"/>
        </w:rPr>
        <w:t>三、获取采购文件</w:t>
      </w:r>
      <w:bookmarkEnd w:id="18"/>
      <w:bookmarkEnd w:id="19"/>
      <w:bookmarkEnd w:id="20"/>
      <w:bookmarkEnd w:id="21"/>
      <w:bookmarkEnd w:id="22"/>
      <w:bookmarkEnd w:id="23"/>
      <w:bookmarkEnd w:id="24"/>
      <w:bookmarkEnd w:id="25"/>
    </w:p>
    <w:p w14:paraId="238E7DF5">
      <w:pPr>
        <w:pageBreakBefore w:val="0"/>
        <w:kinsoku/>
        <w:wordWrap/>
        <w:overflowPunct/>
        <w:topLinePunct w:val="0"/>
        <w:autoSpaceDE/>
        <w:autoSpaceDN/>
        <w:bidi w:val="0"/>
        <w:adjustRightInd/>
        <w:snapToGrid/>
        <w:spacing w:line="540" w:lineRule="exact"/>
        <w:ind w:left="0" w:firstLine="560" w:firstLineChars="200"/>
        <w:jc w:val="both"/>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1、时间：</w:t>
      </w:r>
      <w:r>
        <w:rPr>
          <w:rFonts w:hint="eastAsia" w:ascii="仿宋" w:hAnsi="仿宋" w:eastAsia="仿宋" w:cs="仿宋"/>
          <w:bCs/>
          <w:color w:val="auto"/>
          <w:sz w:val="28"/>
          <w:szCs w:val="28"/>
          <w:highlight w:val="none"/>
          <w:u w:val="single"/>
          <w:lang w:val="en-US" w:eastAsia="zh-CN"/>
        </w:rPr>
        <w:t>2026</w:t>
      </w:r>
      <w:r>
        <w:rPr>
          <w:rFonts w:hint="eastAsia" w:ascii="仿宋" w:hAnsi="仿宋" w:eastAsia="仿宋" w:cs="仿宋"/>
          <w:bCs/>
          <w:color w:val="auto"/>
          <w:sz w:val="28"/>
          <w:szCs w:val="28"/>
          <w:highlight w:val="none"/>
        </w:rPr>
        <w:t>年</w:t>
      </w:r>
      <w:r>
        <w:rPr>
          <w:rFonts w:hint="eastAsia" w:ascii="仿宋" w:hAnsi="仿宋" w:eastAsia="仿宋" w:cs="仿宋"/>
          <w:bCs/>
          <w:color w:val="auto"/>
          <w:sz w:val="28"/>
          <w:szCs w:val="28"/>
          <w:highlight w:val="none"/>
          <w:u w:val="single"/>
          <w:lang w:val="en-US" w:eastAsia="zh-CN"/>
        </w:rPr>
        <w:t>10</w:t>
      </w:r>
      <w:r>
        <w:rPr>
          <w:rFonts w:hint="eastAsia" w:ascii="仿宋" w:hAnsi="仿宋" w:eastAsia="仿宋" w:cs="仿宋"/>
          <w:bCs/>
          <w:color w:val="auto"/>
          <w:sz w:val="28"/>
          <w:szCs w:val="28"/>
          <w:highlight w:val="none"/>
        </w:rPr>
        <w:t>月</w:t>
      </w:r>
      <w:r>
        <w:rPr>
          <w:rFonts w:hint="eastAsia" w:ascii="仿宋" w:hAnsi="仿宋" w:eastAsia="仿宋" w:cs="仿宋"/>
          <w:bCs/>
          <w:color w:val="auto"/>
          <w:sz w:val="28"/>
          <w:szCs w:val="28"/>
          <w:highlight w:val="none"/>
          <w:u w:val="single"/>
          <w:lang w:val="en-US" w:eastAsia="zh-CN"/>
        </w:rPr>
        <w:t>13</w:t>
      </w:r>
      <w:r>
        <w:rPr>
          <w:rFonts w:hint="eastAsia" w:ascii="仿宋" w:hAnsi="仿宋" w:eastAsia="仿宋" w:cs="仿宋"/>
          <w:bCs/>
          <w:color w:val="auto"/>
          <w:sz w:val="28"/>
          <w:szCs w:val="28"/>
          <w:highlight w:val="none"/>
        </w:rPr>
        <w:t>日至</w:t>
      </w:r>
      <w:r>
        <w:rPr>
          <w:rFonts w:hint="eastAsia" w:ascii="仿宋" w:hAnsi="仿宋" w:eastAsia="仿宋" w:cs="仿宋"/>
          <w:bCs/>
          <w:color w:val="auto"/>
          <w:sz w:val="28"/>
          <w:szCs w:val="28"/>
          <w:highlight w:val="none"/>
          <w:u w:val="single"/>
          <w:lang w:val="en-US" w:eastAsia="zh-CN"/>
        </w:rPr>
        <w:t>2026</w:t>
      </w:r>
      <w:r>
        <w:rPr>
          <w:rFonts w:hint="eastAsia" w:ascii="仿宋" w:hAnsi="仿宋" w:eastAsia="仿宋" w:cs="仿宋"/>
          <w:bCs/>
          <w:color w:val="auto"/>
          <w:sz w:val="28"/>
          <w:szCs w:val="28"/>
          <w:highlight w:val="none"/>
        </w:rPr>
        <w:t>年</w:t>
      </w:r>
      <w:r>
        <w:rPr>
          <w:rFonts w:hint="eastAsia" w:ascii="仿宋" w:hAnsi="仿宋" w:eastAsia="仿宋" w:cs="仿宋"/>
          <w:bCs/>
          <w:color w:val="auto"/>
          <w:sz w:val="28"/>
          <w:szCs w:val="28"/>
          <w:highlight w:val="none"/>
          <w:u w:val="single"/>
          <w:lang w:val="en-US" w:eastAsia="zh-CN"/>
        </w:rPr>
        <w:t>10</w:t>
      </w:r>
      <w:r>
        <w:rPr>
          <w:rFonts w:hint="eastAsia" w:ascii="仿宋" w:hAnsi="仿宋" w:eastAsia="仿宋" w:cs="仿宋"/>
          <w:bCs/>
          <w:color w:val="auto"/>
          <w:sz w:val="28"/>
          <w:szCs w:val="28"/>
          <w:highlight w:val="none"/>
        </w:rPr>
        <w:t>月</w:t>
      </w:r>
      <w:r>
        <w:rPr>
          <w:rFonts w:hint="eastAsia" w:ascii="仿宋" w:hAnsi="仿宋" w:eastAsia="仿宋" w:cs="仿宋"/>
          <w:bCs/>
          <w:color w:val="auto"/>
          <w:sz w:val="28"/>
          <w:szCs w:val="28"/>
          <w:highlight w:val="none"/>
          <w:u w:val="single"/>
          <w:lang w:val="en-US" w:eastAsia="zh-CN"/>
        </w:rPr>
        <w:t>16</w:t>
      </w:r>
      <w:r>
        <w:rPr>
          <w:rFonts w:hint="eastAsia" w:ascii="仿宋" w:hAnsi="仿宋" w:eastAsia="仿宋" w:cs="仿宋"/>
          <w:bCs/>
          <w:color w:val="auto"/>
          <w:sz w:val="28"/>
          <w:szCs w:val="28"/>
          <w:highlight w:val="none"/>
        </w:rPr>
        <w:t>日</w:t>
      </w:r>
      <w:r>
        <w:rPr>
          <w:rFonts w:hint="eastAsia" w:ascii="仿宋" w:hAnsi="仿宋" w:eastAsia="仿宋" w:cs="仿宋"/>
          <w:bCs/>
          <w:color w:val="auto"/>
          <w:sz w:val="28"/>
          <w:szCs w:val="28"/>
          <w:highlight w:val="none"/>
          <w:u w:val="single"/>
          <w:lang w:val="en-US" w:eastAsia="zh-CN"/>
        </w:rPr>
        <w:t>10</w:t>
      </w:r>
      <w:r>
        <w:rPr>
          <w:rFonts w:hint="eastAsia" w:ascii="仿宋" w:hAnsi="仿宋" w:eastAsia="仿宋" w:cs="仿宋"/>
          <w:bCs/>
          <w:color w:val="auto"/>
          <w:sz w:val="28"/>
          <w:szCs w:val="28"/>
          <w:highlight w:val="none"/>
        </w:rPr>
        <w:t>点</w:t>
      </w:r>
      <w:r>
        <w:rPr>
          <w:rFonts w:hint="eastAsia" w:ascii="仿宋" w:hAnsi="仿宋" w:eastAsia="仿宋" w:cs="仿宋"/>
          <w:bCs/>
          <w:color w:val="auto"/>
          <w:sz w:val="28"/>
          <w:szCs w:val="28"/>
          <w:highlight w:val="none"/>
          <w:u w:val="single"/>
          <w:lang w:val="en-US" w:eastAsia="zh-CN"/>
        </w:rPr>
        <w:t>00</w:t>
      </w:r>
      <w:r>
        <w:rPr>
          <w:rFonts w:hint="eastAsia" w:ascii="仿宋" w:hAnsi="仿宋" w:eastAsia="仿宋" w:cs="仿宋"/>
          <w:bCs/>
          <w:color w:val="auto"/>
          <w:sz w:val="28"/>
          <w:szCs w:val="28"/>
          <w:highlight w:val="none"/>
        </w:rPr>
        <w:t>分</w:t>
      </w:r>
      <w:r>
        <w:rPr>
          <w:rFonts w:hint="eastAsia" w:ascii="仿宋" w:hAnsi="仿宋" w:eastAsia="仿宋" w:cs="仿宋"/>
          <w:color w:val="auto"/>
          <w:sz w:val="28"/>
          <w:szCs w:val="28"/>
          <w:highlight w:val="none"/>
        </w:rPr>
        <w:t>（北京时间）</w:t>
      </w:r>
    </w:p>
    <w:p w14:paraId="0993DFB7">
      <w:pPr>
        <w:pageBreakBefore w:val="0"/>
        <w:kinsoku/>
        <w:wordWrap/>
        <w:overflowPunct/>
        <w:topLinePunct w:val="0"/>
        <w:autoSpaceDE/>
        <w:autoSpaceDN/>
        <w:bidi w:val="0"/>
        <w:adjustRightInd/>
        <w:snapToGrid/>
        <w:spacing w:line="540" w:lineRule="exact"/>
        <w:ind w:left="0" w:firstLine="560" w:firstLineChars="200"/>
        <w:jc w:val="both"/>
        <w:textAlignment w:val="auto"/>
        <w:rPr>
          <w:rFonts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2、地点：</w:t>
      </w:r>
      <w:r>
        <w:rPr>
          <w:rFonts w:hint="eastAsia" w:ascii="仿宋" w:hAnsi="仿宋" w:eastAsia="仿宋" w:cs="仿宋"/>
          <w:color w:val="auto"/>
          <w:sz w:val="28"/>
          <w:szCs w:val="28"/>
          <w:highlight w:val="none"/>
          <w:lang w:eastAsia="zh-CN"/>
        </w:rPr>
        <w:t>安徽霍山国有资产投资控股集团有限公司</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u w:val="none"/>
          <w:lang w:eastAsia="zh-CN"/>
        </w:rPr>
        <w:t>http://www.ahdmig.cn</w:t>
      </w:r>
      <w:r>
        <w:rPr>
          <w:rFonts w:hint="eastAsia" w:ascii="仿宋" w:hAnsi="仿宋" w:eastAsia="仿宋" w:cs="仿宋"/>
          <w:color w:val="auto"/>
          <w:sz w:val="28"/>
          <w:szCs w:val="28"/>
          <w:highlight w:val="none"/>
        </w:rPr>
        <w:t>）</w:t>
      </w:r>
    </w:p>
    <w:p w14:paraId="2800E977">
      <w:pPr>
        <w:pageBreakBefore w:val="0"/>
        <w:widowControl/>
        <w:shd w:val="clear" w:color="auto" w:fill="FFFFFF"/>
        <w:kinsoku/>
        <w:wordWrap/>
        <w:overflowPunct/>
        <w:topLinePunct w:val="0"/>
        <w:autoSpaceDE/>
        <w:autoSpaceDN/>
        <w:bidi w:val="0"/>
        <w:adjustRightInd/>
        <w:snapToGrid/>
        <w:spacing w:line="540" w:lineRule="exact"/>
        <w:ind w:left="0" w:firstLine="560" w:firstLineChars="200"/>
        <w:jc w:val="both"/>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3、获取方式：</w:t>
      </w:r>
      <w:r>
        <w:rPr>
          <w:rFonts w:hint="eastAsia" w:ascii="仿宋" w:hAnsi="仿宋" w:eastAsia="仿宋" w:cs="仿宋"/>
          <w:color w:val="auto"/>
          <w:sz w:val="28"/>
          <w:szCs w:val="28"/>
          <w:highlight w:val="none"/>
          <w:lang w:val="en-US" w:eastAsia="zh-CN"/>
        </w:rPr>
        <w:t>网上下载</w:t>
      </w:r>
    </w:p>
    <w:p w14:paraId="5BAADB06">
      <w:pPr>
        <w:pageBreakBefore w:val="0"/>
        <w:kinsoku/>
        <w:wordWrap/>
        <w:overflowPunct/>
        <w:topLinePunct w:val="0"/>
        <w:autoSpaceDE/>
        <w:autoSpaceDN/>
        <w:bidi w:val="0"/>
        <w:adjustRightInd/>
        <w:snapToGrid/>
        <w:spacing w:line="540" w:lineRule="exact"/>
        <w:ind w:left="0" w:firstLine="560" w:firstLineChars="200"/>
        <w:jc w:val="both"/>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4、售价：零元</w:t>
      </w:r>
    </w:p>
    <w:p w14:paraId="71DBEA73">
      <w:pPr>
        <w:pStyle w:val="2"/>
        <w:pageBreakBefore w:val="0"/>
        <w:kinsoku/>
        <w:wordWrap/>
        <w:overflowPunct/>
        <w:topLinePunct w:val="0"/>
        <w:autoSpaceDE/>
        <w:autoSpaceDN/>
        <w:bidi w:val="0"/>
        <w:adjustRightInd/>
        <w:snapToGrid/>
        <w:spacing w:before="0" w:after="0" w:line="540" w:lineRule="exact"/>
        <w:ind w:left="0"/>
        <w:jc w:val="both"/>
        <w:textAlignment w:val="auto"/>
        <w:rPr>
          <w:rFonts w:ascii="黑体" w:hAnsi="黑体" w:cs="黑体"/>
          <w:b w:val="0"/>
          <w:bCs/>
          <w:color w:val="auto"/>
          <w:sz w:val="28"/>
          <w:szCs w:val="28"/>
          <w:highlight w:val="none"/>
        </w:rPr>
      </w:pPr>
      <w:bookmarkStart w:id="26" w:name="_Toc28359092"/>
      <w:bookmarkStart w:id="27" w:name="_Toc28359015"/>
      <w:bookmarkStart w:id="28" w:name="_Toc35393801"/>
      <w:bookmarkStart w:id="29" w:name="_Toc35393632"/>
      <w:bookmarkStart w:id="30" w:name="_Toc30719"/>
      <w:bookmarkStart w:id="31" w:name="_Toc26077"/>
      <w:bookmarkStart w:id="32" w:name="_Toc7401"/>
      <w:bookmarkStart w:id="33" w:name="_Toc2740"/>
      <w:r>
        <w:rPr>
          <w:rFonts w:hint="eastAsia" w:ascii="黑体" w:hAnsi="黑体" w:cs="黑体"/>
          <w:b w:val="0"/>
          <w:bCs/>
          <w:color w:val="auto"/>
          <w:sz w:val="28"/>
          <w:szCs w:val="28"/>
          <w:highlight w:val="none"/>
        </w:rPr>
        <w:t>四、响应文件</w:t>
      </w:r>
      <w:bookmarkEnd w:id="26"/>
      <w:bookmarkEnd w:id="27"/>
      <w:bookmarkEnd w:id="28"/>
      <w:bookmarkEnd w:id="29"/>
      <w:r>
        <w:rPr>
          <w:rFonts w:hint="eastAsia" w:ascii="黑体" w:hAnsi="黑体" w:cs="黑体"/>
          <w:b w:val="0"/>
          <w:bCs/>
          <w:color w:val="auto"/>
          <w:sz w:val="28"/>
          <w:szCs w:val="28"/>
          <w:highlight w:val="none"/>
        </w:rPr>
        <w:t>提交</w:t>
      </w:r>
      <w:bookmarkEnd w:id="30"/>
      <w:bookmarkEnd w:id="31"/>
      <w:bookmarkEnd w:id="32"/>
      <w:bookmarkEnd w:id="33"/>
    </w:p>
    <w:p w14:paraId="654905F7">
      <w:pPr>
        <w:pageBreakBefore w:val="0"/>
        <w:kinsoku/>
        <w:wordWrap/>
        <w:overflowPunct/>
        <w:topLinePunct w:val="0"/>
        <w:autoSpaceDE/>
        <w:autoSpaceDN/>
        <w:bidi w:val="0"/>
        <w:adjustRightInd/>
        <w:snapToGrid/>
        <w:spacing w:line="540" w:lineRule="exact"/>
        <w:ind w:left="0" w:firstLine="560" w:firstLineChars="200"/>
        <w:jc w:val="both"/>
        <w:textAlignment w:val="auto"/>
        <w:rPr>
          <w:rFonts w:ascii="仿宋" w:hAnsi="仿宋" w:eastAsia="仿宋" w:cs="仿宋"/>
          <w:bCs/>
          <w:color w:val="auto"/>
          <w:sz w:val="28"/>
          <w:szCs w:val="28"/>
          <w:highlight w:val="none"/>
        </w:rPr>
      </w:pPr>
      <w:r>
        <w:rPr>
          <w:rFonts w:hint="eastAsia" w:ascii="仿宋" w:hAnsi="仿宋" w:eastAsia="仿宋" w:cs="仿宋"/>
          <w:color w:val="auto"/>
          <w:sz w:val="28"/>
          <w:szCs w:val="28"/>
          <w:highlight w:val="none"/>
        </w:rPr>
        <w:t>1、截止时间：</w:t>
      </w:r>
      <w:r>
        <w:rPr>
          <w:rFonts w:hint="eastAsia" w:ascii="仿宋" w:hAnsi="仿宋" w:eastAsia="仿宋" w:cs="仿宋"/>
          <w:bCs/>
          <w:color w:val="auto"/>
          <w:sz w:val="28"/>
          <w:szCs w:val="28"/>
          <w:highlight w:val="none"/>
          <w:u w:val="single"/>
          <w:lang w:val="en-US" w:eastAsia="zh-CN"/>
        </w:rPr>
        <w:t>2026</w:t>
      </w:r>
      <w:r>
        <w:rPr>
          <w:rFonts w:hint="eastAsia" w:ascii="仿宋" w:hAnsi="仿宋" w:eastAsia="仿宋" w:cs="仿宋"/>
          <w:bCs/>
          <w:color w:val="auto"/>
          <w:sz w:val="28"/>
          <w:szCs w:val="28"/>
          <w:highlight w:val="none"/>
        </w:rPr>
        <w:t>年</w:t>
      </w:r>
      <w:r>
        <w:rPr>
          <w:rFonts w:hint="eastAsia" w:ascii="仿宋" w:hAnsi="仿宋" w:eastAsia="仿宋" w:cs="仿宋"/>
          <w:bCs/>
          <w:color w:val="auto"/>
          <w:sz w:val="28"/>
          <w:szCs w:val="28"/>
          <w:highlight w:val="none"/>
          <w:u w:val="single"/>
          <w:lang w:val="en-US" w:eastAsia="zh-CN"/>
        </w:rPr>
        <w:t>10</w:t>
      </w:r>
      <w:r>
        <w:rPr>
          <w:rFonts w:hint="eastAsia" w:ascii="仿宋" w:hAnsi="仿宋" w:eastAsia="仿宋" w:cs="仿宋"/>
          <w:bCs/>
          <w:color w:val="auto"/>
          <w:sz w:val="28"/>
          <w:szCs w:val="28"/>
          <w:highlight w:val="none"/>
        </w:rPr>
        <w:t>月</w:t>
      </w:r>
      <w:r>
        <w:rPr>
          <w:rFonts w:hint="eastAsia" w:ascii="仿宋" w:hAnsi="仿宋" w:eastAsia="仿宋" w:cs="仿宋"/>
          <w:bCs/>
          <w:color w:val="auto"/>
          <w:sz w:val="28"/>
          <w:szCs w:val="28"/>
          <w:highlight w:val="none"/>
          <w:u w:val="single"/>
          <w:lang w:val="en-US" w:eastAsia="zh-CN"/>
        </w:rPr>
        <w:t>16</w:t>
      </w:r>
      <w:r>
        <w:rPr>
          <w:rFonts w:hint="eastAsia" w:ascii="仿宋" w:hAnsi="仿宋" w:eastAsia="仿宋" w:cs="仿宋"/>
          <w:bCs/>
          <w:color w:val="auto"/>
          <w:sz w:val="28"/>
          <w:szCs w:val="28"/>
          <w:highlight w:val="none"/>
        </w:rPr>
        <w:t>日</w:t>
      </w:r>
      <w:r>
        <w:rPr>
          <w:rFonts w:hint="eastAsia" w:ascii="仿宋" w:hAnsi="仿宋" w:eastAsia="仿宋" w:cs="仿宋"/>
          <w:bCs/>
          <w:color w:val="auto"/>
          <w:sz w:val="28"/>
          <w:szCs w:val="28"/>
          <w:highlight w:val="none"/>
          <w:u w:val="single"/>
          <w:lang w:val="en-US" w:eastAsia="zh-CN"/>
        </w:rPr>
        <w:t>10</w:t>
      </w:r>
      <w:r>
        <w:rPr>
          <w:rFonts w:hint="eastAsia" w:ascii="仿宋" w:hAnsi="仿宋" w:eastAsia="仿宋" w:cs="仿宋"/>
          <w:bCs/>
          <w:color w:val="auto"/>
          <w:sz w:val="28"/>
          <w:szCs w:val="28"/>
          <w:highlight w:val="none"/>
        </w:rPr>
        <w:t>点</w:t>
      </w:r>
      <w:r>
        <w:rPr>
          <w:rFonts w:hint="eastAsia" w:ascii="仿宋" w:hAnsi="仿宋" w:eastAsia="仿宋" w:cs="仿宋"/>
          <w:bCs/>
          <w:color w:val="auto"/>
          <w:sz w:val="28"/>
          <w:szCs w:val="28"/>
          <w:highlight w:val="none"/>
          <w:u w:val="single"/>
          <w:lang w:val="en-US" w:eastAsia="zh-CN"/>
        </w:rPr>
        <w:t>00</w:t>
      </w:r>
      <w:r>
        <w:rPr>
          <w:rFonts w:hint="eastAsia" w:ascii="仿宋" w:hAnsi="仿宋" w:eastAsia="仿宋" w:cs="仿宋"/>
          <w:bCs/>
          <w:color w:val="auto"/>
          <w:sz w:val="28"/>
          <w:szCs w:val="28"/>
          <w:highlight w:val="none"/>
        </w:rPr>
        <w:t>分（北京时间）</w:t>
      </w:r>
    </w:p>
    <w:p w14:paraId="56D77743">
      <w:pPr>
        <w:pageBreakBefore w:val="0"/>
        <w:widowControl/>
        <w:kinsoku/>
        <w:wordWrap/>
        <w:overflowPunct/>
        <w:topLinePunct w:val="0"/>
        <w:autoSpaceDE/>
        <w:autoSpaceDN/>
        <w:bidi w:val="0"/>
        <w:adjustRightInd/>
        <w:snapToGrid/>
        <w:spacing w:line="540" w:lineRule="exact"/>
        <w:ind w:left="0" w:firstLine="560" w:firstLineChars="200"/>
        <w:jc w:val="both"/>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2、提交方式：</w:t>
      </w:r>
      <w:r>
        <w:rPr>
          <w:rFonts w:hint="eastAsia" w:ascii="仿宋" w:hAnsi="仿宋" w:eastAsia="仿宋" w:cs="仿宋"/>
          <w:color w:val="auto"/>
          <w:kern w:val="0"/>
          <w:sz w:val="28"/>
          <w:szCs w:val="28"/>
          <w:highlight w:val="none"/>
          <w:lang w:val="en-US" w:eastAsia="zh-CN"/>
        </w:rPr>
        <w:t>现场提交纸质响应文件</w:t>
      </w:r>
      <w:r>
        <w:rPr>
          <w:rFonts w:hint="eastAsia" w:ascii="仿宋" w:hAnsi="仿宋" w:eastAsia="仿宋" w:cs="仿宋"/>
          <w:color w:val="auto"/>
          <w:kern w:val="0"/>
          <w:sz w:val="28"/>
          <w:szCs w:val="28"/>
          <w:highlight w:val="none"/>
        </w:rPr>
        <w:t>，</w:t>
      </w:r>
      <w:r>
        <w:rPr>
          <w:rFonts w:hint="eastAsia" w:ascii="仿宋" w:hAnsi="仿宋" w:eastAsia="仿宋" w:cs="仿宋"/>
          <w:color w:val="auto"/>
          <w:kern w:val="0"/>
          <w:sz w:val="28"/>
          <w:szCs w:val="28"/>
          <w:highlight w:val="none"/>
          <w:lang w:val="en-US" w:eastAsia="zh-CN"/>
        </w:rPr>
        <w:t>供应商法定代表人或授权代表</w:t>
      </w:r>
      <w:r>
        <w:rPr>
          <w:rFonts w:hint="eastAsia" w:ascii="仿宋" w:hAnsi="仿宋" w:eastAsia="仿宋" w:cs="仿宋"/>
          <w:color w:val="auto"/>
          <w:kern w:val="0"/>
          <w:sz w:val="28"/>
          <w:szCs w:val="28"/>
          <w:highlight w:val="none"/>
        </w:rPr>
        <w:t>需在截止时间前提交</w:t>
      </w:r>
      <w:r>
        <w:rPr>
          <w:rFonts w:hint="eastAsia" w:ascii="仿宋" w:hAnsi="仿宋" w:eastAsia="仿宋" w:cs="仿宋"/>
          <w:color w:val="auto"/>
          <w:kern w:val="0"/>
          <w:sz w:val="28"/>
          <w:szCs w:val="28"/>
          <w:highlight w:val="none"/>
          <w:lang w:val="en-US" w:eastAsia="zh-CN"/>
        </w:rPr>
        <w:t>响应</w:t>
      </w:r>
      <w:r>
        <w:rPr>
          <w:rFonts w:hint="eastAsia" w:ascii="仿宋" w:hAnsi="仿宋" w:eastAsia="仿宋" w:cs="仿宋"/>
          <w:color w:val="auto"/>
          <w:kern w:val="0"/>
          <w:sz w:val="28"/>
          <w:szCs w:val="28"/>
          <w:highlight w:val="none"/>
        </w:rPr>
        <w:t>文件。</w:t>
      </w:r>
    </w:p>
    <w:p w14:paraId="0D4D7B4D">
      <w:pPr>
        <w:pageBreakBefore w:val="0"/>
        <w:widowControl/>
        <w:kinsoku/>
        <w:wordWrap/>
        <w:overflowPunct/>
        <w:topLinePunct w:val="0"/>
        <w:autoSpaceDE/>
        <w:autoSpaceDN/>
        <w:bidi w:val="0"/>
        <w:adjustRightInd/>
        <w:snapToGrid/>
        <w:spacing w:line="540" w:lineRule="exact"/>
        <w:ind w:left="0" w:firstLine="560" w:firstLineChars="200"/>
        <w:jc w:val="both"/>
        <w:textAlignment w:val="auto"/>
        <w:rPr>
          <w:rFonts w:hint="default"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3、提交地点：霍山县国投大厦2楼201室</w:t>
      </w:r>
    </w:p>
    <w:p w14:paraId="42829225">
      <w:pPr>
        <w:pStyle w:val="2"/>
        <w:pageBreakBefore w:val="0"/>
        <w:kinsoku/>
        <w:wordWrap/>
        <w:overflowPunct/>
        <w:topLinePunct w:val="0"/>
        <w:autoSpaceDE/>
        <w:autoSpaceDN/>
        <w:bidi w:val="0"/>
        <w:adjustRightInd/>
        <w:snapToGrid/>
        <w:spacing w:before="0" w:after="0" w:line="540" w:lineRule="exact"/>
        <w:ind w:left="0"/>
        <w:jc w:val="both"/>
        <w:textAlignment w:val="auto"/>
        <w:rPr>
          <w:rFonts w:ascii="黑体" w:hAnsi="黑体" w:cs="黑体"/>
          <w:b w:val="0"/>
          <w:bCs/>
          <w:color w:val="auto"/>
          <w:sz w:val="28"/>
          <w:szCs w:val="28"/>
          <w:highlight w:val="none"/>
        </w:rPr>
      </w:pPr>
      <w:bookmarkStart w:id="34" w:name="_Toc28359093"/>
      <w:bookmarkStart w:id="35" w:name="_Toc35393802"/>
      <w:bookmarkStart w:id="36" w:name="_Toc28359016"/>
      <w:bookmarkStart w:id="37" w:name="_Toc35393633"/>
      <w:bookmarkStart w:id="38" w:name="_Toc26903"/>
      <w:bookmarkStart w:id="39" w:name="_Toc1586"/>
      <w:bookmarkStart w:id="40" w:name="_Toc11900"/>
      <w:bookmarkStart w:id="41" w:name="_Toc18791"/>
      <w:r>
        <w:rPr>
          <w:rFonts w:hint="eastAsia" w:ascii="黑体" w:hAnsi="黑体" w:cs="黑体"/>
          <w:b w:val="0"/>
          <w:bCs/>
          <w:color w:val="auto"/>
          <w:sz w:val="28"/>
          <w:szCs w:val="28"/>
          <w:highlight w:val="none"/>
        </w:rPr>
        <w:t>五、</w:t>
      </w:r>
      <w:bookmarkEnd w:id="34"/>
      <w:bookmarkEnd w:id="35"/>
      <w:bookmarkEnd w:id="36"/>
      <w:bookmarkEnd w:id="37"/>
      <w:r>
        <w:rPr>
          <w:rFonts w:hint="eastAsia" w:ascii="黑体" w:hAnsi="黑体" w:cs="黑体"/>
          <w:b w:val="0"/>
          <w:bCs/>
          <w:color w:val="auto"/>
          <w:sz w:val="28"/>
          <w:szCs w:val="28"/>
          <w:highlight w:val="none"/>
        </w:rPr>
        <w:t>响应文件开启</w:t>
      </w:r>
      <w:bookmarkEnd w:id="38"/>
      <w:bookmarkEnd w:id="39"/>
      <w:bookmarkEnd w:id="40"/>
      <w:bookmarkEnd w:id="41"/>
    </w:p>
    <w:p w14:paraId="39332A47">
      <w:pPr>
        <w:pageBreakBefore w:val="0"/>
        <w:kinsoku/>
        <w:wordWrap/>
        <w:overflowPunct/>
        <w:topLinePunct w:val="0"/>
        <w:autoSpaceDE/>
        <w:autoSpaceDN/>
        <w:bidi w:val="0"/>
        <w:adjustRightInd/>
        <w:snapToGrid/>
        <w:spacing w:line="540" w:lineRule="exact"/>
        <w:ind w:left="0" w:firstLine="560" w:firstLineChars="200"/>
        <w:jc w:val="both"/>
        <w:textAlignment w:val="auto"/>
        <w:rPr>
          <w:rFonts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1、时间：</w:t>
      </w:r>
      <w:r>
        <w:rPr>
          <w:rFonts w:hint="eastAsia" w:ascii="仿宋" w:hAnsi="仿宋" w:eastAsia="仿宋" w:cs="仿宋"/>
          <w:bCs/>
          <w:color w:val="auto"/>
          <w:sz w:val="28"/>
          <w:szCs w:val="28"/>
          <w:highlight w:val="none"/>
          <w:u w:val="single"/>
          <w:lang w:val="en-US" w:eastAsia="zh-CN"/>
        </w:rPr>
        <w:t>2026</w:t>
      </w:r>
      <w:r>
        <w:rPr>
          <w:rFonts w:hint="eastAsia" w:ascii="仿宋" w:hAnsi="仿宋" w:eastAsia="仿宋" w:cs="仿宋"/>
          <w:bCs/>
          <w:color w:val="auto"/>
          <w:sz w:val="28"/>
          <w:szCs w:val="28"/>
          <w:highlight w:val="none"/>
        </w:rPr>
        <w:t>年</w:t>
      </w:r>
      <w:r>
        <w:rPr>
          <w:rFonts w:hint="eastAsia" w:ascii="仿宋" w:hAnsi="仿宋" w:eastAsia="仿宋" w:cs="仿宋"/>
          <w:bCs/>
          <w:color w:val="auto"/>
          <w:sz w:val="28"/>
          <w:szCs w:val="28"/>
          <w:highlight w:val="none"/>
          <w:u w:val="single"/>
          <w:lang w:val="en-US" w:eastAsia="zh-CN"/>
        </w:rPr>
        <w:t>10</w:t>
      </w:r>
      <w:r>
        <w:rPr>
          <w:rFonts w:hint="eastAsia" w:ascii="仿宋" w:hAnsi="仿宋" w:eastAsia="仿宋" w:cs="仿宋"/>
          <w:bCs/>
          <w:color w:val="auto"/>
          <w:sz w:val="28"/>
          <w:szCs w:val="28"/>
          <w:highlight w:val="none"/>
        </w:rPr>
        <w:t>月</w:t>
      </w:r>
      <w:r>
        <w:rPr>
          <w:rFonts w:hint="eastAsia" w:ascii="仿宋" w:hAnsi="仿宋" w:eastAsia="仿宋" w:cs="仿宋"/>
          <w:bCs/>
          <w:color w:val="auto"/>
          <w:sz w:val="28"/>
          <w:szCs w:val="28"/>
          <w:highlight w:val="none"/>
          <w:u w:val="single"/>
          <w:lang w:val="en-US" w:eastAsia="zh-CN"/>
        </w:rPr>
        <w:t>16</w:t>
      </w:r>
      <w:r>
        <w:rPr>
          <w:rFonts w:hint="eastAsia" w:ascii="仿宋" w:hAnsi="仿宋" w:eastAsia="仿宋" w:cs="仿宋"/>
          <w:bCs/>
          <w:color w:val="auto"/>
          <w:sz w:val="28"/>
          <w:szCs w:val="28"/>
          <w:highlight w:val="none"/>
        </w:rPr>
        <w:t>日</w:t>
      </w:r>
      <w:r>
        <w:rPr>
          <w:rFonts w:hint="eastAsia" w:ascii="仿宋" w:hAnsi="仿宋" w:eastAsia="仿宋" w:cs="仿宋"/>
          <w:bCs/>
          <w:color w:val="auto"/>
          <w:sz w:val="28"/>
          <w:szCs w:val="28"/>
          <w:highlight w:val="none"/>
          <w:u w:val="single"/>
          <w:lang w:val="en-US" w:eastAsia="zh-CN"/>
        </w:rPr>
        <w:t>10</w:t>
      </w:r>
      <w:r>
        <w:rPr>
          <w:rFonts w:hint="eastAsia" w:ascii="仿宋" w:hAnsi="仿宋" w:eastAsia="仿宋" w:cs="仿宋"/>
          <w:bCs/>
          <w:color w:val="auto"/>
          <w:sz w:val="28"/>
          <w:szCs w:val="28"/>
          <w:highlight w:val="none"/>
        </w:rPr>
        <w:t>点</w:t>
      </w:r>
      <w:r>
        <w:rPr>
          <w:rFonts w:hint="eastAsia" w:ascii="仿宋" w:hAnsi="仿宋" w:eastAsia="仿宋" w:cs="仿宋"/>
          <w:bCs/>
          <w:color w:val="auto"/>
          <w:sz w:val="28"/>
          <w:szCs w:val="28"/>
          <w:highlight w:val="none"/>
          <w:u w:val="single"/>
          <w:lang w:val="en-US" w:eastAsia="zh-CN"/>
        </w:rPr>
        <w:t>00</w:t>
      </w:r>
      <w:r>
        <w:rPr>
          <w:rFonts w:hint="eastAsia" w:ascii="仿宋" w:hAnsi="仿宋" w:eastAsia="仿宋" w:cs="仿宋"/>
          <w:bCs/>
          <w:color w:val="auto"/>
          <w:sz w:val="28"/>
          <w:szCs w:val="28"/>
          <w:highlight w:val="none"/>
        </w:rPr>
        <w:t>分</w:t>
      </w:r>
      <w:r>
        <w:rPr>
          <w:rFonts w:hint="eastAsia" w:ascii="仿宋" w:hAnsi="仿宋" w:eastAsia="仿宋" w:cs="仿宋"/>
          <w:color w:val="auto"/>
          <w:sz w:val="28"/>
          <w:szCs w:val="28"/>
          <w:highlight w:val="none"/>
        </w:rPr>
        <w:t>（北京时间）</w:t>
      </w:r>
    </w:p>
    <w:p w14:paraId="391918D8">
      <w:pPr>
        <w:pStyle w:val="14"/>
        <w:pageBreakBefore w:val="0"/>
        <w:kinsoku/>
        <w:wordWrap/>
        <w:overflowPunct/>
        <w:topLinePunct w:val="0"/>
        <w:autoSpaceDE/>
        <w:autoSpaceDN/>
        <w:bidi w:val="0"/>
        <w:adjustRightInd/>
        <w:snapToGrid/>
        <w:spacing w:after="0" w:line="540" w:lineRule="exact"/>
        <w:ind w:left="0" w:firstLine="560" w:firstLineChars="200"/>
        <w:jc w:val="both"/>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2、地点：霍山县国投大厦2楼20</w:t>
      </w:r>
      <w:r>
        <w:rPr>
          <w:rFonts w:hint="eastAsia" w:ascii="仿宋" w:hAnsi="仿宋" w:eastAsia="仿宋" w:cs="仿宋"/>
          <w:color w:val="auto"/>
          <w:sz w:val="28"/>
          <w:szCs w:val="28"/>
          <w:highlight w:val="none"/>
          <w:lang w:val="en-US" w:eastAsia="zh-CN"/>
        </w:rPr>
        <w:t>7</w:t>
      </w:r>
      <w:r>
        <w:rPr>
          <w:rFonts w:hint="eastAsia" w:ascii="仿宋" w:hAnsi="仿宋" w:eastAsia="仿宋" w:cs="仿宋"/>
          <w:color w:val="auto"/>
          <w:sz w:val="28"/>
          <w:szCs w:val="28"/>
          <w:highlight w:val="none"/>
        </w:rPr>
        <w:t>室</w:t>
      </w:r>
    </w:p>
    <w:p w14:paraId="0756F85C">
      <w:pPr>
        <w:pStyle w:val="2"/>
        <w:pageBreakBefore w:val="0"/>
        <w:kinsoku/>
        <w:wordWrap/>
        <w:overflowPunct/>
        <w:topLinePunct w:val="0"/>
        <w:autoSpaceDE/>
        <w:autoSpaceDN/>
        <w:bidi w:val="0"/>
        <w:adjustRightInd/>
        <w:snapToGrid/>
        <w:spacing w:before="0" w:after="0" w:line="540" w:lineRule="exact"/>
        <w:ind w:left="0"/>
        <w:jc w:val="both"/>
        <w:textAlignment w:val="auto"/>
        <w:rPr>
          <w:rFonts w:ascii="黑体" w:hAnsi="黑体" w:cs="黑体"/>
          <w:b w:val="0"/>
          <w:bCs/>
          <w:color w:val="auto"/>
          <w:sz w:val="28"/>
          <w:szCs w:val="28"/>
          <w:highlight w:val="none"/>
        </w:rPr>
      </w:pPr>
      <w:bookmarkStart w:id="42" w:name="_Toc6439"/>
      <w:bookmarkStart w:id="43" w:name="_Toc20464"/>
      <w:bookmarkStart w:id="44" w:name="_Toc3084"/>
      <w:bookmarkStart w:id="45" w:name="_Toc28359017"/>
      <w:bookmarkStart w:id="46" w:name="_Toc35393803"/>
      <w:bookmarkStart w:id="47" w:name="_Toc35393634"/>
      <w:bookmarkStart w:id="48" w:name="_Toc28359094"/>
      <w:bookmarkStart w:id="49" w:name="_Toc29465"/>
      <w:r>
        <w:rPr>
          <w:rFonts w:hint="eastAsia" w:ascii="黑体" w:hAnsi="黑体" w:cs="黑体"/>
          <w:b w:val="0"/>
          <w:bCs/>
          <w:color w:val="auto"/>
          <w:sz w:val="28"/>
          <w:szCs w:val="28"/>
          <w:highlight w:val="none"/>
        </w:rPr>
        <w:t>六、公告期限</w:t>
      </w:r>
      <w:bookmarkEnd w:id="42"/>
      <w:bookmarkEnd w:id="43"/>
      <w:bookmarkEnd w:id="44"/>
      <w:bookmarkEnd w:id="45"/>
      <w:bookmarkEnd w:id="46"/>
      <w:bookmarkEnd w:id="47"/>
      <w:bookmarkEnd w:id="48"/>
      <w:bookmarkEnd w:id="49"/>
    </w:p>
    <w:p w14:paraId="24EC5296">
      <w:pPr>
        <w:pageBreakBefore w:val="0"/>
        <w:kinsoku/>
        <w:wordWrap/>
        <w:overflowPunct/>
        <w:topLinePunct w:val="0"/>
        <w:autoSpaceDE/>
        <w:autoSpaceDN/>
        <w:bidi w:val="0"/>
        <w:adjustRightInd/>
        <w:snapToGrid/>
        <w:spacing w:line="540" w:lineRule="exact"/>
        <w:ind w:left="0" w:firstLine="560" w:firstLineChars="200"/>
        <w:jc w:val="both"/>
        <w:textAlignment w:val="auto"/>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自本公告发布之日起3个工作日。</w:t>
      </w:r>
    </w:p>
    <w:p w14:paraId="0D319563">
      <w:pPr>
        <w:pageBreakBefore w:val="0"/>
        <w:kinsoku/>
        <w:wordWrap/>
        <w:overflowPunct/>
        <w:topLinePunct w:val="0"/>
        <w:autoSpaceDE/>
        <w:autoSpaceDN/>
        <w:bidi w:val="0"/>
        <w:adjustRightInd/>
        <w:snapToGrid/>
        <w:spacing w:line="540" w:lineRule="exact"/>
        <w:ind w:left="0"/>
        <w:jc w:val="both"/>
        <w:textAlignment w:val="auto"/>
        <w:rPr>
          <w:rFonts w:ascii="黑体" w:hAnsi="黑体" w:eastAsia="黑体" w:cs="黑体"/>
          <w:color w:val="auto"/>
          <w:sz w:val="28"/>
          <w:szCs w:val="28"/>
          <w:highlight w:val="none"/>
        </w:rPr>
      </w:pPr>
      <w:r>
        <w:rPr>
          <w:rFonts w:hint="eastAsia" w:ascii="黑体" w:hAnsi="黑体" w:eastAsia="黑体" w:cs="黑体"/>
          <w:color w:val="auto"/>
          <w:sz w:val="28"/>
          <w:szCs w:val="28"/>
          <w:highlight w:val="none"/>
        </w:rPr>
        <w:t>七、</w:t>
      </w:r>
      <w:bookmarkStart w:id="50" w:name="_Toc35393635"/>
      <w:bookmarkStart w:id="51" w:name="_Toc35393804"/>
      <w:r>
        <w:rPr>
          <w:rFonts w:hint="eastAsia" w:ascii="黑体" w:hAnsi="黑体" w:eastAsia="黑体" w:cs="黑体"/>
          <w:color w:val="auto"/>
          <w:sz w:val="28"/>
          <w:szCs w:val="28"/>
          <w:highlight w:val="none"/>
        </w:rPr>
        <w:t>其他事宜</w:t>
      </w:r>
      <w:bookmarkEnd w:id="50"/>
      <w:bookmarkEnd w:id="51"/>
      <w:bookmarkStart w:id="52" w:name="_Toc28359095"/>
      <w:bookmarkStart w:id="53" w:name="_Toc28359018"/>
      <w:bookmarkStart w:id="54" w:name="_Toc35393805"/>
      <w:bookmarkStart w:id="55" w:name="_Toc35393636"/>
    </w:p>
    <w:bookmarkEnd w:id="52"/>
    <w:bookmarkEnd w:id="53"/>
    <w:bookmarkEnd w:id="54"/>
    <w:bookmarkEnd w:id="55"/>
    <w:p w14:paraId="7F595C52">
      <w:pPr>
        <w:keepNext w:val="0"/>
        <w:keepLines w:val="0"/>
        <w:pageBreakBefore w:val="0"/>
        <w:widowControl/>
        <w:shd w:val="clear" w:color="auto" w:fill="FFFFFF"/>
        <w:kinsoku/>
        <w:wordWrap/>
        <w:overflowPunct/>
        <w:topLinePunct w:val="0"/>
        <w:autoSpaceDE/>
        <w:autoSpaceDN/>
        <w:bidi w:val="0"/>
        <w:adjustRightInd/>
        <w:snapToGrid/>
        <w:spacing w:line="540" w:lineRule="exact"/>
        <w:ind w:left="0" w:firstLine="560" w:firstLineChars="200"/>
        <w:jc w:val="both"/>
        <w:textAlignment w:val="auto"/>
        <w:rPr>
          <w:rFonts w:hint="eastAsia" w:ascii="仿宋" w:hAnsi="仿宋" w:eastAsia="仿宋" w:cs="仿宋"/>
          <w:bCs/>
          <w:color w:val="auto"/>
          <w:kern w:val="0"/>
          <w:sz w:val="28"/>
          <w:szCs w:val="28"/>
          <w:highlight w:val="none"/>
        </w:rPr>
      </w:pPr>
      <w:r>
        <w:rPr>
          <w:rFonts w:hint="eastAsia" w:ascii="仿宋" w:hAnsi="仿宋" w:eastAsia="仿宋" w:cs="仿宋"/>
          <w:bCs/>
          <w:color w:val="auto"/>
          <w:kern w:val="0"/>
          <w:sz w:val="28"/>
          <w:szCs w:val="28"/>
          <w:highlight w:val="none"/>
          <w:lang w:val="en-US" w:eastAsia="zh-CN"/>
        </w:rPr>
        <w:t>无</w:t>
      </w:r>
      <w:r>
        <w:rPr>
          <w:rFonts w:hint="eastAsia" w:ascii="仿宋" w:hAnsi="仿宋" w:eastAsia="仿宋" w:cs="仿宋"/>
          <w:bCs/>
          <w:color w:val="auto"/>
          <w:kern w:val="0"/>
          <w:sz w:val="28"/>
          <w:szCs w:val="28"/>
          <w:highlight w:val="none"/>
        </w:rPr>
        <w:t>。</w:t>
      </w:r>
    </w:p>
    <w:p w14:paraId="217E6746">
      <w:pPr>
        <w:pStyle w:val="2"/>
        <w:pageBreakBefore w:val="0"/>
        <w:widowControl/>
        <w:kinsoku/>
        <w:wordWrap/>
        <w:overflowPunct/>
        <w:topLinePunct w:val="0"/>
        <w:autoSpaceDE/>
        <w:autoSpaceDN/>
        <w:bidi w:val="0"/>
        <w:adjustRightInd/>
        <w:snapToGrid/>
        <w:spacing w:before="0" w:after="0" w:line="540" w:lineRule="exact"/>
        <w:ind w:left="0" w:firstLine="0"/>
        <w:jc w:val="both"/>
        <w:textAlignment w:val="auto"/>
        <w:rPr>
          <w:rFonts w:hint="eastAsia" w:ascii="黑体" w:hAnsi="黑体" w:cs="黑体"/>
          <w:b w:val="0"/>
          <w:bCs w:val="0"/>
          <w:color w:val="auto"/>
          <w:kern w:val="0"/>
          <w:sz w:val="28"/>
          <w:szCs w:val="28"/>
          <w:highlight w:val="none"/>
        </w:rPr>
      </w:pPr>
      <w:bookmarkStart w:id="56" w:name="_Toc21041"/>
      <w:bookmarkStart w:id="57" w:name="_Toc19777"/>
      <w:bookmarkStart w:id="58" w:name="_Toc26145"/>
      <w:bookmarkStart w:id="59" w:name="_Toc22370"/>
      <w:r>
        <w:rPr>
          <w:rFonts w:hint="eastAsia" w:ascii="黑体" w:hAnsi="黑体" w:cs="黑体"/>
          <w:b w:val="0"/>
          <w:bCs w:val="0"/>
          <w:color w:val="auto"/>
          <w:kern w:val="0"/>
          <w:sz w:val="28"/>
          <w:szCs w:val="28"/>
          <w:highlight w:val="none"/>
        </w:rPr>
        <w:t>七、对本次招标提出询问，请按以下方式联系。</w:t>
      </w:r>
      <w:bookmarkEnd w:id="56"/>
      <w:bookmarkEnd w:id="57"/>
      <w:bookmarkEnd w:id="58"/>
      <w:bookmarkEnd w:id="59"/>
    </w:p>
    <w:p w14:paraId="0C029C15">
      <w:pPr>
        <w:pageBreakBefore w:val="0"/>
        <w:widowControl/>
        <w:kinsoku/>
        <w:wordWrap/>
        <w:overflowPunct/>
        <w:topLinePunct w:val="0"/>
        <w:autoSpaceDE/>
        <w:autoSpaceDN/>
        <w:bidi w:val="0"/>
        <w:adjustRightInd/>
        <w:snapToGrid/>
        <w:spacing w:line="540" w:lineRule="exact"/>
        <w:ind w:left="0" w:firstLine="560" w:firstLineChars="200"/>
        <w:jc w:val="both"/>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val="en-US" w:eastAsia="zh-CN" w:bidi="ar"/>
        </w:rPr>
        <w:t>1.</w:t>
      </w:r>
      <w:r>
        <w:rPr>
          <w:rFonts w:hint="eastAsia" w:ascii="仿宋" w:hAnsi="仿宋" w:eastAsia="仿宋" w:cs="仿宋"/>
          <w:bCs/>
          <w:color w:val="auto"/>
          <w:sz w:val="28"/>
          <w:szCs w:val="28"/>
          <w:highlight w:val="none"/>
          <w:lang w:bidi="ar"/>
        </w:rPr>
        <w:t>采购人信息</w:t>
      </w:r>
    </w:p>
    <w:p w14:paraId="5AE85E97">
      <w:pPr>
        <w:pageBreakBefore w:val="0"/>
        <w:kinsoku/>
        <w:wordWrap/>
        <w:overflowPunct/>
        <w:topLinePunct w:val="0"/>
        <w:autoSpaceDE/>
        <w:autoSpaceDN/>
        <w:bidi w:val="0"/>
        <w:adjustRightInd/>
        <w:snapToGrid/>
        <w:spacing w:line="540" w:lineRule="exact"/>
        <w:ind w:left="0" w:firstLine="560" w:firstLineChars="200"/>
        <w:jc w:val="both"/>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bidi="ar"/>
        </w:rPr>
        <w:t>名  称：霍山县林业局</w:t>
      </w:r>
    </w:p>
    <w:p w14:paraId="17FE3690">
      <w:pPr>
        <w:pageBreakBefore w:val="0"/>
        <w:kinsoku/>
        <w:wordWrap/>
        <w:overflowPunct/>
        <w:topLinePunct w:val="0"/>
        <w:autoSpaceDE/>
        <w:autoSpaceDN/>
        <w:bidi w:val="0"/>
        <w:adjustRightInd/>
        <w:snapToGrid/>
        <w:spacing w:line="540" w:lineRule="exact"/>
        <w:ind w:left="0" w:firstLine="560" w:firstLineChars="200"/>
        <w:jc w:val="both"/>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bidi="ar"/>
        </w:rPr>
        <w:t>地  址：霍山县政务新区林业大厦</w:t>
      </w:r>
    </w:p>
    <w:p w14:paraId="789BFE29">
      <w:pPr>
        <w:pageBreakBefore w:val="0"/>
        <w:kinsoku/>
        <w:wordWrap/>
        <w:overflowPunct/>
        <w:topLinePunct w:val="0"/>
        <w:autoSpaceDE/>
        <w:autoSpaceDN/>
        <w:bidi w:val="0"/>
        <w:adjustRightInd/>
        <w:snapToGrid/>
        <w:spacing w:line="540" w:lineRule="exact"/>
        <w:ind w:left="0" w:firstLine="560" w:firstLineChars="200"/>
        <w:jc w:val="both"/>
        <w:textAlignment w:val="auto"/>
        <w:rPr>
          <w:rFonts w:hint="default" w:ascii="仿宋" w:hAnsi="仿宋" w:eastAsia="仿宋" w:cs="仿宋"/>
          <w:bCs/>
          <w:color w:val="auto"/>
          <w:sz w:val="28"/>
          <w:szCs w:val="28"/>
          <w:highlight w:val="none"/>
          <w:u w:val="single"/>
          <w:lang w:val="en-US" w:eastAsia="zh-CN"/>
        </w:rPr>
      </w:pPr>
      <w:r>
        <w:rPr>
          <w:rFonts w:hint="eastAsia" w:ascii="仿宋" w:hAnsi="仿宋" w:eastAsia="仿宋" w:cs="仿宋"/>
          <w:bCs/>
          <w:color w:val="auto"/>
          <w:sz w:val="28"/>
          <w:szCs w:val="28"/>
          <w:highlight w:val="none"/>
          <w:lang w:bidi="ar"/>
        </w:rPr>
        <w:t>联系方式：</w:t>
      </w:r>
      <w:r>
        <w:rPr>
          <w:rFonts w:hint="eastAsia" w:ascii="仿宋" w:hAnsi="仿宋" w:eastAsia="仿宋" w:cs="仿宋"/>
          <w:bCs/>
          <w:color w:val="auto"/>
          <w:sz w:val="28"/>
          <w:szCs w:val="28"/>
          <w:highlight w:val="none"/>
          <w:lang w:val="en-US" w:eastAsia="zh-CN" w:bidi="ar"/>
        </w:rPr>
        <w:t>13966288997</w:t>
      </w:r>
    </w:p>
    <w:p w14:paraId="55612322">
      <w:pPr>
        <w:pageBreakBefore w:val="0"/>
        <w:kinsoku/>
        <w:wordWrap/>
        <w:overflowPunct/>
        <w:topLinePunct w:val="0"/>
        <w:autoSpaceDE/>
        <w:autoSpaceDN/>
        <w:bidi w:val="0"/>
        <w:adjustRightInd/>
        <w:snapToGrid/>
        <w:spacing w:line="540" w:lineRule="exact"/>
        <w:ind w:left="0" w:firstLine="560" w:firstLineChars="200"/>
        <w:jc w:val="both"/>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val="en-US" w:eastAsia="zh-CN" w:bidi="ar"/>
        </w:rPr>
        <w:t>2</w:t>
      </w:r>
      <w:r>
        <w:rPr>
          <w:rFonts w:hint="eastAsia" w:ascii="仿宋" w:hAnsi="仿宋" w:eastAsia="仿宋" w:cs="仿宋"/>
          <w:bCs/>
          <w:color w:val="auto"/>
          <w:sz w:val="28"/>
          <w:szCs w:val="28"/>
          <w:highlight w:val="none"/>
          <w:lang w:bidi="ar"/>
        </w:rPr>
        <w:t>.采购代理机构信息</w:t>
      </w:r>
    </w:p>
    <w:p w14:paraId="5FC4E312">
      <w:pPr>
        <w:pageBreakBefore w:val="0"/>
        <w:kinsoku/>
        <w:wordWrap/>
        <w:overflowPunct/>
        <w:topLinePunct w:val="0"/>
        <w:autoSpaceDE/>
        <w:autoSpaceDN/>
        <w:bidi w:val="0"/>
        <w:adjustRightInd/>
        <w:snapToGrid/>
        <w:spacing w:line="540" w:lineRule="exact"/>
        <w:ind w:left="0" w:firstLine="560" w:firstLineChars="200"/>
        <w:jc w:val="both"/>
        <w:textAlignment w:val="auto"/>
        <w:rPr>
          <w:rFonts w:hint="eastAsia" w:ascii="仿宋" w:hAnsi="仿宋" w:eastAsia="仿宋" w:cs="仿宋"/>
          <w:bCs/>
          <w:color w:val="auto"/>
          <w:sz w:val="28"/>
          <w:szCs w:val="28"/>
          <w:highlight w:val="none"/>
          <w:lang w:bidi="ar"/>
        </w:rPr>
      </w:pPr>
      <w:r>
        <w:rPr>
          <w:rFonts w:hint="eastAsia" w:ascii="仿宋" w:hAnsi="仿宋" w:eastAsia="仿宋" w:cs="仿宋"/>
          <w:bCs/>
          <w:color w:val="auto"/>
          <w:sz w:val="28"/>
          <w:szCs w:val="28"/>
          <w:highlight w:val="none"/>
          <w:lang w:bidi="ar"/>
        </w:rPr>
        <w:t>名  称：安徽大别山工程咨询有限公司</w:t>
      </w:r>
    </w:p>
    <w:p w14:paraId="41F8E13E">
      <w:pPr>
        <w:pageBreakBefore w:val="0"/>
        <w:kinsoku/>
        <w:wordWrap/>
        <w:overflowPunct/>
        <w:topLinePunct w:val="0"/>
        <w:autoSpaceDE/>
        <w:autoSpaceDN/>
        <w:bidi w:val="0"/>
        <w:adjustRightInd/>
        <w:snapToGrid/>
        <w:spacing w:line="540" w:lineRule="exact"/>
        <w:ind w:left="0" w:firstLine="560" w:firstLineChars="200"/>
        <w:jc w:val="both"/>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bidi="ar"/>
        </w:rPr>
        <w:t>地  址：</w:t>
      </w:r>
      <w:r>
        <w:rPr>
          <w:rFonts w:hint="eastAsia" w:ascii="仿宋" w:hAnsi="仿宋" w:eastAsia="仿宋" w:cs="仿宋"/>
          <w:bCs/>
          <w:color w:val="auto"/>
          <w:sz w:val="28"/>
          <w:szCs w:val="28"/>
          <w:highlight w:val="none"/>
        </w:rPr>
        <w:t>霍山县国投大厦2楼204室</w:t>
      </w:r>
    </w:p>
    <w:p w14:paraId="092C6FDE">
      <w:pPr>
        <w:pageBreakBefore w:val="0"/>
        <w:kinsoku/>
        <w:wordWrap/>
        <w:overflowPunct/>
        <w:topLinePunct w:val="0"/>
        <w:autoSpaceDE/>
        <w:autoSpaceDN/>
        <w:bidi w:val="0"/>
        <w:adjustRightInd/>
        <w:snapToGrid/>
        <w:spacing w:line="540" w:lineRule="exact"/>
        <w:ind w:left="0" w:firstLine="560" w:firstLineChars="200"/>
        <w:jc w:val="both"/>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bidi="ar"/>
        </w:rPr>
        <w:t>联系方式：0564-5020033，17756405133</w:t>
      </w:r>
    </w:p>
    <w:p w14:paraId="017161AE">
      <w:pPr>
        <w:pageBreakBefore w:val="0"/>
        <w:kinsoku/>
        <w:wordWrap/>
        <w:overflowPunct/>
        <w:topLinePunct w:val="0"/>
        <w:autoSpaceDE/>
        <w:autoSpaceDN/>
        <w:bidi w:val="0"/>
        <w:adjustRightInd/>
        <w:snapToGrid/>
        <w:spacing w:line="540" w:lineRule="exact"/>
        <w:ind w:left="0" w:firstLine="560" w:firstLineChars="200"/>
        <w:jc w:val="both"/>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val="en-US" w:eastAsia="zh-CN" w:bidi="ar"/>
        </w:rPr>
        <w:t>3</w:t>
      </w:r>
      <w:r>
        <w:rPr>
          <w:rFonts w:hint="eastAsia" w:ascii="仿宋" w:hAnsi="仿宋" w:eastAsia="仿宋" w:cs="仿宋"/>
          <w:bCs/>
          <w:color w:val="auto"/>
          <w:sz w:val="28"/>
          <w:szCs w:val="28"/>
          <w:highlight w:val="none"/>
          <w:lang w:bidi="ar"/>
        </w:rPr>
        <w:t>.项目联系方式</w:t>
      </w:r>
    </w:p>
    <w:p w14:paraId="6E691052">
      <w:pPr>
        <w:pageBreakBefore w:val="0"/>
        <w:kinsoku/>
        <w:wordWrap/>
        <w:overflowPunct/>
        <w:topLinePunct w:val="0"/>
        <w:autoSpaceDE/>
        <w:autoSpaceDN/>
        <w:bidi w:val="0"/>
        <w:adjustRightInd/>
        <w:snapToGrid/>
        <w:spacing w:line="540" w:lineRule="exact"/>
        <w:ind w:left="0" w:firstLine="560" w:firstLineChars="200"/>
        <w:jc w:val="both"/>
        <w:textAlignment w:val="auto"/>
        <w:rPr>
          <w:rFonts w:hint="eastAsia" w:ascii="仿宋" w:hAnsi="仿宋" w:eastAsia="仿宋" w:cs="仿宋"/>
          <w:bCs/>
          <w:color w:val="auto"/>
          <w:sz w:val="28"/>
          <w:szCs w:val="28"/>
          <w:highlight w:val="none"/>
          <w:lang w:val="en-US" w:eastAsia="zh-CN" w:bidi="ar"/>
        </w:rPr>
      </w:pPr>
      <w:r>
        <w:rPr>
          <w:rFonts w:hint="eastAsia" w:ascii="仿宋" w:hAnsi="仿宋" w:eastAsia="仿宋" w:cs="仿宋"/>
          <w:bCs/>
          <w:color w:val="auto"/>
          <w:sz w:val="28"/>
          <w:szCs w:val="28"/>
          <w:highlight w:val="none"/>
          <w:lang w:bidi="ar"/>
        </w:rPr>
        <w:t>项目联系人：</w:t>
      </w:r>
      <w:r>
        <w:rPr>
          <w:rFonts w:hint="eastAsia" w:ascii="仿宋" w:hAnsi="仿宋" w:eastAsia="仿宋" w:cs="仿宋"/>
          <w:bCs/>
          <w:color w:val="auto"/>
          <w:sz w:val="28"/>
          <w:szCs w:val="28"/>
          <w:highlight w:val="none"/>
          <w:lang w:val="en-US" w:eastAsia="zh-CN" w:bidi="ar"/>
        </w:rPr>
        <w:t>徐先生</w:t>
      </w:r>
    </w:p>
    <w:p w14:paraId="7D5F19D6">
      <w:pPr>
        <w:pageBreakBefore w:val="0"/>
        <w:kinsoku/>
        <w:wordWrap/>
        <w:overflowPunct/>
        <w:topLinePunct w:val="0"/>
        <w:autoSpaceDE/>
        <w:autoSpaceDN/>
        <w:bidi w:val="0"/>
        <w:adjustRightInd/>
        <w:snapToGrid/>
        <w:spacing w:line="540" w:lineRule="exact"/>
        <w:ind w:left="0" w:firstLine="560" w:firstLineChars="200"/>
        <w:jc w:val="both"/>
        <w:textAlignment w:val="auto"/>
        <w:rPr>
          <w:rFonts w:hint="eastAsia" w:ascii="仿宋" w:hAnsi="仿宋" w:eastAsia="仿宋" w:cs="仿宋"/>
          <w:bCs/>
          <w:color w:val="auto"/>
          <w:sz w:val="28"/>
          <w:szCs w:val="28"/>
          <w:highlight w:val="none"/>
          <w:lang w:bidi="ar"/>
        </w:rPr>
      </w:pPr>
      <w:r>
        <w:rPr>
          <w:rFonts w:hint="eastAsia" w:ascii="仿宋" w:hAnsi="仿宋" w:eastAsia="仿宋" w:cs="仿宋"/>
          <w:bCs/>
          <w:color w:val="auto"/>
          <w:sz w:val="28"/>
          <w:szCs w:val="28"/>
          <w:highlight w:val="none"/>
          <w:lang w:bidi="ar"/>
        </w:rPr>
        <w:t>电  话：0564-5020033，17756405133</w:t>
      </w:r>
    </w:p>
    <w:p w14:paraId="05C59ACB">
      <w:pPr>
        <w:pageBreakBefore w:val="0"/>
        <w:widowControl/>
        <w:kinsoku/>
        <w:wordWrap/>
        <w:overflowPunct/>
        <w:topLinePunct w:val="0"/>
        <w:autoSpaceDE/>
        <w:autoSpaceDN/>
        <w:bidi w:val="0"/>
        <w:adjustRightInd/>
        <w:snapToGrid/>
        <w:spacing w:line="540" w:lineRule="exact"/>
        <w:ind w:left="0" w:firstLine="560" w:firstLineChars="200"/>
        <w:jc w:val="both"/>
        <w:textAlignment w:val="auto"/>
        <w:rPr>
          <w:rFonts w:hint="eastAsia" w:ascii="仿宋" w:hAnsi="仿宋" w:eastAsia="仿宋" w:cs="仿宋"/>
          <w:bCs/>
          <w:color w:val="auto"/>
          <w:sz w:val="28"/>
          <w:szCs w:val="28"/>
          <w:highlight w:val="none"/>
          <w:lang w:bidi="ar"/>
        </w:rPr>
      </w:pPr>
    </w:p>
    <w:p w14:paraId="2F99AC2A">
      <w:pPr>
        <w:pageBreakBefore w:val="0"/>
        <w:kinsoku/>
        <w:wordWrap/>
        <w:overflowPunct/>
        <w:topLinePunct w:val="0"/>
        <w:autoSpaceDE/>
        <w:autoSpaceDN/>
        <w:bidi w:val="0"/>
        <w:adjustRightInd/>
        <w:snapToGrid/>
        <w:spacing w:line="540" w:lineRule="exact"/>
        <w:jc w:val="both"/>
        <w:textAlignment w:val="auto"/>
        <w:rPr>
          <w:rFonts w:hint="eastAsia" w:ascii="仿宋" w:hAnsi="仿宋" w:eastAsia="仿宋" w:cs="仿宋"/>
          <w:bCs/>
          <w:color w:val="auto"/>
          <w:sz w:val="28"/>
          <w:szCs w:val="28"/>
          <w:highlight w:val="none"/>
        </w:rPr>
      </w:pPr>
    </w:p>
    <w:p w14:paraId="2CFB827C">
      <w:pPr>
        <w:spacing w:line="360" w:lineRule="auto"/>
        <w:ind w:firstLine="435"/>
        <w:jc w:val="right"/>
        <w:rPr>
          <w:rFonts w:ascii="宋体" w:hAnsi="宋体" w:eastAsia="宋体"/>
          <w:color w:val="auto"/>
          <w:sz w:val="24"/>
          <w:szCs w:val="18"/>
          <w:highlight w:val="none"/>
        </w:rPr>
      </w:pPr>
      <w:r>
        <w:rPr>
          <w:rFonts w:hint="eastAsia" w:ascii="仿宋" w:hAnsi="仿宋" w:eastAsia="仿宋" w:cs="仿宋"/>
          <w:bCs/>
          <w:color w:val="auto"/>
          <w:sz w:val="28"/>
          <w:szCs w:val="28"/>
          <w:highlight w:val="none"/>
          <w:lang w:val="en-US" w:eastAsia="zh-CN"/>
        </w:rPr>
        <w:t>2026</w:t>
      </w:r>
      <w:r>
        <w:rPr>
          <w:rFonts w:hint="eastAsia" w:ascii="仿宋" w:hAnsi="仿宋" w:eastAsia="仿宋" w:cs="仿宋"/>
          <w:bCs/>
          <w:color w:val="auto"/>
          <w:sz w:val="28"/>
          <w:szCs w:val="28"/>
          <w:highlight w:val="none"/>
        </w:rPr>
        <w:t>年</w:t>
      </w:r>
      <w:r>
        <w:rPr>
          <w:rFonts w:hint="eastAsia" w:ascii="仿宋" w:hAnsi="仿宋" w:eastAsia="仿宋" w:cs="仿宋"/>
          <w:bCs/>
          <w:color w:val="auto"/>
          <w:sz w:val="28"/>
          <w:szCs w:val="28"/>
          <w:highlight w:val="none"/>
          <w:lang w:val="en-US" w:eastAsia="zh-CN"/>
        </w:rPr>
        <w:t>10</w:t>
      </w:r>
      <w:r>
        <w:rPr>
          <w:rFonts w:hint="eastAsia" w:ascii="仿宋" w:hAnsi="仿宋" w:eastAsia="仿宋" w:cs="仿宋"/>
          <w:bCs/>
          <w:color w:val="auto"/>
          <w:sz w:val="28"/>
          <w:szCs w:val="28"/>
          <w:highlight w:val="none"/>
        </w:rPr>
        <w:t>月</w:t>
      </w:r>
      <w:r>
        <w:rPr>
          <w:rFonts w:hint="eastAsia" w:ascii="仿宋" w:hAnsi="仿宋" w:eastAsia="仿宋" w:cs="仿宋"/>
          <w:bCs/>
          <w:color w:val="auto"/>
          <w:sz w:val="28"/>
          <w:szCs w:val="28"/>
          <w:highlight w:val="none"/>
          <w:lang w:val="en-US" w:eastAsia="zh-CN"/>
        </w:rPr>
        <w:t>13</w:t>
      </w:r>
      <w:r>
        <w:rPr>
          <w:rFonts w:hint="eastAsia" w:ascii="仿宋" w:hAnsi="仿宋" w:eastAsia="仿宋" w:cs="仿宋"/>
          <w:bCs/>
          <w:color w:val="auto"/>
          <w:sz w:val="28"/>
          <w:szCs w:val="28"/>
          <w:highlight w:val="none"/>
        </w:rPr>
        <w:t>日</w:t>
      </w:r>
      <w:r>
        <w:rPr>
          <w:rFonts w:ascii="宋体" w:hAnsi="宋体" w:eastAsia="宋体"/>
          <w:color w:val="auto"/>
          <w:sz w:val="24"/>
          <w:szCs w:val="18"/>
          <w:highlight w:val="none"/>
        </w:rPr>
        <w:br w:type="page"/>
      </w:r>
    </w:p>
    <w:p w14:paraId="5CAEB2CD">
      <w:pPr>
        <w:spacing w:line="360" w:lineRule="auto"/>
        <w:jc w:val="center"/>
        <w:outlineLvl w:val="0"/>
        <w:rPr>
          <w:rFonts w:hint="eastAsia" w:ascii="宋体" w:hAnsi="宋体" w:eastAsia="宋体" w:cs="宋体"/>
          <w:b/>
          <w:color w:val="auto"/>
          <w:sz w:val="28"/>
          <w:highlight w:val="none"/>
        </w:rPr>
      </w:pPr>
      <w:bookmarkStart w:id="60" w:name="_Toc21898"/>
      <w:r>
        <w:rPr>
          <w:rFonts w:hint="eastAsia" w:ascii="宋体" w:hAnsi="宋体" w:eastAsia="宋体" w:cs="宋体"/>
          <w:b/>
          <w:color w:val="auto"/>
          <w:sz w:val="28"/>
          <w:highlight w:val="none"/>
        </w:rPr>
        <w:t>第二章  供应商须知</w:t>
      </w:r>
      <w:bookmarkEnd w:id="60"/>
    </w:p>
    <w:p w14:paraId="68C3CDE6">
      <w:pPr>
        <w:spacing w:line="360" w:lineRule="auto"/>
        <w:jc w:val="center"/>
        <w:outlineLvl w:val="1"/>
        <w:rPr>
          <w:rFonts w:hint="eastAsia" w:ascii="宋体" w:hAnsi="宋体" w:eastAsia="宋体" w:cs="宋体"/>
          <w:b/>
          <w:color w:val="auto"/>
          <w:sz w:val="24"/>
          <w:highlight w:val="none"/>
        </w:rPr>
      </w:pPr>
      <w:bookmarkStart w:id="61" w:name="_Toc25752"/>
      <w:bookmarkStart w:id="62" w:name="_Toc28122"/>
      <w:r>
        <w:rPr>
          <w:rFonts w:hint="eastAsia" w:ascii="宋体" w:hAnsi="宋体" w:eastAsia="宋体" w:cs="宋体"/>
          <w:b/>
          <w:color w:val="auto"/>
          <w:sz w:val="24"/>
          <w:highlight w:val="none"/>
        </w:rPr>
        <w:t>一、供应商须知前附表</w:t>
      </w:r>
      <w:bookmarkEnd w:id="61"/>
      <w:bookmarkEnd w:id="62"/>
    </w:p>
    <w:p w14:paraId="56DCB74F">
      <w:pPr>
        <w:spacing w:line="360" w:lineRule="auto"/>
        <w:ind w:firstLine="435"/>
        <w:rPr>
          <w:rFonts w:hint="eastAsia" w:ascii="宋体" w:hAnsi="宋体" w:eastAsia="宋体" w:cs="宋体"/>
          <w:color w:val="auto"/>
          <w:sz w:val="24"/>
          <w:szCs w:val="18"/>
          <w:highlight w:val="none"/>
        </w:rPr>
      </w:pPr>
      <w:r>
        <w:rPr>
          <w:rFonts w:hint="eastAsia" w:ascii="宋体" w:hAnsi="宋体" w:eastAsia="宋体" w:cs="宋体"/>
          <w:b/>
          <w:bCs/>
          <w:color w:val="auto"/>
          <w:sz w:val="24"/>
          <w:szCs w:val="18"/>
          <w:highlight w:val="none"/>
        </w:rPr>
        <w:t>注：</w:t>
      </w:r>
      <w:r>
        <w:rPr>
          <w:rFonts w:hint="eastAsia" w:ascii="宋体" w:hAnsi="宋体" w:eastAsia="宋体" w:cs="宋体"/>
          <w:color w:val="auto"/>
          <w:sz w:val="24"/>
          <w:szCs w:val="18"/>
          <w:highlight w:val="none"/>
        </w:rPr>
        <w:t>本表是本项目的具体要求，是对供应商须知的具体补充和修改，如有不一致，以本表为准。</w:t>
      </w:r>
    </w:p>
    <w:tbl>
      <w:tblPr>
        <w:tblStyle w:val="15"/>
        <w:tblW w:w="517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79" w:type="dxa"/>
          <w:bottom w:w="0" w:type="dxa"/>
          <w:right w:w="79" w:type="dxa"/>
        </w:tblCellMar>
      </w:tblPr>
      <w:tblGrid>
        <w:gridCol w:w="930"/>
        <w:gridCol w:w="1274"/>
        <w:gridCol w:w="6551"/>
      </w:tblGrid>
      <w:tr w14:paraId="34553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530" w:type="pct"/>
            <w:vAlign w:val="center"/>
          </w:tcPr>
          <w:p w14:paraId="0016AD8A">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Cs w:val="0"/>
                <w:color w:val="auto"/>
                <w:kern w:val="2"/>
                <w:sz w:val="24"/>
                <w:szCs w:val="20"/>
                <w:highlight w:val="none"/>
              </w:rPr>
            </w:pPr>
            <w:r>
              <w:rPr>
                <w:rFonts w:hint="eastAsia" w:ascii="宋体" w:hAnsi="宋体" w:eastAsia="宋体" w:cs="宋体"/>
                <w:bCs w:val="0"/>
                <w:color w:val="auto"/>
                <w:kern w:val="2"/>
                <w:sz w:val="24"/>
                <w:szCs w:val="20"/>
                <w:highlight w:val="none"/>
              </w:rPr>
              <w:t>条款号</w:t>
            </w:r>
          </w:p>
        </w:tc>
        <w:tc>
          <w:tcPr>
            <w:tcW w:w="727" w:type="pct"/>
            <w:vAlign w:val="center"/>
          </w:tcPr>
          <w:p w14:paraId="2D39111F">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Cs w:val="0"/>
                <w:color w:val="auto"/>
                <w:kern w:val="2"/>
                <w:sz w:val="24"/>
                <w:szCs w:val="20"/>
                <w:highlight w:val="none"/>
              </w:rPr>
            </w:pPr>
            <w:r>
              <w:rPr>
                <w:rFonts w:hint="eastAsia" w:ascii="宋体" w:hAnsi="宋体" w:eastAsia="宋体" w:cs="宋体"/>
                <w:bCs w:val="0"/>
                <w:color w:val="auto"/>
                <w:kern w:val="2"/>
                <w:sz w:val="24"/>
                <w:szCs w:val="20"/>
                <w:highlight w:val="none"/>
              </w:rPr>
              <w:t>条款名称</w:t>
            </w:r>
          </w:p>
        </w:tc>
        <w:tc>
          <w:tcPr>
            <w:tcW w:w="3741" w:type="pct"/>
            <w:vAlign w:val="center"/>
          </w:tcPr>
          <w:p w14:paraId="6D52E882">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rPr>
                <w:rFonts w:hint="eastAsia" w:ascii="宋体" w:hAnsi="宋体" w:eastAsia="宋体" w:cs="宋体"/>
                <w:bCs w:val="0"/>
                <w:color w:val="auto"/>
                <w:kern w:val="2"/>
                <w:sz w:val="24"/>
                <w:szCs w:val="20"/>
                <w:highlight w:val="none"/>
              </w:rPr>
            </w:pPr>
            <w:r>
              <w:rPr>
                <w:rFonts w:hint="eastAsia" w:ascii="宋体" w:hAnsi="宋体" w:eastAsia="宋体" w:cs="宋体"/>
                <w:bCs w:val="0"/>
                <w:color w:val="auto"/>
                <w:kern w:val="2"/>
                <w:sz w:val="24"/>
                <w:szCs w:val="20"/>
                <w:highlight w:val="none"/>
              </w:rPr>
              <w:t>内容、说明与要求</w:t>
            </w:r>
          </w:p>
        </w:tc>
      </w:tr>
      <w:tr w14:paraId="08D35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530" w:type="pct"/>
            <w:vAlign w:val="center"/>
          </w:tcPr>
          <w:p w14:paraId="1D11DD9D">
            <w:pPr>
              <w:pStyle w:val="21"/>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2"/>
                <w:highlight w:val="none"/>
                <w:lang w:val="en-US" w:eastAsia="zh-CN"/>
              </w:rPr>
            </w:pPr>
            <w:r>
              <w:rPr>
                <w:rFonts w:hint="eastAsia" w:ascii="宋体" w:hAnsi="宋体" w:eastAsia="宋体" w:cs="宋体"/>
                <w:bCs/>
                <w:color w:val="auto"/>
                <w:kern w:val="2"/>
                <w:highlight w:val="none"/>
                <w:lang w:val="en-US" w:eastAsia="zh-CN"/>
              </w:rPr>
              <w:t>5</w:t>
            </w:r>
            <w:r>
              <w:rPr>
                <w:rFonts w:hint="eastAsia" w:ascii="宋体" w:hAnsi="宋体" w:eastAsia="宋体" w:cs="宋体"/>
                <w:bCs/>
                <w:color w:val="auto"/>
                <w:kern w:val="2"/>
                <w:highlight w:val="none"/>
              </w:rPr>
              <w:t>.</w:t>
            </w:r>
            <w:r>
              <w:rPr>
                <w:rFonts w:hint="eastAsia" w:ascii="宋体" w:hAnsi="宋体" w:eastAsia="宋体" w:cs="宋体"/>
                <w:bCs/>
                <w:color w:val="auto"/>
                <w:kern w:val="2"/>
                <w:highlight w:val="none"/>
                <w:lang w:val="en-US" w:eastAsia="zh-CN"/>
              </w:rPr>
              <w:t>2</w:t>
            </w:r>
          </w:p>
        </w:tc>
        <w:tc>
          <w:tcPr>
            <w:tcW w:w="727" w:type="pct"/>
            <w:vAlign w:val="center"/>
          </w:tcPr>
          <w:p w14:paraId="2C3DB0FF">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现场考察</w:t>
            </w:r>
            <w:r>
              <w:rPr>
                <w:rFonts w:hint="eastAsia" w:ascii="宋体" w:hAnsi="宋体" w:eastAsia="宋体" w:cs="宋体"/>
                <w:b w:val="0"/>
                <w:color w:val="auto"/>
                <w:sz w:val="24"/>
                <w:highlight w:val="none"/>
                <w:lang w:val="en-US" w:eastAsia="zh-CN"/>
              </w:rPr>
              <w:t>或标前答疑会</w:t>
            </w:r>
          </w:p>
        </w:tc>
        <w:tc>
          <w:tcPr>
            <w:tcW w:w="3741" w:type="pct"/>
            <w:vAlign w:val="center"/>
          </w:tcPr>
          <w:p w14:paraId="4251E74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4"/>
                <w:highlight w:val="none"/>
              </w:rPr>
            </w:pPr>
            <w:r>
              <w:rPr>
                <w:rFonts w:hint="eastAsia" w:ascii="宋体" w:hAnsi="宋体" w:eastAsia="宋体" w:cs="宋体"/>
                <w:bCs/>
                <w:color w:val="auto"/>
                <w:sz w:val="24"/>
                <w:szCs w:val="24"/>
                <w:highlight w:val="none"/>
                <w:lang w:eastAsia="zh-CN"/>
              </w:rPr>
              <w:t>☑</w:t>
            </w:r>
            <w:r>
              <w:rPr>
                <w:rFonts w:hint="eastAsia" w:ascii="宋体" w:hAnsi="宋体" w:eastAsia="宋体" w:cs="宋体"/>
                <w:color w:val="auto"/>
                <w:sz w:val="24"/>
                <w:highlight w:val="none"/>
              </w:rPr>
              <w:t>不组织</w:t>
            </w:r>
            <w:r>
              <w:rPr>
                <w:rFonts w:hint="eastAsia" w:ascii="宋体" w:hAnsi="宋体" w:eastAsia="宋体" w:cs="宋体"/>
                <w:color w:val="auto"/>
                <w:sz w:val="24"/>
                <w:highlight w:val="none"/>
                <w:lang w:val="en-US" w:eastAsia="zh-CN"/>
              </w:rPr>
              <w:t>或不召开</w:t>
            </w:r>
          </w:p>
          <w:p w14:paraId="5B72C4E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4"/>
                <w:highlight w:val="none"/>
                <w:lang w:eastAsia="zh-CN"/>
              </w:rPr>
            </w:pPr>
            <w:r>
              <w:rPr>
                <w:rFonts w:hint="eastAsia" w:ascii="宋体" w:hAnsi="宋体" w:eastAsia="宋体" w:cs="宋体"/>
                <w:color w:val="auto"/>
                <w:sz w:val="24"/>
                <w:highlight w:val="none"/>
              </w:rPr>
              <w:t>□</w:t>
            </w:r>
            <w:r>
              <w:rPr>
                <w:rFonts w:hint="eastAsia" w:ascii="宋体" w:hAnsi="宋体" w:eastAsia="宋体" w:cs="宋体"/>
                <w:bCs/>
                <w:color w:val="auto"/>
                <w:sz w:val="24"/>
                <w:highlight w:val="none"/>
              </w:rPr>
              <w:t>统一组织</w:t>
            </w:r>
            <w:r>
              <w:rPr>
                <w:rFonts w:hint="eastAsia" w:ascii="宋体" w:hAnsi="宋体" w:eastAsia="宋体" w:cs="宋体"/>
                <w:bCs/>
                <w:color w:val="auto"/>
                <w:sz w:val="24"/>
                <w:highlight w:val="none"/>
                <w:lang w:val="en-US" w:eastAsia="zh-CN"/>
              </w:rPr>
              <w:t>或统一召开</w:t>
            </w:r>
          </w:p>
          <w:p w14:paraId="3FFFBF64">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bCs/>
                <w:color w:val="auto"/>
                <w:sz w:val="24"/>
                <w:highlight w:val="none"/>
                <w:u w:val="single"/>
              </w:rPr>
            </w:pPr>
            <w:r>
              <w:rPr>
                <w:rFonts w:hint="eastAsia" w:ascii="宋体" w:hAnsi="宋体" w:eastAsia="宋体" w:cs="宋体"/>
                <w:bCs/>
                <w:color w:val="auto"/>
                <w:sz w:val="24"/>
                <w:highlight w:val="none"/>
              </w:rPr>
              <w:t>时间：</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u w:val="single"/>
                <w:lang w:val="en-US" w:eastAsia="zh-CN"/>
              </w:rPr>
              <w:t>/</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年</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u w:val="single"/>
                <w:lang w:val="en-US" w:eastAsia="zh-CN"/>
              </w:rPr>
              <w:t>/</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月</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u w:val="single"/>
                <w:lang w:val="en-US" w:eastAsia="zh-CN"/>
              </w:rPr>
              <w:t>/</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日</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u w:val="single"/>
                <w:lang w:val="en-US" w:eastAsia="zh-CN"/>
              </w:rPr>
              <w:t>/</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时</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u w:val="single"/>
                <w:lang w:val="en-US" w:eastAsia="zh-CN"/>
              </w:rPr>
              <w:t>/</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分</w:t>
            </w:r>
          </w:p>
          <w:p w14:paraId="1F0237E0">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bCs/>
                <w:color w:val="auto"/>
                <w:sz w:val="24"/>
                <w:highlight w:val="none"/>
                <w:u w:val="single"/>
              </w:rPr>
            </w:pPr>
            <w:r>
              <w:rPr>
                <w:rFonts w:hint="eastAsia" w:ascii="宋体" w:hAnsi="宋体" w:eastAsia="宋体" w:cs="宋体"/>
                <w:bCs/>
                <w:color w:val="auto"/>
                <w:sz w:val="24"/>
                <w:highlight w:val="none"/>
              </w:rPr>
              <w:t>地点：</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u w:val="single"/>
                <w:lang w:val="en-US" w:eastAsia="zh-CN"/>
              </w:rPr>
              <w:t>/</w:t>
            </w:r>
            <w:r>
              <w:rPr>
                <w:rFonts w:hint="eastAsia" w:ascii="宋体" w:hAnsi="宋体" w:eastAsia="宋体" w:cs="宋体"/>
                <w:bCs/>
                <w:color w:val="auto"/>
                <w:sz w:val="24"/>
                <w:highlight w:val="none"/>
                <w:u w:val="single"/>
              </w:rPr>
              <w:t xml:space="preserve">              </w:t>
            </w:r>
          </w:p>
          <w:p w14:paraId="109B71D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4"/>
                <w:highlight w:val="none"/>
                <w:u w:val="single"/>
              </w:rPr>
            </w:pPr>
            <w:r>
              <w:rPr>
                <w:rFonts w:hint="eastAsia" w:ascii="宋体" w:hAnsi="宋体" w:eastAsia="宋体" w:cs="宋体"/>
                <w:bCs/>
                <w:color w:val="auto"/>
                <w:sz w:val="24"/>
                <w:highlight w:val="none"/>
              </w:rPr>
              <w:t>联系人及联系电话：</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u w:val="single"/>
                <w:lang w:val="en-US" w:eastAsia="zh-CN"/>
              </w:rPr>
              <w:t>/</w:t>
            </w:r>
            <w:r>
              <w:rPr>
                <w:rFonts w:hint="eastAsia" w:ascii="宋体" w:hAnsi="宋体" w:eastAsia="宋体" w:cs="宋体"/>
                <w:bCs/>
                <w:color w:val="auto"/>
                <w:sz w:val="24"/>
                <w:highlight w:val="none"/>
                <w:u w:val="single"/>
              </w:rPr>
              <w:t xml:space="preserve">       </w:t>
            </w:r>
          </w:p>
          <w:p w14:paraId="548AA17F">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b w:val="0"/>
                <w:color w:val="auto"/>
                <w:sz w:val="24"/>
                <w:highlight w:val="none"/>
              </w:rPr>
            </w:pPr>
            <w:r>
              <w:rPr>
                <w:rFonts w:hint="eastAsia" w:ascii="宋体" w:hAnsi="宋体" w:eastAsia="宋体" w:cs="宋体"/>
                <w:bCs w:val="0"/>
                <w:color w:val="auto"/>
                <w:sz w:val="24"/>
                <w:highlight w:val="none"/>
                <w:lang w:eastAsia="zh-CN"/>
              </w:rPr>
              <w:t>注：</w:t>
            </w:r>
            <w:r>
              <w:rPr>
                <w:rFonts w:hint="eastAsia" w:ascii="宋体" w:hAnsi="宋体" w:eastAsia="宋体" w:cs="宋体"/>
                <w:b w:val="0"/>
                <w:bCs/>
                <w:color w:val="auto"/>
                <w:sz w:val="24"/>
                <w:highlight w:val="none"/>
              </w:rPr>
              <w:t>如</w:t>
            </w:r>
            <w:r>
              <w:rPr>
                <w:rFonts w:hint="eastAsia" w:ascii="宋体" w:hAnsi="宋体" w:eastAsia="宋体" w:cs="宋体"/>
                <w:b w:val="0"/>
                <w:bCs/>
                <w:color w:val="auto"/>
                <w:sz w:val="24"/>
                <w:highlight w:val="none"/>
                <w:lang w:val="en-US" w:eastAsia="zh-CN"/>
              </w:rPr>
              <w:t>供应商</w:t>
            </w:r>
            <w:r>
              <w:rPr>
                <w:rFonts w:hint="eastAsia" w:ascii="宋体" w:hAnsi="宋体" w:eastAsia="宋体" w:cs="宋体"/>
                <w:b w:val="0"/>
                <w:bCs/>
                <w:color w:val="auto"/>
                <w:sz w:val="24"/>
                <w:highlight w:val="none"/>
              </w:rPr>
              <w:t>未参加采购人统一组织的现场考察</w:t>
            </w:r>
            <w:r>
              <w:rPr>
                <w:rFonts w:hint="eastAsia" w:ascii="宋体" w:hAnsi="宋体" w:eastAsia="宋体" w:cs="宋体"/>
                <w:b w:val="0"/>
                <w:bCs/>
                <w:color w:val="auto"/>
                <w:sz w:val="24"/>
                <w:highlight w:val="none"/>
                <w:lang w:val="en-US" w:eastAsia="zh-CN"/>
              </w:rPr>
              <w:t>或采购人统一召开的标前答疑会</w:t>
            </w:r>
            <w:r>
              <w:rPr>
                <w:rFonts w:hint="eastAsia" w:ascii="宋体" w:hAnsi="宋体" w:eastAsia="宋体" w:cs="宋体"/>
                <w:b w:val="0"/>
                <w:bCs/>
                <w:color w:val="auto"/>
                <w:sz w:val="24"/>
                <w:highlight w:val="none"/>
              </w:rPr>
              <w:t>，视同放弃现场考察</w:t>
            </w:r>
            <w:r>
              <w:rPr>
                <w:rFonts w:hint="eastAsia" w:ascii="宋体" w:hAnsi="宋体" w:eastAsia="宋体" w:cs="宋体"/>
                <w:b w:val="0"/>
                <w:bCs/>
                <w:color w:val="auto"/>
                <w:sz w:val="24"/>
                <w:highlight w:val="none"/>
                <w:lang w:val="en-US" w:eastAsia="zh-CN"/>
              </w:rPr>
              <w:t>或标前答疑会</w:t>
            </w:r>
            <w:r>
              <w:rPr>
                <w:rFonts w:hint="eastAsia" w:ascii="宋体" w:hAnsi="宋体" w:eastAsia="宋体" w:cs="宋体"/>
                <w:b w:val="0"/>
                <w:bCs/>
                <w:color w:val="auto"/>
                <w:sz w:val="24"/>
                <w:highlight w:val="none"/>
              </w:rPr>
              <w:t>，由此引起的一切责任由</w:t>
            </w:r>
            <w:r>
              <w:rPr>
                <w:rFonts w:hint="eastAsia" w:ascii="宋体" w:hAnsi="宋体" w:eastAsia="宋体" w:cs="宋体"/>
                <w:b w:val="0"/>
                <w:bCs/>
                <w:color w:val="auto"/>
                <w:sz w:val="24"/>
                <w:highlight w:val="none"/>
                <w:lang w:val="en-US" w:eastAsia="zh-CN"/>
              </w:rPr>
              <w:t>供应商</w:t>
            </w:r>
            <w:r>
              <w:rPr>
                <w:rFonts w:hint="eastAsia" w:ascii="宋体" w:hAnsi="宋体" w:eastAsia="宋体" w:cs="宋体"/>
                <w:b w:val="0"/>
                <w:bCs/>
                <w:color w:val="auto"/>
                <w:sz w:val="24"/>
                <w:highlight w:val="none"/>
              </w:rPr>
              <w:t>自行承担。</w:t>
            </w:r>
          </w:p>
        </w:tc>
      </w:tr>
      <w:tr w14:paraId="509EC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4090" w:hRule="atLeast"/>
          <w:jc w:val="center"/>
        </w:trPr>
        <w:tc>
          <w:tcPr>
            <w:tcW w:w="530" w:type="pct"/>
            <w:vAlign w:val="center"/>
          </w:tcPr>
          <w:p w14:paraId="168F3839">
            <w:pPr>
              <w:pStyle w:val="21"/>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2"/>
                <w:highlight w:val="none"/>
                <w:lang w:val="en-US" w:eastAsia="zh-CN"/>
              </w:rPr>
            </w:pPr>
            <w:r>
              <w:rPr>
                <w:rFonts w:hint="eastAsia" w:ascii="宋体" w:hAnsi="宋体" w:eastAsia="宋体" w:cs="宋体"/>
                <w:bCs/>
                <w:color w:val="auto"/>
                <w:kern w:val="2"/>
                <w:highlight w:val="none"/>
                <w:lang w:val="en-US" w:eastAsia="zh-CN"/>
              </w:rPr>
              <w:t>6.1</w:t>
            </w:r>
          </w:p>
        </w:tc>
        <w:tc>
          <w:tcPr>
            <w:tcW w:w="727" w:type="pct"/>
            <w:vAlign w:val="center"/>
          </w:tcPr>
          <w:p w14:paraId="1AE24D3F">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lang w:eastAsia="zh-CN"/>
              </w:rPr>
            </w:pPr>
            <w:r>
              <w:rPr>
                <w:rFonts w:hint="eastAsia" w:ascii="宋体" w:hAnsi="宋体" w:eastAsia="宋体" w:cs="宋体"/>
                <w:b w:val="0"/>
                <w:color w:val="auto"/>
                <w:sz w:val="24"/>
                <w:highlight w:val="none"/>
              </w:rPr>
              <w:t>网上询问</w:t>
            </w:r>
            <w:r>
              <w:rPr>
                <w:rFonts w:hint="eastAsia" w:ascii="宋体" w:hAnsi="宋体" w:eastAsia="宋体" w:cs="宋体"/>
                <w:b w:val="0"/>
                <w:color w:val="auto"/>
                <w:sz w:val="24"/>
                <w:highlight w:val="none"/>
                <w:lang w:val="en-US" w:eastAsia="zh-CN"/>
              </w:rPr>
              <w:t>方式</w:t>
            </w:r>
          </w:p>
        </w:tc>
        <w:tc>
          <w:tcPr>
            <w:tcW w:w="3741" w:type="pct"/>
            <w:vAlign w:val="center"/>
          </w:tcPr>
          <w:p w14:paraId="4560AD07">
            <w:pPr>
              <w:pStyle w:val="20"/>
              <w:keepNext w:val="0"/>
              <w:keepLines w:val="0"/>
              <w:pageBreakBefore w:val="0"/>
              <w:widowControl w:val="0"/>
              <w:numPr>
                <w:ilvl w:val="0"/>
                <w:numId w:val="1"/>
              </w:numPr>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供应商若对采购文件有关内容存在理解障碍，或认为采购文件表述有模糊不清之处，可通过电子邮件（2628963924@qq.com）或电话向采购人（采购代理机构）在线提出，采购人（采购代理机构）收到供应商提问后将及时回复。该渠道仅接受关于项目的一般性疑问（非质疑），供应商提问时应当隐藏自身信息，直接提出针对项目的相关疑问即可，询问函范本详见采购文件第七章。</w:t>
            </w:r>
          </w:p>
          <w:p w14:paraId="424083B2">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rPr>
            </w:pPr>
            <w:r>
              <w:rPr>
                <w:rFonts w:hint="eastAsia" w:ascii="宋体" w:hAnsi="宋体" w:eastAsia="宋体" w:cs="宋体"/>
                <w:b w:val="0"/>
                <w:bCs/>
                <w:color w:val="auto"/>
                <w:sz w:val="24"/>
                <w:highlight w:val="none"/>
                <w:lang w:val="en-US" w:eastAsia="zh-CN"/>
              </w:rPr>
              <w:t>（2）采购人（采购代理机构）对采购文件进行的答疑、澄清、变更或补充，将在安徽霍山国有资产投资控股集团有限公司（http://www.ahdmig.cn）“补充公告”栏目及时发布，该公告内容为采购文件的组成部分，对供应商具有同样约束力。当采购文件、采购文件的答疑、澄清、变更或补充等在同一内容的表述上不一致时，以最后发出的书面文件为准。供应商应主动上网查询。采购人（采购代理机构）不承担供应商未及时关注相关信息引发的相关责任。</w:t>
            </w:r>
          </w:p>
        </w:tc>
      </w:tr>
      <w:tr w14:paraId="188F7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1014" w:hRule="atLeast"/>
          <w:jc w:val="center"/>
        </w:trPr>
        <w:tc>
          <w:tcPr>
            <w:tcW w:w="530" w:type="pct"/>
            <w:vAlign w:val="center"/>
          </w:tcPr>
          <w:p w14:paraId="76A8998C">
            <w:pPr>
              <w:pStyle w:val="21"/>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lang w:val="en-US" w:eastAsia="zh-CN"/>
              </w:rPr>
              <w:t>7</w:t>
            </w:r>
            <w:r>
              <w:rPr>
                <w:rFonts w:hint="eastAsia" w:ascii="宋体" w:hAnsi="宋体" w:eastAsia="宋体" w:cs="宋体"/>
                <w:bCs/>
                <w:color w:val="auto"/>
                <w:kern w:val="2"/>
                <w:highlight w:val="none"/>
              </w:rPr>
              <w:t>.1</w:t>
            </w:r>
          </w:p>
        </w:tc>
        <w:tc>
          <w:tcPr>
            <w:tcW w:w="727" w:type="pct"/>
            <w:vAlign w:val="center"/>
          </w:tcPr>
          <w:p w14:paraId="58BA9346">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包别划分</w:t>
            </w:r>
          </w:p>
        </w:tc>
        <w:tc>
          <w:tcPr>
            <w:tcW w:w="3741" w:type="pct"/>
            <w:vAlign w:val="center"/>
          </w:tcPr>
          <w:p w14:paraId="7C70EB06">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rPr>
            </w:pP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color w:val="auto"/>
                <w:sz w:val="24"/>
                <w:highlight w:val="none"/>
              </w:rPr>
              <w:t>不分包     □分为</w:t>
            </w:r>
            <w:r>
              <w:rPr>
                <w:rFonts w:hint="eastAsia" w:ascii="宋体" w:hAnsi="宋体" w:eastAsia="宋体" w:cs="宋体"/>
                <w:b w:val="0"/>
                <w:color w:val="auto"/>
                <w:sz w:val="24"/>
                <w:highlight w:val="none"/>
                <w:u w:val="single"/>
              </w:rPr>
              <w:t xml:space="preserve"> </w:t>
            </w:r>
            <w:r>
              <w:rPr>
                <w:rFonts w:hint="eastAsia" w:ascii="宋体" w:hAnsi="宋体" w:eastAsia="宋体" w:cs="宋体"/>
                <w:b w:val="0"/>
                <w:color w:val="auto"/>
                <w:sz w:val="24"/>
                <w:highlight w:val="none"/>
                <w:u w:val="single"/>
                <w:lang w:val="en-US" w:eastAsia="zh-CN"/>
              </w:rPr>
              <w:t xml:space="preserve"> </w:t>
            </w:r>
            <w:r>
              <w:rPr>
                <w:rFonts w:hint="eastAsia" w:ascii="宋体" w:hAnsi="宋体" w:eastAsia="宋体" w:cs="宋体"/>
                <w:b w:val="0"/>
                <w:color w:val="auto"/>
                <w:sz w:val="24"/>
                <w:highlight w:val="none"/>
                <w:u w:val="single"/>
              </w:rPr>
              <w:t xml:space="preserve"> </w:t>
            </w:r>
            <w:r>
              <w:rPr>
                <w:rFonts w:hint="eastAsia" w:ascii="宋体" w:hAnsi="宋体" w:eastAsia="宋体" w:cs="宋体"/>
                <w:b w:val="0"/>
                <w:color w:val="auto"/>
                <w:sz w:val="24"/>
                <w:highlight w:val="none"/>
              </w:rPr>
              <w:t>个包</w:t>
            </w:r>
          </w:p>
          <w:p w14:paraId="1678F495">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rPr>
            </w:pPr>
            <w:r>
              <w:rPr>
                <w:rFonts w:hint="eastAsia" w:ascii="宋体" w:hAnsi="宋体" w:eastAsia="宋体" w:cs="宋体"/>
                <w:b w:val="0"/>
                <w:bCs w:val="0"/>
                <w:color w:val="auto"/>
                <w:sz w:val="24"/>
                <w:szCs w:val="24"/>
                <w:highlight w:val="none"/>
              </w:rPr>
              <w:t>供应商参加多个包</w:t>
            </w:r>
            <w:r>
              <w:rPr>
                <w:rFonts w:hint="eastAsia" w:ascii="宋体" w:hAnsi="宋体" w:eastAsia="宋体" w:cs="宋体"/>
                <w:b w:val="0"/>
                <w:color w:val="auto"/>
                <w:sz w:val="24"/>
                <w:highlight w:val="none"/>
              </w:rPr>
              <w:t>谈判</w:t>
            </w:r>
            <w:r>
              <w:rPr>
                <w:rFonts w:hint="eastAsia" w:ascii="宋体" w:hAnsi="宋体" w:eastAsia="宋体" w:cs="宋体"/>
                <w:b w:val="0"/>
                <w:bCs w:val="0"/>
                <w:color w:val="auto"/>
                <w:sz w:val="24"/>
                <w:szCs w:val="24"/>
                <w:highlight w:val="none"/>
              </w:rPr>
              <w:t>的成交包数规定：</w:t>
            </w:r>
            <w:r>
              <w:rPr>
                <w:rFonts w:hint="eastAsia" w:ascii="宋体" w:hAnsi="宋体" w:eastAsia="宋体" w:cs="宋体"/>
                <w:b w:val="0"/>
                <w:bCs w:val="0"/>
                <w:color w:val="auto"/>
                <w:sz w:val="24"/>
                <w:szCs w:val="18"/>
                <w:highlight w:val="none"/>
                <w:u w:val="single"/>
              </w:rPr>
              <w:t xml:space="preserve">              </w:t>
            </w:r>
          </w:p>
        </w:tc>
      </w:tr>
      <w:tr w14:paraId="7F133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72" w:hRule="atLeast"/>
          <w:jc w:val="center"/>
        </w:trPr>
        <w:tc>
          <w:tcPr>
            <w:tcW w:w="530" w:type="pct"/>
            <w:shd w:val="clear" w:color="auto" w:fill="auto"/>
            <w:vAlign w:val="center"/>
          </w:tcPr>
          <w:p w14:paraId="7FC00C43">
            <w:pPr>
              <w:pStyle w:val="21"/>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beforeAutospacing="0" w:afterAutospacing="0" w:line="400" w:lineRule="exact"/>
              <w:jc w:val="center"/>
              <w:textAlignment w:val="auto"/>
              <w:rPr>
                <w:rFonts w:hint="eastAsia" w:ascii="宋体" w:hAnsi="宋体" w:eastAsia="宋体" w:cs="宋体"/>
                <w:bCs/>
                <w:color w:val="auto"/>
                <w:kern w:val="2"/>
                <w:sz w:val="24"/>
                <w:szCs w:val="20"/>
                <w:highlight w:val="none"/>
                <w:lang w:val="en-US" w:eastAsia="zh-CN" w:bidi="ar-SA"/>
              </w:rPr>
            </w:pPr>
            <w:r>
              <w:rPr>
                <w:rFonts w:hint="eastAsia" w:ascii="宋体" w:hAnsi="宋体" w:eastAsia="宋体" w:cs="宋体"/>
                <w:bCs/>
                <w:color w:val="auto"/>
                <w:kern w:val="2"/>
                <w:highlight w:val="none"/>
                <w:lang w:val="en-US" w:eastAsia="zh-CN"/>
              </w:rPr>
              <w:t>9.4</w:t>
            </w:r>
          </w:p>
        </w:tc>
        <w:tc>
          <w:tcPr>
            <w:tcW w:w="727" w:type="pct"/>
            <w:shd w:val="clear" w:color="auto" w:fill="auto"/>
            <w:vAlign w:val="center"/>
          </w:tcPr>
          <w:p w14:paraId="09BE01BF">
            <w:pPr>
              <w:pStyle w:val="21"/>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ind w:firstLine="0" w:firstLineChars="0"/>
              <w:textAlignment w:val="auto"/>
              <w:rPr>
                <w:rFonts w:hint="eastAsia" w:ascii="宋体" w:hAnsi="宋体" w:eastAsia="宋体" w:cs="宋体"/>
                <w:color w:val="auto"/>
                <w:kern w:val="0"/>
                <w:sz w:val="24"/>
                <w:szCs w:val="24"/>
                <w:highlight w:val="none"/>
                <w:lang w:val="zh-CN" w:eastAsia="zh-CN" w:bidi="ar-SA"/>
              </w:rPr>
            </w:pPr>
            <w:r>
              <w:rPr>
                <w:rFonts w:hint="eastAsia" w:ascii="宋体" w:hAnsi="宋体" w:eastAsia="宋体" w:cs="宋体"/>
                <w:color w:val="auto"/>
                <w:sz w:val="24"/>
                <w:szCs w:val="24"/>
                <w:highlight w:val="none"/>
                <w:lang w:val="en-US" w:eastAsia="zh-CN"/>
              </w:rPr>
              <w:t>异常低价响应审查</w:t>
            </w:r>
          </w:p>
        </w:tc>
        <w:tc>
          <w:tcPr>
            <w:tcW w:w="3741" w:type="pct"/>
            <w:shd w:val="clear" w:color="auto" w:fill="auto"/>
            <w:vAlign w:val="center"/>
          </w:tcPr>
          <w:p w14:paraId="4D1722DF">
            <w:pPr>
              <w:pStyle w:val="21"/>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根据财政部《关于推动解决政府采购异常低价问题的通知》（财库〔2026〕2号），评审中出现下列情形之一的，谈判小组应当启动异常低价响应审查程序：</w:t>
            </w:r>
          </w:p>
          <w:p w14:paraId="791B3F2C">
            <w:pPr>
              <w:pStyle w:val="21"/>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1、响应报价低于全部通过符合性审查供应商响应报价平均值</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%的，即响应报价&lt;全部通过符合性审查供应商响应报价平均值×</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%；（比例范围：50%-65%）</w:t>
            </w:r>
          </w:p>
          <w:p w14:paraId="457BE0F0">
            <w:pPr>
              <w:pStyle w:val="21"/>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2.响应报价低于通过符合性审查的次低报价供应商响应报价</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%的，即响应报价&lt;通过符合性审查的次低报价供应商响应报价×</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%；（比例范围：50%-65%）</w:t>
            </w:r>
          </w:p>
          <w:p w14:paraId="081EFDFA">
            <w:pPr>
              <w:pStyle w:val="21"/>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3.响应报价低于采购项目最高限价</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%的，即响应报价&lt;采购项目最高限价×</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%；（比例范围：45%-65%）</w:t>
            </w:r>
          </w:p>
          <w:p w14:paraId="7B08A18D">
            <w:pPr>
              <w:pStyle w:val="21"/>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4.谈判小组基于专业判断，认为供应商报价过低，有可能影响产品质量或者不能诚信履约的其他情形。</w:t>
            </w:r>
          </w:p>
          <w:p w14:paraId="3E46ED6F">
            <w:pPr>
              <w:pStyle w:val="21"/>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ind w:firstLine="0" w:firstLineChars="0"/>
              <w:jc w:val="both"/>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bCs/>
                <w:color w:val="auto"/>
                <w:sz w:val="24"/>
                <w:szCs w:val="24"/>
                <w:highlight w:val="none"/>
                <w:lang w:val="en-US" w:eastAsia="zh-CN"/>
              </w:rPr>
              <w:t>注：以上比例由采购人根据项目特点及要求自行填写。</w:t>
            </w:r>
          </w:p>
        </w:tc>
      </w:tr>
      <w:tr w14:paraId="23FAA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72" w:hRule="atLeast"/>
          <w:jc w:val="center"/>
        </w:trPr>
        <w:tc>
          <w:tcPr>
            <w:tcW w:w="530" w:type="pct"/>
            <w:vAlign w:val="center"/>
          </w:tcPr>
          <w:p w14:paraId="62296A25">
            <w:pPr>
              <w:pStyle w:val="21"/>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lang w:val="en-US" w:eastAsia="zh-CN"/>
              </w:rPr>
              <w:t>10</w:t>
            </w:r>
            <w:r>
              <w:rPr>
                <w:rFonts w:hint="eastAsia" w:ascii="宋体" w:hAnsi="宋体" w:eastAsia="宋体" w:cs="宋体"/>
                <w:bCs/>
                <w:color w:val="auto"/>
                <w:kern w:val="2"/>
                <w:highlight w:val="none"/>
              </w:rPr>
              <w:t>.1</w:t>
            </w:r>
          </w:p>
        </w:tc>
        <w:tc>
          <w:tcPr>
            <w:tcW w:w="727" w:type="pct"/>
            <w:vAlign w:val="center"/>
          </w:tcPr>
          <w:p w14:paraId="20B86ABB">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谈判保证金</w:t>
            </w:r>
          </w:p>
        </w:tc>
        <w:tc>
          <w:tcPr>
            <w:tcW w:w="3741" w:type="pct"/>
            <w:vAlign w:val="center"/>
          </w:tcPr>
          <w:p w14:paraId="1177BD1C">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不收取</w:t>
            </w:r>
          </w:p>
        </w:tc>
      </w:tr>
      <w:tr w14:paraId="2ACF0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530" w:type="pct"/>
            <w:vAlign w:val="center"/>
          </w:tcPr>
          <w:p w14:paraId="3C4268DA">
            <w:pPr>
              <w:pStyle w:val="21"/>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lang w:val="en-US" w:eastAsia="zh-CN"/>
              </w:rPr>
              <w:t>11</w:t>
            </w:r>
            <w:r>
              <w:rPr>
                <w:rFonts w:hint="eastAsia" w:ascii="宋体" w:hAnsi="宋体" w:eastAsia="宋体" w:cs="宋体"/>
                <w:bCs/>
                <w:color w:val="auto"/>
                <w:kern w:val="2"/>
                <w:highlight w:val="none"/>
              </w:rPr>
              <w:t>.1</w:t>
            </w:r>
          </w:p>
        </w:tc>
        <w:tc>
          <w:tcPr>
            <w:tcW w:w="727" w:type="pct"/>
            <w:vAlign w:val="center"/>
          </w:tcPr>
          <w:p w14:paraId="53C8026A">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谈判有效期</w:t>
            </w:r>
          </w:p>
        </w:tc>
        <w:tc>
          <w:tcPr>
            <w:tcW w:w="3741" w:type="pct"/>
            <w:vAlign w:val="center"/>
          </w:tcPr>
          <w:p w14:paraId="1D50D5BC">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lang w:val="en-US" w:eastAsia="zh-CN"/>
              </w:rPr>
              <w:t>90个</w:t>
            </w:r>
            <w:r>
              <w:rPr>
                <w:rFonts w:hint="eastAsia" w:ascii="宋体" w:hAnsi="宋体" w:eastAsia="宋体" w:cs="宋体"/>
                <w:b w:val="0"/>
                <w:color w:val="auto"/>
                <w:sz w:val="24"/>
                <w:highlight w:val="none"/>
              </w:rPr>
              <w:t>日历日</w:t>
            </w:r>
          </w:p>
        </w:tc>
      </w:tr>
      <w:tr w14:paraId="6218C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530" w:type="pct"/>
            <w:vAlign w:val="center"/>
          </w:tcPr>
          <w:p w14:paraId="1DD3D92A">
            <w:pPr>
              <w:pStyle w:val="21"/>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.3</w:t>
            </w:r>
          </w:p>
        </w:tc>
        <w:tc>
          <w:tcPr>
            <w:tcW w:w="727" w:type="pct"/>
            <w:vAlign w:val="center"/>
          </w:tcPr>
          <w:p w14:paraId="2AD9CB8A">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响应文件相关要求</w:t>
            </w:r>
          </w:p>
        </w:tc>
        <w:tc>
          <w:tcPr>
            <w:tcW w:w="3741" w:type="pct"/>
            <w:vAlign w:val="center"/>
          </w:tcPr>
          <w:p w14:paraId="7E30061D">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①响应文件份数：正本壹份，副本贰份。</w:t>
            </w:r>
          </w:p>
          <w:p w14:paraId="0579BB2E">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②签字或盖章要求：响应文件应按采购文件要求盖章或签字。由授权代表签字或盖章的在磋商响应文件中须同时提供授权书。响应文件签字或盖章不符合采购文件要求的，按无效投标处理。</w:t>
            </w:r>
          </w:p>
          <w:p w14:paraId="6B039095">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③装订要求：响应文件正、副本均应装订成册，保证装订牢固，不掉页、不粘面。响应文件未按要求装订的，按无效投标处理。</w:t>
            </w:r>
          </w:p>
          <w:p w14:paraId="65D5ABAE">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u w:val="single"/>
              </w:rPr>
            </w:pPr>
            <w:r>
              <w:rPr>
                <w:rFonts w:hint="eastAsia" w:ascii="宋体" w:hAnsi="宋体" w:eastAsia="宋体" w:cs="宋体"/>
                <w:b w:val="0"/>
                <w:bCs w:val="0"/>
                <w:color w:val="auto"/>
                <w:kern w:val="0"/>
                <w:sz w:val="24"/>
                <w:szCs w:val="24"/>
                <w:highlight w:val="none"/>
              </w:rPr>
              <w:t>④密封要求：响应文件所有正、副本均应密封在一个文件袋中，并在封套上加盖供应商公章，封套上应写明：“</w:t>
            </w:r>
            <w:r>
              <w:rPr>
                <w:rFonts w:hint="eastAsia" w:ascii="宋体" w:hAnsi="宋体" w:eastAsia="宋体" w:cs="宋体"/>
                <w:b w:val="0"/>
                <w:bCs w:val="0"/>
                <w:color w:val="auto"/>
                <w:kern w:val="0"/>
                <w:sz w:val="24"/>
                <w:szCs w:val="24"/>
                <w:highlight w:val="none"/>
                <w:u w:val="single"/>
              </w:rPr>
              <w:t xml:space="preserve">  （采购项目名称）（第  包）</w:t>
            </w:r>
            <w:r>
              <w:rPr>
                <w:rFonts w:hint="eastAsia" w:ascii="宋体" w:hAnsi="宋体" w:eastAsia="宋体" w:cs="宋体"/>
                <w:b w:val="0"/>
                <w:bCs w:val="0"/>
                <w:color w:val="auto"/>
                <w:kern w:val="0"/>
                <w:sz w:val="24"/>
                <w:szCs w:val="24"/>
                <w:highlight w:val="none"/>
              </w:rPr>
              <w:t>磋商响应文件、</w:t>
            </w:r>
            <w:r>
              <w:rPr>
                <w:rFonts w:hint="eastAsia" w:ascii="宋体" w:hAnsi="宋体" w:eastAsia="宋体" w:cs="宋体"/>
                <w:b w:val="0"/>
                <w:bCs w:val="0"/>
                <w:color w:val="auto"/>
                <w:kern w:val="0"/>
                <w:sz w:val="24"/>
                <w:szCs w:val="24"/>
                <w:highlight w:val="none"/>
                <w:u w:val="single"/>
              </w:rPr>
              <w:t xml:space="preserve">    </w:t>
            </w:r>
            <w:r>
              <w:rPr>
                <w:rFonts w:hint="eastAsia" w:ascii="宋体" w:hAnsi="宋体" w:eastAsia="宋体" w:cs="宋体"/>
                <w:b w:val="0"/>
                <w:bCs w:val="0"/>
                <w:color w:val="auto"/>
                <w:kern w:val="0"/>
                <w:sz w:val="24"/>
                <w:szCs w:val="24"/>
                <w:highlight w:val="none"/>
              </w:rPr>
              <w:t>年</w:t>
            </w:r>
            <w:r>
              <w:rPr>
                <w:rFonts w:hint="eastAsia" w:ascii="宋体" w:hAnsi="宋体" w:eastAsia="宋体" w:cs="宋体"/>
                <w:b w:val="0"/>
                <w:bCs w:val="0"/>
                <w:color w:val="auto"/>
                <w:kern w:val="0"/>
                <w:sz w:val="24"/>
                <w:szCs w:val="24"/>
                <w:highlight w:val="none"/>
                <w:u w:val="single"/>
              </w:rPr>
              <w:t xml:space="preserve">    </w:t>
            </w:r>
            <w:r>
              <w:rPr>
                <w:rFonts w:hint="eastAsia" w:ascii="宋体" w:hAnsi="宋体" w:eastAsia="宋体" w:cs="宋体"/>
                <w:b w:val="0"/>
                <w:bCs w:val="0"/>
                <w:color w:val="auto"/>
                <w:kern w:val="0"/>
                <w:sz w:val="24"/>
                <w:szCs w:val="24"/>
                <w:highlight w:val="none"/>
              </w:rPr>
              <w:t>月</w:t>
            </w:r>
            <w:r>
              <w:rPr>
                <w:rFonts w:hint="eastAsia" w:ascii="宋体" w:hAnsi="宋体" w:eastAsia="宋体" w:cs="宋体"/>
                <w:b w:val="0"/>
                <w:bCs w:val="0"/>
                <w:color w:val="auto"/>
                <w:kern w:val="0"/>
                <w:sz w:val="24"/>
                <w:szCs w:val="24"/>
                <w:highlight w:val="none"/>
                <w:u w:val="single"/>
              </w:rPr>
              <w:t xml:space="preserve">   </w:t>
            </w:r>
            <w:r>
              <w:rPr>
                <w:rFonts w:hint="eastAsia" w:ascii="宋体" w:hAnsi="宋体" w:eastAsia="宋体" w:cs="宋体"/>
                <w:b w:val="0"/>
                <w:bCs w:val="0"/>
                <w:color w:val="auto"/>
                <w:kern w:val="0"/>
                <w:sz w:val="24"/>
                <w:szCs w:val="24"/>
                <w:highlight w:val="none"/>
              </w:rPr>
              <w:t>日</w:t>
            </w:r>
            <w:r>
              <w:rPr>
                <w:rFonts w:hint="eastAsia" w:ascii="宋体" w:hAnsi="宋体" w:eastAsia="宋体" w:cs="宋体"/>
                <w:b w:val="0"/>
                <w:bCs w:val="0"/>
                <w:color w:val="auto"/>
                <w:kern w:val="0"/>
                <w:sz w:val="24"/>
                <w:szCs w:val="24"/>
                <w:highlight w:val="none"/>
                <w:u w:val="single"/>
              </w:rPr>
              <w:t xml:space="preserve">   </w:t>
            </w:r>
            <w:r>
              <w:rPr>
                <w:rFonts w:hint="eastAsia" w:ascii="宋体" w:hAnsi="宋体" w:eastAsia="宋体" w:cs="宋体"/>
                <w:b w:val="0"/>
                <w:bCs w:val="0"/>
                <w:color w:val="auto"/>
                <w:kern w:val="0"/>
                <w:sz w:val="24"/>
                <w:szCs w:val="24"/>
                <w:highlight w:val="none"/>
              </w:rPr>
              <w:t>时</w:t>
            </w:r>
            <w:r>
              <w:rPr>
                <w:rFonts w:hint="eastAsia" w:ascii="宋体" w:hAnsi="宋体" w:eastAsia="宋体" w:cs="宋体"/>
                <w:b w:val="0"/>
                <w:bCs w:val="0"/>
                <w:color w:val="auto"/>
                <w:kern w:val="0"/>
                <w:sz w:val="24"/>
                <w:szCs w:val="24"/>
                <w:highlight w:val="none"/>
                <w:u w:val="single"/>
              </w:rPr>
              <w:t xml:space="preserve">   </w:t>
            </w:r>
            <w:r>
              <w:rPr>
                <w:rFonts w:hint="eastAsia" w:ascii="宋体" w:hAnsi="宋体" w:eastAsia="宋体" w:cs="宋体"/>
                <w:b w:val="0"/>
                <w:bCs w:val="0"/>
                <w:color w:val="auto"/>
                <w:kern w:val="0"/>
                <w:sz w:val="24"/>
                <w:szCs w:val="24"/>
                <w:highlight w:val="none"/>
              </w:rPr>
              <w:t>分前不得开启”字样。供应商未按要求密封响应文件的，自行承担响应文件遗失、提前解封等责任。</w:t>
            </w:r>
          </w:p>
        </w:tc>
      </w:tr>
      <w:tr w14:paraId="3CCA1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530" w:type="pct"/>
            <w:shd w:val="clear" w:color="auto" w:fill="auto"/>
            <w:vAlign w:val="center"/>
          </w:tcPr>
          <w:p w14:paraId="34B9F708">
            <w:pPr>
              <w:pStyle w:val="21"/>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beforeAutospacing="0" w:afterAutospacing="0" w:line="400" w:lineRule="exact"/>
              <w:jc w:val="center"/>
              <w:textAlignment w:val="auto"/>
              <w:rPr>
                <w:rFonts w:hint="eastAsia" w:ascii="宋体" w:hAnsi="宋体" w:eastAsia="宋体" w:cs="宋体"/>
                <w:bCs/>
                <w:color w:val="auto"/>
                <w:kern w:val="2"/>
                <w:sz w:val="24"/>
                <w:szCs w:val="20"/>
                <w:highlight w:val="none"/>
                <w:lang w:val="en-US" w:eastAsia="zh-CN" w:bidi="ar-SA"/>
              </w:rPr>
            </w:pPr>
            <w:r>
              <w:rPr>
                <w:rFonts w:hint="eastAsia" w:ascii="宋体" w:hAnsi="宋体" w:eastAsia="宋体" w:cs="宋体"/>
                <w:bCs/>
                <w:color w:val="auto"/>
                <w:kern w:val="2"/>
                <w:highlight w:val="none"/>
                <w:lang w:val="en-US" w:eastAsia="zh-CN"/>
              </w:rPr>
              <w:t>13.1</w:t>
            </w:r>
          </w:p>
        </w:tc>
        <w:tc>
          <w:tcPr>
            <w:tcW w:w="727" w:type="pct"/>
            <w:shd w:val="clear" w:color="auto" w:fill="auto"/>
            <w:vAlign w:val="center"/>
          </w:tcPr>
          <w:p w14:paraId="68AB90E9">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bCs/>
                <w:color w:val="auto"/>
                <w:kern w:val="0"/>
                <w:sz w:val="24"/>
                <w:szCs w:val="28"/>
                <w:highlight w:val="none"/>
                <w:lang w:val="en-US" w:eastAsia="zh-CN" w:bidi="ar-SA"/>
              </w:rPr>
            </w:pPr>
            <w:r>
              <w:rPr>
                <w:rFonts w:hint="eastAsia" w:ascii="宋体" w:hAnsi="宋体" w:eastAsia="宋体" w:cs="宋体"/>
                <w:b w:val="0"/>
                <w:color w:val="auto"/>
                <w:sz w:val="24"/>
                <w:highlight w:val="none"/>
                <w:lang w:val="en-US" w:eastAsia="zh-CN"/>
              </w:rPr>
              <w:t>谈判小组</w:t>
            </w:r>
          </w:p>
        </w:tc>
        <w:tc>
          <w:tcPr>
            <w:tcW w:w="3741" w:type="pct"/>
            <w:shd w:val="clear" w:color="auto" w:fill="auto"/>
            <w:vAlign w:val="center"/>
          </w:tcPr>
          <w:p w14:paraId="35FA16FA">
            <w:pPr>
              <w:pStyle w:val="4"/>
              <w:keepNext w:val="0"/>
              <w:keepLines w:val="0"/>
              <w:pageBreakBefore w:val="0"/>
              <w:numPr>
                <w:ilvl w:val="0"/>
                <w:numId w:val="0"/>
              </w:numPr>
              <w:kinsoku/>
              <w:wordWrap/>
              <w:overflowPunct/>
              <w:topLinePunct w:val="0"/>
              <w:autoSpaceDE/>
              <w:autoSpaceDN/>
              <w:bidi w:val="0"/>
              <w:adjustRightInd/>
              <w:snapToGrid/>
              <w:spacing w:beforeAutospacing="0" w:afterAutospacing="0" w:line="400" w:lineRule="exact"/>
              <w:ind w:left="0" w:leftChars="0" w:firstLine="0" w:firstLineChars="0"/>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sz w:val="24"/>
                <w:highlight w:val="none"/>
                <w:lang w:val="en-US" w:eastAsia="zh-CN"/>
              </w:rPr>
              <w:t>本项目谈判小组人数：</w:t>
            </w:r>
            <w:r>
              <w:rPr>
                <w:rFonts w:hint="eastAsia" w:ascii="宋体" w:hAnsi="宋体" w:eastAsia="宋体" w:cs="宋体"/>
                <w:color w:val="auto"/>
                <w:sz w:val="24"/>
                <w:highlight w:val="none"/>
                <w:u w:val="single"/>
                <w:lang w:val="en-US" w:eastAsia="zh-CN"/>
              </w:rPr>
              <w:t>3</w:t>
            </w:r>
            <w:r>
              <w:rPr>
                <w:rFonts w:hint="eastAsia" w:ascii="宋体" w:hAnsi="宋体" w:eastAsia="宋体" w:cs="宋体"/>
                <w:color w:val="auto"/>
                <w:sz w:val="24"/>
                <w:highlight w:val="none"/>
                <w:u w:val="none"/>
                <w:lang w:val="en-US" w:eastAsia="zh-CN"/>
              </w:rPr>
              <w:t>人。（达到公开招标数额标准的项目，谈判小组应当由5人以上单数组成）</w:t>
            </w:r>
          </w:p>
        </w:tc>
      </w:tr>
      <w:tr w14:paraId="0E43A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530" w:type="pct"/>
            <w:vAlign w:val="center"/>
          </w:tcPr>
          <w:p w14:paraId="4AE15BA5">
            <w:pPr>
              <w:pStyle w:val="21"/>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lang w:val="en-US" w:eastAsia="zh-CN"/>
              </w:rPr>
              <w:t>14</w:t>
            </w:r>
            <w:r>
              <w:rPr>
                <w:rFonts w:hint="eastAsia" w:ascii="宋体" w:hAnsi="宋体" w:eastAsia="宋体" w:cs="宋体"/>
                <w:bCs/>
                <w:color w:val="auto"/>
                <w:kern w:val="2"/>
                <w:highlight w:val="none"/>
              </w:rPr>
              <w:t>.3</w:t>
            </w:r>
          </w:p>
        </w:tc>
        <w:tc>
          <w:tcPr>
            <w:tcW w:w="727" w:type="pct"/>
            <w:vAlign w:val="center"/>
          </w:tcPr>
          <w:p w14:paraId="52ED24E7">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评审方法</w:t>
            </w:r>
          </w:p>
        </w:tc>
        <w:tc>
          <w:tcPr>
            <w:tcW w:w="3741" w:type="pct"/>
            <w:vAlign w:val="center"/>
          </w:tcPr>
          <w:p w14:paraId="6E9E8476">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u w:val="none"/>
              </w:rPr>
              <w:t>最低评标价法</w:t>
            </w:r>
          </w:p>
        </w:tc>
      </w:tr>
      <w:tr w14:paraId="18679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530" w:type="pct"/>
            <w:vMerge w:val="restart"/>
            <w:vAlign w:val="center"/>
          </w:tcPr>
          <w:p w14:paraId="477E25DE">
            <w:pPr>
              <w:pStyle w:val="21"/>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lang w:val="en-US" w:eastAsia="zh-CN"/>
              </w:rPr>
              <w:t>19</w:t>
            </w:r>
            <w:r>
              <w:rPr>
                <w:rFonts w:hint="eastAsia" w:ascii="宋体" w:hAnsi="宋体" w:eastAsia="宋体" w:cs="宋体"/>
                <w:bCs/>
                <w:color w:val="auto"/>
                <w:kern w:val="2"/>
                <w:highlight w:val="none"/>
              </w:rPr>
              <w:t>.1</w:t>
            </w:r>
          </w:p>
        </w:tc>
        <w:tc>
          <w:tcPr>
            <w:tcW w:w="727" w:type="pct"/>
            <w:vMerge w:val="restart"/>
            <w:vAlign w:val="center"/>
          </w:tcPr>
          <w:p w14:paraId="53AD6A54">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确定成交候选人和成交供应商</w:t>
            </w:r>
          </w:p>
        </w:tc>
        <w:tc>
          <w:tcPr>
            <w:tcW w:w="3741" w:type="pct"/>
            <w:vAlign w:val="center"/>
          </w:tcPr>
          <w:p w14:paraId="727B05B2">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lang w:val="en-US" w:eastAsia="zh-CN"/>
              </w:rPr>
            </w:pPr>
            <w:r>
              <w:rPr>
                <w:rFonts w:hint="eastAsia" w:ascii="宋体" w:hAnsi="宋体" w:eastAsia="宋体" w:cs="宋体"/>
                <w:b w:val="0"/>
                <w:color w:val="auto"/>
                <w:sz w:val="24"/>
                <w:highlight w:val="none"/>
              </w:rPr>
              <w:t>谈判小组推荐成交候选人的数量：</w:t>
            </w:r>
            <w:r>
              <w:rPr>
                <w:rFonts w:hint="eastAsia" w:ascii="宋体" w:hAnsi="宋体" w:eastAsia="宋体" w:cs="宋体"/>
                <w:b w:val="0"/>
                <w:color w:val="auto"/>
                <w:sz w:val="24"/>
                <w:highlight w:val="none"/>
                <w:lang w:val="en-US" w:eastAsia="zh-CN"/>
              </w:rPr>
              <w:t>1-</w:t>
            </w:r>
            <w:r>
              <w:rPr>
                <w:rFonts w:hint="eastAsia" w:ascii="宋体" w:hAnsi="宋体" w:eastAsia="宋体" w:cs="宋体"/>
                <w:b w:val="0"/>
                <w:color w:val="auto"/>
                <w:sz w:val="24"/>
                <w:highlight w:val="none"/>
              </w:rPr>
              <w:t>3家</w:t>
            </w:r>
          </w:p>
          <w:p w14:paraId="66A33E85">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u w:val="single"/>
              </w:rPr>
            </w:pPr>
            <w:r>
              <w:rPr>
                <w:rFonts w:hint="eastAsia" w:ascii="宋体" w:hAnsi="宋体" w:eastAsia="宋体" w:cs="宋体"/>
                <w:b w:val="0"/>
                <w:color w:val="auto"/>
                <w:sz w:val="24"/>
                <w:highlight w:val="none"/>
                <w:lang w:val="en-US" w:eastAsia="zh-CN"/>
              </w:rPr>
              <w:t>注：法律、法规另有规定的，从其规定</w:t>
            </w:r>
          </w:p>
        </w:tc>
      </w:tr>
      <w:tr w14:paraId="13D68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530" w:type="pct"/>
            <w:vMerge w:val="continue"/>
            <w:vAlign w:val="center"/>
          </w:tcPr>
          <w:p w14:paraId="66FA0BFF">
            <w:pPr>
              <w:pStyle w:val="21"/>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2"/>
                <w:highlight w:val="none"/>
              </w:rPr>
            </w:pPr>
          </w:p>
        </w:tc>
        <w:tc>
          <w:tcPr>
            <w:tcW w:w="727" w:type="pct"/>
            <w:vMerge w:val="continue"/>
            <w:vAlign w:val="center"/>
          </w:tcPr>
          <w:p w14:paraId="49D2D9E5">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p>
        </w:tc>
        <w:tc>
          <w:tcPr>
            <w:tcW w:w="3741" w:type="pct"/>
            <w:vAlign w:val="center"/>
          </w:tcPr>
          <w:p w14:paraId="236869DE">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确定成交供应商：</w:t>
            </w:r>
          </w:p>
          <w:p w14:paraId="3DFA6C69">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lang w:eastAsia="zh-CN"/>
              </w:rPr>
              <w:t>☑</w:t>
            </w:r>
            <w:r>
              <w:rPr>
                <w:rFonts w:hint="eastAsia" w:ascii="宋体" w:hAnsi="宋体" w:eastAsia="宋体" w:cs="宋体"/>
                <w:b w:val="0"/>
                <w:color w:val="auto"/>
                <w:sz w:val="24"/>
                <w:highlight w:val="none"/>
              </w:rPr>
              <w:t>采购人委托谈判小组确定     □采购人确定</w:t>
            </w:r>
          </w:p>
        </w:tc>
      </w:tr>
      <w:tr w14:paraId="7C13C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530" w:type="pct"/>
            <w:vAlign w:val="center"/>
          </w:tcPr>
          <w:p w14:paraId="6EB044B7">
            <w:pPr>
              <w:pStyle w:val="21"/>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lang w:val="en-US" w:eastAsia="zh-CN"/>
              </w:rPr>
              <w:t>23</w:t>
            </w:r>
            <w:r>
              <w:rPr>
                <w:rFonts w:hint="eastAsia" w:ascii="宋体" w:hAnsi="宋体" w:eastAsia="宋体" w:cs="宋体"/>
                <w:bCs/>
                <w:color w:val="auto"/>
                <w:kern w:val="2"/>
                <w:highlight w:val="none"/>
              </w:rPr>
              <w:t>.1</w:t>
            </w:r>
          </w:p>
        </w:tc>
        <w:tc>
          <w:tcPr>
            <w:tcW w:w="727" w:type="pct"/>
            <w:vAlign w:val="center"/>
          </w:tcPr>
          <w:p w14:paraId="008BDCC2">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成交通知书发出的形式</w:t>
            </w:r>
          </w:p>
        </w:tc>
        <w:tc>
          <w:tcPr>
            <w:tcW w:w="3741" w:type="pct"/>
            <w:vAlign w:val="center"/>
          </w:tcPr>
          <w:p w14:paraId="066F4A0A">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lang w:eastAsia="zh-CN"/>
              </w:rPr>
              <w:t>☑</w:t>
            </w:r>
            <w:r>
              <w:rPr>
                <w:rFonts w:hint="eastAsia" w:ascii="宋体" w:hAnsi="宋体" w:eastAsia="宋体" w:cs="宋体"/>
                <w:b w:val="0"/>
                <w:color w:val="auto"/>
                <w:sz w:val="24"/>
                <w:highlight w:val="none"/>
              </w:rPr>
              <w:t xml:space="preserve">书面     </w:t>
            </w:r>
            <w:r>
              <w:rPr>
                <w:rFonts w:hint="eastAsia" w:ascii="宋体" w:hAnsi="宋体" w:eastAsia="宋体" w:cs="宋体"/>
                <w:b w:val="0"/>
                <w:color w:val="auto"/>
                <w:sz w:val="24"/>
                <w:highlight w:val="none"/>
                <w:lang w:eastAsia="zh-CN"/>
              </w:rPr>
              <w:t>□</w:t>
            </w:r>
            <w:r>
              <w:rPr>
                <w:rFonts w:hint="eastAsia" w:ascii="宋体" w:hAnsi="宋体" w:eastAsia="宋体" w:cs="宋体"/>
                <w:b w:val="0"/>
                <w:color w:val="auto"/>
                <w:sz w:val="24"/>
                <w:highlight w:val="none"/>
              </w:rPr>
              <w:t>数据电文</w:t>
            </w:r>
          </w:p>
        </w:tc>
      </w:tr>
      <w:tr w14:paraId="27D24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866" w:hRule="atLeast"/>
          <w:jc w:val="center"/>
        </w:trPr>
        <w:tc>
          <w:tcPr>
            <w:tcW w:w="530" w:type="pct"/>
            <w:vAlign w:val="center"/>
          </w:tcPr>
          <w:p w14:paraId="025ADC54">
            <w:pPr>
              <w:pStyle w:val="21"/>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 w:val="0"/>
                <w:bCs/>
                <w:color w:val="auto"/>
                <w:sz w:val="24"/>
                <w:szCs w:val="24"/>
                <w:highlight w:val="none"/>
                <w:lang w:val="en-US" w:eastAsia="zh-CN"/>
              </w:rPr>
              <w:t>24.1</w:t>
            </w:r>
          </w:p>
        </w:tc>
        <w:tc>
          <w:tcPr>
            <w:tcW w:w="727" w:type="pct"/>
            <w:vAlign w:val="center"/>
          </w:tcPr>
          <w:p w14:paraId="223B3AB5">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r>
              <w:rPr>
                <w:rFonts w:hint="eastAsia" w:ascii="宋体" w:hAnsi="宋体" w:eastAsia="宋体" w:cs="宋体"/>
                <w:b w:val="0"/>
                <w:bCs/>
                <w:color w:val="auto"/>
                <w:sz w:val="24"/>
                <w:szCs w:val="24"/>
                <w:highlight w:val="none"/>
                <w:lang w:val="en-US" w:eastAsia="zh-CN"/>
              </w:rPr>
              <w:t>告知谈判结果的形式</w:t>
            </w:r>
          </w:p>
        </w:tc>
        <w:tc>
          <w:tcPr>
            <w:tcW w:w="3741" w:type="pct"/>
            <w:vAlign w:val="center"/>
          </w:tcPr>
          <w:p w14:paraId="79FC03B5">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lang w:val="en-US" w:eastAsia="zh-CN"/>
              </w:rPr>
            </w:pPr>
            <w:r>
              <w:rPr>
                <w:rFonts w:hint="eastAsia" w:ascii="宋体" w:hAnsi="宋体" w:eastAsia="宋体" w:cs="宋体"/>
                <w:b w:val="0"/>
                <w:color w:val="auto"/>
                <w:sz w:val="24"/>
                <w:highlight w:val="none"/>
                <w:lang w:val="en-US" w:eastAsia="zh-CN"/>
              </w:rPr>
              <w:t>谈判现场告知</w:t>
            </w:r>
          </w:p>
        </w:tc>
      </w:tr>
      <w:tr w14:paraId="4C3DA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530" w:type="pct"/>
            <w:vAlign w:val="center"/>
          </w:tcPr>
          <w:p w14:paraId="30BAE533">
            <w:pPr>
              <w:pStyle w:val="21"/>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lang w:val="en-US" w:eastAsia="zh-CN"/>
              </w:rPr>
              <w:t>25</w:t>
            </w:r>
            <w:r>
              <w:rPr>
                <w:rFonts w:hint="eastAsia" w:ascii="宋体" w:hAnsi="宋体" w:eastAsia="宋体" w:cs="宋体"/>
                <w:bCs/>
                <w:color w:val="auto"/>
                <w:kern w:val="2"/>
                <w:highlight w:val="none"/>
              </w:rPr>
              <w:t>.1</w:t>
            </w:r>
          </w:p>
        </w:tc>
        <w:tc>
          <w:tcPr>
            <w:tcW w:w="727" w:type="pct"/>
            <w:vAlign w:val="center"/>
          </w:tcPr>
          <w:p w14:paraId="1B4D9F2C">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履约保证金</w:t>
            </w:r>
          </w:p>
        </w:tc>
        <w:tc>
          <w:tcPr>
            <w:tcW w:w="3741" w:type="pct"/>
            <w:vAlign w:val="center"/>
          </w:tcPr>
          <w:p w14:paraId="20C6A9F5">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color w:val="auto"/>
                <w:sz w:val="24"/>
                <w:highlight w:val="none"/>
                <w:lang w:eastAsia="zh-CN"/>
              </w:rPr>
            </w:pPr>
            <w:r>
              <w:rPr>
                <w:rFonts w:hint="eastAsia" w:ascii="宋体" w:hAnsi="宋体" w:eastAsia="宋体" w:cs="宋体"/>
                <w:bCs/>
                <w:color w:val="auto"/>
                <w:kern w:val="0"/>
                <w:sz w:val="24"/>
                <w:szCs w:val="28"/>
                <w:highlight w:val="none"/>
                <w:lang w:val="en-US" w:eastAsia="zh-CN"/>
              </w:rPr>
              <w:t>/</w:t>
            </w:r>
          </w:p>
        </w:tc>
      </w:tr>
      <w:tr w14:paraId="2F06E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530" w:type="pct"/>
            <w:vAlign w:val="center"/>
          </w:tcPr>
          <w:p w14:paraId="5D02A763">
            <w:pPr>
              <w:pStyle w:val="21"/>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lang w:val="en-US" w:eastAsia="zh-CN"/>
              </w:rPr>
              <w:t>26</w:t>
            </w:r>
            <w:r>
              <w:rPr>
                <w:rFonts w:hint="eastAsia" w:ascii="宋体" w:hAnsi="宋体" w:eastAsia="宋体" w:cs="宋体"/>
                <w:bCs/>
                <w:color w:val="auto"/>
                <w:kern w:val="2"/>
                <w:highlight w:val="none"/>
              </w:rPr>
              <w:t>.1</w:t>
            </w:r>
          </w:p>
        </w:tc>
        <w:tc>
          <w:tcPr>
            <w:tcW w:w="727" w:type="pct"/>
            <w:vAlign w:val="center"/>
          </w:tcPr>
          <w:p w14:paraId="6B5F6D0F">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bCs/>
                <w:color w:val="auto"/>
                <w:kern w:val="0"/>
                <w:sz w:val="24"/>
                <w:szCs w:val="28"/>
                <w:highlight w:val="none"/>
                <w:lang w:val="en-US" w:eastAsia="zh-CN" w:bidi="ar-SA"/>
              </w:rPr>
            </w:pPr>
            <w:r>
              <w:rPr>
                <w:rFonts w:hint="eastAsia" w:ascii="宋体" w:hAnsi="宋体" w:eastAsia="宋体" w:cs="宋体"/>
                <w:b w:val="0"/>
                <w:color w:val="auto"/>
                <w:sz w:val="24"/>
                <w:highlight w:val="none"/>
                <w:lang w:val="en-US" w:eastAsia="zh-CN"/>
              </w:rPr>
              <w:t>代理服务费</w:t>
            </w:r>
          </w:p>
        </w:tc>
        <w:tc>
          <w:tcPr>
            <w:tcW w:w="3741" w:type="pct"/>
            <w:vAlign w:val="center"/>
          </w:tcPr>
          <w:p w14:paraId="01BC95DC">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本项目采购代理服务费由中标人（成交人）支付。根据《国家发展改革委关于进一步放开建设项目专业服务价格的通知》（发改价格【2015】299号）文件精神，现将费用标准予以告知，本项目采购代理服务费计算公式为：中标价（成交价）*1.5%（不足3000元的按3000元收取）。</w:t>
            </w:r>
          </w:p>
          <w:p w14:paraId="422E4FC1">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代理费缴纳账户：</w:t>
            </w:r>
          </w:p>
          <w:p w14:paraId="43B77F7B">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户名：安徽大别山工程咨询有限公司</w:t>
            </w:r>
          </w:p>
          <w:p w14:paraId="7F75A12C">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开户行：安徽霍山农村商业银行股份有限公司营业部</w:t>
            </w:r>
          </w:p>
          <w:p w14:paraId="44A4A836">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账号：20010048352066600000012</w:t>
            </w:r>
          </w:p>
        </w:tc>
      </w:tr>
      <w:tr w14:paraId="3B773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530" w:type="pct"/>
            <w:vAlign w:val="center"/>
          </w:tcPr>
          <w:p w14:paraId="3A0F1E1E">
            <w:pPr>
              <w:pStyle w:val="21"/>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2"/>
                <w:sz w:val="24"/>
                <w:szCs w:val="20"/>
                <w:highlight w:val="none"/>
                <w:lang w:val="en-US" w:eastAsia="zh-CN" w:bidi="ar-SA"/>
              </w:rPr>
            </w:pPr>
            <w:r>
              <w:rPr>
                <w:rFonts w:hint="eastAsia" w:ascii="宋体" w:hAnsi="宋体" w:eastAsia="宋体" w:cs="宋体"/>
                <w:bCs/>
                <w:color w:val="auto"/>
                <w:kern w:val="2"/>
                <w:highlight w:val="none"/>
                <w:lang w:val="en-US" w:eastAsia="zh-CN"/>
              </w:rPr>
              <w:t>27.1</w:t>
            </w:r>
          </w:p>
        </w:tc>
        <w:tc>
          <w:tcPr>
            <w:tcW w:w="727" w:type="pct"/>
            <w:vAlign w:val="center"/>
          </w:tcPr>
          <w:p w14:paraId="034D00BA">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bCs/>
                <w:color w:val="auto"/>
                <w:kern w:val="0"/>
                <w:sz w:val="24"/>
                <w:szCs w:val="28"/>
                <w:highlight w:val="none"/>
                <w:lang w:val="en-US" w:eastAsia="zh-CN" w:bidi="ar-SA"/>
              </w:rPr>
            </w:pPr>
            <w:r>
              <w:rPr>
                <w:rFonts w:hint="eastAsia" w:ascii="宋体" w:hAnsi="宋体" w:eastAsia="宋体" w:cs="宋体"/>
                <w:b w:val="0"/>
                <w:color w:val="auto"/>
                <w:sz w:val="24"/>
                <w:highlight w:val="none"/>
              </w:rPr>
              <w:t>签订合同</w:t>
            </w:r>
          </w:p>
        </w:tc>
        <w:tc>
          <w:tcPr>
            <w:tcW w:w="3741" w:type="pct"/>
            <w:vAlign w:val="center"/>
          </w:tcPr>
          <w:p w14:paraId="74588300">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采购人与成交供应商应当自发出成交通知书之日起30日内签订合同。</w:t>
            </w:r>
          </w:p>
        </w:tc>
      </w:tr>
      <w:tr w14:paraId="48E3F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530" w:type="pct"/>
            <w:vAlign w:val="center"/>
          </w:tcPr>
          <w:p w14:paraId="0C6428BC">
            <w:pPr>
              <w:pStyle w:val="21"/>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lang w:val="en-US" w:eastAsia="zh-CN"/>
              </w:rPr>
              <w:t>29</w:t>
            </w:r>
            <w:r>
              <w:rPr>
                <w:rFonts w:hint="eastAsia" w:ascii="宋体" w:hAnsi="宋体" w:eastAsia="宋体" w:cs="宋体"/>
                <w:bCs/>
                <w:color w:val="auto"/>
                <w:kern w:val="2"/>
                <w:highlight w:val="none"/>
              </w:rPr>
              <w:t>.</w:t>
            </w:r>
            <w:r>
              <w:rPr>
                <w:rFonts w:hint="eastAsia" w:ascii="宋体" w:hAnsi="宋体" w:eastAsia="宋体" w:cs="宋体"/>
                <w:bCs/>
                <w:color w:val="auto"/>
                <w:kern w:val="2"/>
                <w:highlight w:val="none"/>
                <w:lang w:val="en-US" w:eastAsia="zh-CN"/>
              </w:rPr>
              <w:t>3</w:t>
            </w:r>
          </w:p>
        </w:tc>
        <w:tc>
          <w:tcPr>
            <w:tcW w:w="727" w:type="pct"/>
            <w:vAlign w:val="center"/>
          </w:tcPr>
          <w:p w14:paraId="6F831150">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bCs/>
                <w:color w:val="auto"/>
                <w:kern w:val="0"/>
                <w:sz w:val="24"/>
                <w:szCs w:val="28"/>
                <w:highlight w:val="none"/>
                <w:lang w:val="en-US" w:eastAsia="zh-CN" w:bidi="ar-SA"/>
              </w:rPr>
            </w:pPr>
            <w:r>
              <w:rPr>
                <w:rFonts w:hint="eastAsia" w:ascii="宋体" w:hAnsi="宋体" w:eastAsia="宋体" w:cs="宋体"/>
                <w:b w:val="0"/>
                <w:color w:val="auto"/>
                <w:sz w:val="24"/>
                <w:highlight w:val="none"/>
              </w:rPr>
              <w:t>质疑函递交方式</w:t>
            </w:r>
          </w:p>
        </w:tc>
        <w:tc>
          <w:tcPr>
            <w:tcW w:w="3741" w:type="pct"/>
            <w:vAlign w:val="center"/>
          </w:tcPr>
          <w:p w14:paraId="07726424">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bCs/>
                <w:color w:val="auto"/>
                <w:sz w:val="24"/>
                <w:szCs w:val="24"/>
                <w:highlight w:val="none"/>
                <w:lang w:val="zh-CN"/>
              </w:rPr>
            </w:pPr>
            <w:r>
              <w:rPr>
                <w:rFonts w:hint="eastAsia" w:ascii="宋体" w:hAnsi="宋体" w:eastAsia="宋体" w:cs="宋体"/>
                <w:b w:val="0"/>
                <w:bCs/>
                <w:color w:val="auto"/>
                <w:sz w:val="24"/>
                <w:szCs w:val="24"/>
                <w:highlight w:val="none"/>
                <w:lang w:val="zh-CN"/>
              </w:rPr>
              <w:t>1、供应商若对采购文件有关内容存在质疑，可在</w:t>
            </w:r>
            <w:r>
              <w:rPr>
                <w:rFonts w:hint="eastAsia" w:ascii="宋体" w:hAnsi="宋体" w:eastAsia="宋体" w:cs="宋体"/>
                <w:b w:val="0"/>
                <w:bCs/>
                <w:color w:val="auto"/>
                <w:sz w:val="24"/>
                <w:szCs w:val="24"/>
                <w:highlight w:val="none"/>
              </w:rPr>
              <w:t>法定质疑时限内</w:t>
            </w:r>
            <w:r>
              <w:rPr>
                <w:rFonts w:hint="eastAsia" w:ascii="宋体" w:hAnsi="宋体" w:eastAsia="宋体" w:cs="宋体"/>
                <w:b w:val="0"/>
                <w:bCs/>
                <w:color w:val="auto"/>
                <w:sz w:val="24"/>
                <w:szCs w:val="24"/>
                <w:highlight w:val="none"/>
                <w:lang w:val="zh-CN"/>
              </w:rPr>
              <w:t>以书面形式在工作时间向采购人、采购代理机构提出质疑。质疑文件须按照采购文件“第七章</w:t>
            </w:r>
            <w:r>
              <w:rPr>
                <w:rFonts w:hint="eastAsia" w:ascii="宋体" w:hAnsi="宋体" w:eastAsia="宋体" w:cs="宋体"/>
                <w:b w:val="0"/>
                <w:bCs/>
                <w:color w:val="auto"/>
                <w:sz w:val="24"/>
                <w:szCs w:val="24"/>
                <w:highlight w:val="none"/>
                <w:lang w:val="en-US" w:eastAsia="zh-CN"/>
              </w:rPr>
              <w:t xml:space="preserve"> </w:t>
            </w:r>
            <w:r>
              <w:rPr>
                <w:rFonts w:hint="eastAsia" w:ascii="宋体" w:hAnsi="宋体" w:eastAsia="宋体" w:cs="宋体"/>
                <w:b w:val="0"/>
                <w:bCs/>
                <w:color w:val="auto"/>
                <w:sz w:val="24"/>
                <w:szCs w:val="24"/>
                <w:highlight w:val="none"/>
                <w:lang w:val="zh-CN"/>
              </w:rPr>
              <w:t>供应商询问函和质疑函范本”要求制作，质疑文件不可匿名，须加盖质疑人</w:t>
            </w:r>
            <w:r>
              <w:rPr>
                <w:rFonts w:hint="eastAsia" w:ascii="宋体" w:hAnsi="宋体" w:eastAsia="宋体" w:cs="宋体"/>
                <w:b w:val="0"/>
                <w:bCs/>
                <w:color w:val="auto"/>
                <w:sz w:val="24"/>
                <w:szCs w:val="24"/>
                <w:highlight w:val="none"/>
                <w:lang w:val="en-US" w:eastAsia="zh-CN"/>
              </w:rPr>
              <w:t>公章</w:t>
            </w:r>
            <w:r>
              <w:rPr>
                <w:rFonts w:hint="eastAsia" w:ascii="宋体" w:hAnsi="宋体" w:eastAsia="宋体" w:cs="宋体"/>
                <w:b w:val="0"/>
                <w:bCs/>
                <w:color w:val="auto"/>
                <w:sz w:val="24"/>
                <w:szCs w:val="24"/>
                <w:highlight w:val="none"/>
                <w:lang w:val="zh-CN"/>
              </w:rPr>
              <w:t>后</w:t>
            </w:r>
            <w:r>
              <w:rPr>
                <w:rFonts w:hint="eastAsia" w:ascii="宋体" w:hAnsi="宋体" w:eastAsia="宋体" w:cs="宋体"/>
                <w:b w:val="0"/>
                <w:bCs/>
                <w:color w:val="auto"/>
                <w:sz w:val="24"/>
                <w:szCs w:val="24"/>
                <w:highlight w:val="none"/>
                <w:lang w:val="en-US" w:eastAsia="zh-CN"/>
              </w:rPr>
              <w:t>提交</w:t>
            </w:r>
            <w:r>
              <w:rPr>
                <w:rFonts w:hint="eastAsia" w:ascii="宋体" w:hAnsi="宋体" w:eastAsia="宋体" w:cs="宋体"/>
                <w:b w:val="0"/>
                <w:bCs/>
                <w:color w:val="auto"/>
                <w:sz w:val="24"/>
                <w:szCs w:val="24"/>
                <w:highlight w:val="none"/>
                <w:lang w:val="zh-CN"/>
              </w:rPr>
              <w:t>。采购人（采购代理机构）将于收到质疑文件后七个工作日内答复。</w:t>
            </w:r>
          </w:p>
          <w:p w14:paraId="6498A450">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bCs/>
                <w:color w:val="auto"/>
                <w:kern w:val="0"/>
                <w:sz w:val="24"/>
                <w:szCs w:val="28"/>
                <w:highlight w:val="none"/>
                <w:lang w:val="en-US" w:eastAsia="zh-CN" w:bidi="ar-SA"/>
              </w:rPr>
            </w:pPr>
            <w:r>
              <w:rPr>
                <w:rFonts w:hint="eastAsia" w:ascii="宋体" w:hAnsi="宋体" w:eastAsia="宋体" w:cs="宋体"/>
                <w:b w:val="0"/>
                <w:color w:val="auto"/>
                <w:kern w:val="0"/>
                <w:sz w:val="24"/>
                <w:szCs w:val="24"/>
                <w:highlight w:val="none"/>
                <w:lang w:val="en-US" w:eastAsia="zh-CN"/>
              </w:rPr>
              <w:t>2</w:t>
            </w:r>
            <w:r>
              <w:rPr>
                <w:rFonts w:hint="eastAsia" w:ascii="宋体" w:hAnsi="宋体" w:eastAsia="宋体" w:cs="宋体"/>
                <w:b w:val="0"/>
                <w:color w:val="auto"/>
                <w:kern w:val="0"/>
                <w:sz w:val="24"/>
                <w:szCs w:val="24"/>
                <w:highlight w:val="none"/>
              </w:rPr>
              <w:t>、请各潜在供应商在响应截止时间前，务必登录安徽霍山国有资产投资控股集团有限公司（http://</w:t>
            </w:r>
            <w:r>
              <w:rPr>
                <w:rFonts w:hint="eastAsia" w:ascii="宋体" w:hAnsi="宋体" w:eastAsia="宋体" w:cs="宋体"/>
                <w:b w:val="0"/>
                <w:color w:val="auto"/>
                <w:kern w:val="0"/>
                <w:sz w:val="24"/>
                <w:szCs w:val="24"/>
                <w:highlight w:val="none"/>
                <w:lang w:val="en-US" w:eastAsia="zh-CN"/>
              </w:rPr>
              <w:t>www.</w:t>
            </w:r>
            <w:r>
              <w:rPr>
                <w:rFonts w:hint="eastAsia" w:ascii="宋体" w:hAnsi="宋体" w:eastAsia="宋体" w:cs="宋体"/>
                <w:b w:val="0"/>
                <w:color w:val="auto"/>
                <w:kern w:val="0"/>
                <w:sz w:val="24"/>
                <w:szCs w:val="24"/>
                <w:highlight w:val="none"/>
              </w:rPr>
              <w:t>ahdmig.cn）“补充公告”栏目，查看是否发布有关项目更正公告。更正公告为采购文件的有效组成部分，一经发布即为视同已通知所有潜在供应商，若因未及时关注而造成的一切后果，由供应商自行承担。</w:t>
            </w:r>
          </w:p>
        </w:tc>
      </w:tr>
      <w:tr w14:paraId="376A7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79" w:type="dxa"/>
          </w:tblCellMar>
        </w:tblPrEx>
        <w:trPr>
          <w:trHeight w:val="502" w:hRule="atLeast"/>
          <w:jc w:val="center"/>
        </w:trPr>
        <w:tc>
          <w:tcPr>
            <w:tcW w:w="530" w:type="pct"/>
            <w:vAlign w:val="center"/>
          </w:tcPr>
          <w:p w14:paraId="223FE0B8">
            <w:pPr>
              <w:pStyle w:val="21"/>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2"/>
                <w:highlight w:val="none"/>
                <w:lang w:val="en-US" w:eastAsia="zh-CN"/>
              </w:rPr>
            </w:pPr>
            <w:r>
              <w:rPr>
                <w:rFonts w:hint="eastAsia" w:ascii="宋体" w:hAnsi="宋体" w:eastAsia="宋体" w:cs="宋体"/>
                <w:bCs/>
                <w:color w:val="auto"/>
                <w:kern w:val="2"/>
                <w:highlight w:val="none"/>
                <w:lang w:val="en-US" w:eastAsia="zh-CN"/>
              </w:rPr>
              <w:t>30</w:t>
            </w:r>
          </w:p>
        </w:tc>
        <w:tc>
          <w:tcPr>
            <w:tcW w:w="727" w:type="pct"/>
            <w:vAlign w:val="center"/>
          </w:tcPr>
          <w:p w14:paraId="6D93B80D">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rPr>
                <w:rFonts w:hint="eastAsia" w:ascii="宋体" w:hAnsi="宋体" w:eastAsia="宋体" w:cs="宋体"/>
                <w:b w:val="0"/>
                <w:bCs/>
                <w:color w:val="auto"/>
                <w:kern w:val="0"/>
                <w:sz w:val="24"/>
                <w:szCs w:val="28"/>
                <w:highlight w:val="none"/>
                <w:lang w:val="en-US" w:eastAsia="zh-CN" w:bidi="ar-SA"/>
              </w:rPr>
            </w:pPr>
            <w:r>
              <w:rPr>
                <w:rFonts w:hint="eastAsia" w:ascii="宋体" w:hAnsi="宋体" w:eastAsia="宋体" w:cs="宋体"/>
                <w:b w:val="0"/>
                <w:color w:val="auto"/>
                <w:sz w:val="24"/>
                <w:highlight w:val="none"/>
                <w:lang w:val="en-US" w:eastAsia="zh-CN"/>
              </w:rPr>
              <w:t>其他内容</w:t>
            </w:r>
          </w:p>
        </w:tc>
        <w:tc>
          <w:tcPr>
            <w:tcW w:w="3741" w:type="pct"/>
            <w:vAlign w:val="center"/>
          </w:tcPr>
          <w:p w14:paraId="658FC898">
            <w:pPr>
              <w:pStyle w:val="20"/>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color w:val="auto"/>
                <w:sz w:val="24"/>
                <w:highlight w:val="none"/>
                <w:lang w:val="en-US" w:eastAsia="zh-CN"/>
              </w:rPr>
            </w:pPr>
            <w:r>
              <w:rPr>
                <w:rFonts w:hint="eastAsia" w:ascii="宋体" w:hAnsi="宋体" w:eastAsia="宋体" w:cs="宋体"/>
                <w:b w:val="0"/>
                <w:color w:val="auto"/>
                <w:sz w:val="24"/>
                <w:highlight w:val="none"/>
                <w:lang w:val="en-US" w:eastAsia="zh-CN"/>
              </w:rPr>
              <w:t>1、解释权：</w:t>
            </w:r>
          </w:p>
          <w:p w14:paraId="7A2A94BC">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（1）构成本</w:t>
            </w:r>
            <w:r>
              <w:rPr>
                <w:rFonts w:hint="eastAsia" w:ascii="宋体" w:hAnsi="宋体" w:eastAsia="宋体" w:cs="宋体"/>
                <w:bCs/>
                <w:color w:val="auto"/>
                <w:sz w:val="24"/>
                <w:szCs w:val="24"/>
                <w:highlight w:val="none"/>
                <w:lang w:val="en-US" w:eastAsia="zh-CN"/>
              </w:rPr>
              <w:t>谈判</w:t>
            </w:r>
            <w:r>
              <w:rPr>
                <w:rFonts w:hint="eastAsia" w:ascii="宋体" w:hAnsi="宋体" w:eastAsia="宋体" w:cs="宋体"/>
                <w:bCs/>
                <w:color w:val="auto"/>
                <w:sz w:val="24"/>
                <w:szCs w:val="24"/>
                <w:highlight w:val="none"/>
              </w:rPr>
              <w:t>文件的各个组成文件应互为解释，互为说明；</w:t>
            </w:r>
          </w:p>
          <w:p w14:paraId="3328FE2D">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（2）同一组成文件中就同一事项的规定或约定不一致的，以编排顺序在后者为准；</w:t>
            </w:r>
          </w:p>
          <w:p w14:paraId="0E22499B">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（3）如有不明确或不一致，构成合同文件组成内容的，以合同文件约定内容为准，且以专用合同条款约定的合同文件优先顺序解释；</w:t>
            </w:r>
          </w:p>
          <w:p w14:paraId="060216CF">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（4）除谈判文件中有特别规定外，仅适用于谈判及响应文件提交阶段的规定，按</w:t>
            </w:r>
            <w:r>
              <w:rPr>
                <w:rFonts w:hint="eastAsia" w:ascii="宋体" w:hAnsi="宋体" w:eastAsia="宋体" w:cs="宋体"/>
                <w:bCs/>
                <w:color w:val="auto"/>
                <w:sz w:val="24"/>
                <w:szCs w:val="24"/>
                <w:highlight w:val="none"/>
                <w:lang w:eastAsia="zh-CN"/>
              </w:rPr>
              <w:t>采购邀请</w:t>
            </w:r>
            <w:r>
              <w:rPr>
                <w:rFonts w:hint="eastAsia" w:ascii="宋体" w:hAnsi="宋体" w:eastAsia="宋体" w:cs="宋体"/>
                <w:bCs/>
                <w:color w:val="auto"/>
                <w:sz w:val="24"/>
                <w:szCs w:val="24"/>
                <w:highlight w:val="none"/>
              </w:rPr>
              <w:t>、供应商须知、评审方法和标准、响应文件格式的先后顺序解释；</w:t>
            </w:r>
          </w:p>
          <w:p w14:paraId="500BCE37">
            <w:pPr>
              <w:pStyle w:val="20"/>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（5）按本款前述规定仍不能形成结论的，由采购人负责解释。</w:t>
            </w:r>
          </w:p>
          <w:p w14:paraId="125BAD1E">
            <w:pPr>
              <w:pStyle w:val="20"/>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bCs/>
                <w:color w:val="auto"/>
                <w:sz w:val="24"/>
                <w:szCs w:val="24"/>
                <w:highlight w:val="none"/>
                <w:u w:val="none"/>
                <w:lang w:val="en-US" w:eastAsia="zh-CN"/>
              </w:rPr>
            </w:pPr>
            <w:r>
              <w:rPr>
                <w:rFonts w:hint="eastAsia" w:ascii="宋体" w:hAnsi="宋体" w:eastAsia="宋体" w:cs="宋体"/>
                <w:b w:val="0"/>
                <w:bCs/>
                <w:color w:val="auto"/>
                <w:sz w:val="24"/>
                <w:szCs w:val="24"/>
                <w:highlight w:val="none"/>
                <w:u w:val="none"/>
                <w:lang w:val="en-US" w:eastAsia="zh-CN"/>
              </w:rPr>
              <w:t>2、采购文件中，按日计算期间的，开始当天不计入，从次日开始计算。期限的最后一日是国家法定节假日的，顺延到节假日后的次日为期限的最后一日。</w:t>
            </w:r>
          </w:p>
          <w:p w14:paraId="74D64CBF">
            <w:pPr>
              <w:pStyle w:val="20"/>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400" w:lineRule="exact"/>
              <w:jc w:val="both"/>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sz w:val="24"/>
                <w:szCs w:val="24"/>
                <w:highlight w:val="none"/>
                <w:u w:val="none"/>
                <w:lang w:val="en-US" w:eastAsia="zh-CN"/>
              </w:rPr>
              <w:t>3、采购文件中，所称的“以上”、“以下”、“内”、“以内”，包括本数；所称的“不足”，不包括本数。</w:t>
            </w:r>
          </w:p>
        </w:tc>
      </w:tr>
    </w:tbl>
    <w:p w14:paraId="08C25B3F">
      <w:pPr>
        <w:spacing w:line="360" w:lineRule="auto"/>
        <w:jc w:val="center"/>
        <w:outlineLvl w:val="1"/>
        <w:rPr>
          <w:rFonts w:hint="eastAsia" w:ascii="宋体" w:hAnsi="宋体" w:eastAsia="宋体" w:cs="宋体"/>
          <w:color w:val="auto"/>
          <w:sz w:val="24"/>
          <w:highlight w:val="none"/>
        </w:rPr>
      </w:pPr>
      <w:r>
        <w:rPr>
          <w:rFonts w:hint="eastAsia" w:ascii="宋体" w:hAnsi="宋体" w:eastAsia="宋体" w:cs="宋体"/>
          <w:b/>
          <w:color w:val="auto"/>
          <w:sz w:val="28"/>
          <w:highlight w:val="none"/>
        </w:rPr>
        <w:br w:type="page"/>
      </w:r>
      <w:bookmarkStart w:id="63" w:name="_Toc19150"/>
      <w:bookmarkStart w:id="64" w:name="_Toc11602"/>
      <w:r>
        <w:rPr>
          <w:rFonts w:hint="eastAsia" w:ascii="宋体" w:hAnsi="宋体" w:eastAsia="宋体" w:cs="宋体"/>
          <w:b/>
          <w:color w:val="auto"/>
          <w:sz w:val="24"/>
          <w:highlight w:val="none"/>
        </w:rPr>
        <w:t>二、供应商须知正文</w:t>
      </w:r>
      <w:bookmarkEnd w:id="63"/>
      <w:bookmarkEnd w:id="64"/>
    </w:p>
    <w:p w14:paraId="6E20280E">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1</w:t>
      </w:r>
      <w:r>
        <w:rPr>
          <w:rFonts w:hint="eastAsia" w:ascii="宋体" w:hAnsi="宋体" w:eastAsia="宋体" w:cs="宋体"/>
          <w:b/>
          <w:color w:val="auto"/>
          <w:sz w:val="24"/>
          <w:highlight w:val="none"/>
        </w:rPr>
        <w:t>.</w:t>
      </w:r>
      <w:r>
        <w:rPr>
          <w:rFonts w:hint="eastAsia" w:ascii="宋体" w:hAnsi="宋体" w:eastAsia="宋体" w:cs="宋体"/>
          <w:color w:val="auto"/>
          <w:highlight w:val="none"/>
        </w:rPr>
        <w:t xml:space="preserve"> </w:t>
      </w:r>
      <w:r>
        <w:rPr>
          <w:rFonts w:hint="eastAsia" w:ascii="宋体" w:hAnsi="宋体" w:eastAsia="宋体" w:cs="宋体"/>
          <w:b/>
          <w:color w:val="auto"/>
          <w:sz w:val="24"/>
          <w:highlight w:val="none"/>
        </w:rPr>
        <w:t>采购人、采购代理机构及供应商</w:t>
      </w:r>
    </w:p>
    <w:p w14:paraId="4139EADC">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.1采购人：是指依法开展采购活动的国家机关、企事业单位、团体组织等。</w:t>
      </w:r>
    </w:p>
    <w:p w14:paraId="4F0714CC">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.2采购代理机构：是指从事采购代理业务的社会中介机构。</w:t>
      </w:r>
    </w:p>
    <w:p w14:paraId="6ED801E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.3监督部门：有关部门依法履行与</w:t>
      </w:r>
      <w:r>
        <w:rPr>
          <w:rFonts w:hint="eastAsia" w:ascii="宋体" w:hAnsi="宋体" w:eastAsia="宋体" w:cs="宋体"/>
          <w:color w:val="auto"/>
          <w:sz w:val="24"/>
          <w:highlight w:val="none"/>
          <w:lang w:val="en-US" w:eastAsia="zh-CN"/>
        </w:rPr>
        <w:t>本次</w:t>
      </w:r>
      <w:r>
        <w:rPr>
          <w:rFonts w:hint="eastAsia" w:ascii="宋体" w:hAnsi="宋体" w:eastAsia="宋体" w:cs="宋体"/>
          <w:color w:val="auto"/>
          <w:sz w:val="24"/>
          <w:highlight w:val="none"/>
        </w:rPr>
        <w:t>采购活动有关的监督管理职责。</w:t>
      </w:r>
    </w:p>
    <w:p w14:paraId="0A99B343">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.4供应商：是指向采购人提供货物、工程或者服务的法人、</w:t>
      </w:r>
      <w:r>
        <w:rPr>
          <w:rFonts w:hint="eastAsia" w:ascii="宋体" w:hAnsi="宋体" w:eastAsia="宋体" w:cs="宋体"/>
          <w:color w:val="auto"/>
          <w:sz w:val="24"/>
          <w:highlight w:val="none"/>
          <w:lang w:val="en-US" w:eastAsia="zh-CN"/>
        </w:rPr>
        <w:t>其他</w:t>
      </w:r>
      <w:r>
        <w:rPr>
          <w:rFonts w:hint="eastAsia" w:ascii="宋体" w:hAnsi="宋体" w:eastAsia="宋体" w:cs="宋体"/>
          <w:color w:val="auto"/>
          <w:sz w:val="24"/>
          <w:highlight w:val="none"/>
        </w:rPr>
        <w:t>组织或者自然人。</w:t>
      </w:r>
      <w:bookmarkStart w:id="65" w:name="_Hlk60264251"/>
      <w:r>
        <w:rPr>
          <w:rFonts w:hint="eastAsia" w:ascii="宋体" w:hAnsi="宋体" w:eastAsia="宋体" w:cs="宋体"/>
          <w:color w:val="auto"/>
          <w:sz w:val="24"/>
          <w:highlight w:val="none"/>
        </w:rPr>
        <w:t>本项目的</w:t>
      </w:r>
      <w:r>
        <w:rPr>
          <w:rFonts w:hint="eastAsia" w:ascii="宋体" w:hAnsi="宋体" w:eastAsia="宋体" w:cs="宋体"/>
          <w:color w:val="auto"/>
          <w:sz w:val="24"/>
          <w:highlight w:val="none"/>
          <w:lang w:val="en-US" w:eastAsia="zh-CN"/>
        </w:rPr>
        <w:t>供应商及其所投货物</w:t>
      </w:r>
      <w:r>
        <w:rPr>
          <w:rFonts w:hint="eastAsia" w:ascii="宋体" w:hAnsi="宋体" w:eastAsia="宋体" w:cs="宋体"/>
          <w:color w:val="auto"/>
          <w:sz w:val="24"/>
          <w:highlight w:val="none"/>
        </w:rPr>
        <w:t>须满足以下条件：</w:t>
      </w:r>
    </w:p>
    <w:p w14:paraId="278A3CF3">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1.</w:t>
      </w:r>
      <w:r>
        <w:rPr>
          <w:rFonts w:hint="eastAsia" w:ascii="宋体" w:hAnsi="宋体" w:eastAsia="宋体" w:cs="宋体"/>
          <w:color w:val="auto"/>
          <w:sz w:val="24"/>
          <w:highlight w:val="none"/>
        </w:rPr>
        <w:t>4.</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满足采购文件第一章采购邀请对申请人的资格要求。</w:t>
      </w:r>
    </w:p>
    <w:p w14:paraId="4369BFAB">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1.</w:t>
      </w:r>
      <w:r>
        <w:rPr>
          <w:rFonts w:hint="eastAsia" w:ascii="宋体" w:hAnsi="宋体" w:eastAsia="宋体" w:cs="宋体"/>
          <w:color w:val="auto"/>
          <w:sz w:val="24"/>
          <w:highlight w:val="none"/>
        </w:rPr>
        <w:t>4.</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以采购代理机构认可的方式获得了本项目的</w:t>
      </w:r>
      <w:r>
        <w:rPr>
          <w:rFonts w:hint="eastAsia" w:ascii="宋体" w:hAnsi="宋体" w:eastAsia="宋体" w:cs="宋体"/>
          <w:color w:val="auto"/>
          <w:sz w:val="24"/>
          <w:highlight w:val="none"/>
          <w:lang w:val="en-US" w:eastAsia="zh-CN"/>
        </w:rPr>
        <w:t>谈判</w:t>
      </w:r>
      <w:r>
        <w:rPr>
          <w:rFonts w:hint="eastAsia" w:ascii="宋体" w:hAnsi="宋体" w:eastAsia="宋体" w:cs="宋体"/>
          <w:color w:val="auto"/>
          <w:sz w:val="24"/>
          <w:highlight w:val="none"/>
        </w:rPr>
        <w:t>文件。</w:t>
      </w:r>
    </w:p>
    <w:p w14:paraId="3407DD94">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1.</w:t>
      </w:r>
      <w:r>
        <w:rPr>
          <w:rFonts w:hint="eastAsia" w:ascii="宋体" w:hAnsi="宋体" w:eastAsia="宋体" w:cs="宋体"/>
          <w:color w:val="auto"/>
          <w:sz w:val="24"/>
          <w:highlight w:val="none"/>
        </w:rPr>
        <w:t>4.</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若供应商所投货物含有进口产品，供应商应保证所投产品可履行合法报通关手续进入中国关境内。</w:t>
      </w:r>
    </w:p>
    <w:bookmarkEnd w:id="65"/>
    <w:p w14:paraId="4B803385">
      <w:pPr>
        <w:spacing w:line="360" w:lineRule="auto"/>
        <w:ind w:firstLine="435"/>
        <w:rPr>
          <w:rFonts w:hint="eastAsia" w:ascii="宋体" w:hAnsi="宋体" w:eastAsia="宋体" w:cs="宋体"/>
          <w:color w:val="auto"/>
          <w:sz w:val="24"/>
          <w:highlight w:val="none"/>
        </w:rPr>
      </w:pPr>
      <w:bookmarkStart w:id="66" w:name="_Hlk60611047"/>
      <w:r>
        <w:rPr>
          <w:rFonts w:hint="eastAsia" w:ascii="宋体" w:hAnsi="宋体" w:eastAsia="宋体" w:cs="宋体"/>
          <w:bCs/>
          <w:color w:val="auto"/>
          <w:kern w:val="0"/>
          <w:sz w:val="24"/>
          <w:szCs w:val="28"/>
          <w:highlight w:val="none"/>
          <w:lang w:val="en-US" w:eastAsia="zh-CN"/>
        </w:rPr>
        <w:t>1</w:t>
      </w:r>
      <w:r>
        <w:rPr>
          <w:rFonts w:hint="eastAsia" w:ascii="宋体" w:hAnsi="宋体" w:eastAsia="宋体" w:cs="宋体"/>
          <w:bCs/>
          <w:color w:val="auto"/>
          <w:kern w:val="0"/>
          <w:sz w:val="24"/>
          <w:szCs w:val="28"/>
          <w:highlight w:val="none"/>
        </w:rPr>
        <w:t>.5若</w:t>
      </w:r>
      <w:r>
        <w:rPr>
          <w:rFonts w:hint="eastAsia" w:ascii="宋体" w:hAnsi="宋体" w:eastAsia="宋体" w:cs="宋体"/>
          <w:bCs/>
          <w:color w:val="auto"/>
          <w:kern w:val="0"/>
          <w:sz w:val="24"/>
          <w:szCs w:val="28"/>
          <w:highlight w:val="none"/>
          <w:lang w:eastAsia="zh-CN"/>
        </w:rPr>
        <w:t>采购邀请</w:t>
      </w:r>
      <w:r>
        <w:rPr>
          <w:rFonts w:hint="eastAsia" w:ascii="宋体" w:hAnsi="宋体" w:eastAsia="宋体" w:cs="宋体"/>
          <w:bCs/>
          <w:color w:val="auto"/>
          <w:kern w:val="0"/>
          <w:sz w:val="24"/>
          <w:szCs w:val="28"/>
          <w:highlight w:val="none"/>
        </w:rPr>
        <w:t>中允许联合体参加谈判，对联合体规定如下：</w:t>
      </w:r>
    </w:p>
    <w:bookmarkEnd w:id="66"/>
    <w:p w14:paraId="390228D2">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.5.1两个以上供应商可以组成一个谈判联合体，以一个供应商的身份谈判。</w:t>
      </w:r>
    </w:p>
    <w:p w14:paraId="6B7D0932">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.5.2联合体各方应签订联合协议，明确约定联合体各方承担的工作和相应的责任，并将联合协议作为响应文件的一部分提交。</w:t>
      </w:r>
    </w:p>
    <w:p w14:paraId="169A97A5">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.5.</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联合体中有同类资质的供应商按照联合体分工承担相同工作的，应当按照资质等级较低的供应商确定资质等级。</w:t>
      </w:r>
    </w:p>
    <w:p w14:paraId="5204CBA6">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.5.</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以联合体形式参加采购活动的，联合体各方不得再单独参加或者与其他供应商另外组成联合体参加本项目磋商，否则相关响应文件将被认定为</w:t>
      </w:r>
      <w:r>
        <w:rPr>
          <w:rFonts w:hint="eastAsia" w:ascii="宋体" w:hAnsi="宋体" w:eastAsia="宋体" w:cs="宋体"/>
          <w:b/>
          <w:color w:val="auto"/>
          <w:sz w:val="24"/>
          <w:highlight w:val="none"/>
        </w:rPr>
        <w:t>响应无效</w:t>
      </w:r>
      <w:r>
        <w:rPr>
          <w:rFonts w:hint="eastAsia" w:ascii="宋体" w:hAnsi="宋体" w:eastAsia="宋体" w:cs="宋体"/>
          <w:color w:val="auto"/>
          <w:sz w:val="24"/>
          <w:highlight w:val="none"/>
        </w:rPr>
        <w:t>。</w:t>
      </w:r>
    </w:p>
    <w:p w14:paraId="0A5D3C97">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.5.</w:t>
      </w: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对联合体参加磋商的其他资格要求见</w:t>
      </w:r>
      <w:r>
        <w:rPr>
          <w:rFonts w:hint="eastAsia" w:ascii="宋体" w:hAnsi="宋体" w:eastAsia="宋体" w:cs="宋体"/>
          <w:color w:val="auto"/>
          <w:sz w:val="24"/>
          <w:highlight w:val="none"/>
          <w:lang w:val="en-US" w:eastAsia="zh-CN"/>
        </w:rPr>
        <w:t>申请人的</w:t>
      </w:r>
      <w:r>
        <w:rPr>
          <w:rFonts w:hint="eastAsia" w:ascii="宋体" w:hAnsi="宋体" w:eastAsia="宋体" w:cs="宋体"/>
          <w:color w:val="auto"/>
          <w:sz w:val="24"/>
          <w:highlight w:val="none"/>
        </w:rPr>
        <w:t>资格</w:t>
      </w:r>
      <w:r>
        <w:rPr>
          <w:rFonts w:hint="eastAsia" w:ascii="宋体" w:hAnsi="宋体" w:eastAsia="宋体" w:cs="宋体"/>
          <w:color w:val="auto"/>
          <w:sz w:val="24"/>
          <w:highlight w:val="none"/>
          <w:lang w:val="en-US" w:eastAsia="zh-CN"/>
        </w:rPr>
        <w:t>要求</w:t>
      </w:r>
      <w:r>
        <w:rPr>
          <w:rFonts w:hint="eastAsia" w:ascii="宋体" w:hAnsi="宋体" w:eastAsia="宋体" w:cs="宋体"/>
          <w:color w:val="auto"/>
          <w:sz w:val="24"/>
          <w:highlight w:val="none"/>
        </w:rPr>
        <w:t>。</w:t>
      </w:r>
    </w:p>
    <w:p w14:paraId="79F88735">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2</w:t>
      </w:r>
      <w:r>
        <w:rPr>
          <w:rFonts w:hint="eastAsia" w:ascii="宋体" w:hAnsi="宋体" w:eastAsia="宋体" w:cs="宋体"/>
          <w:b/>
          <w:color w:val="auto"/>
          <w:sz w:val="24"/>
          <w:highlight w:val="none"/>
        </w:rPr>
        <w:t>.资金</w:t>
      </w:r>
      <w:r>
        <w:rPr>
          <w:rFonts w:hint="eastAsia" w:ascii="宋体" w:hAnsi="宋体" w:eastAsia="宋体" w:cs="宋体"/>
          <w:b/>
          <w:color w:val="auto"/>
          <w:sz w:val="24"/>
          <w:highlight w:val="none"/>
          <w:lang w:val="en-US" w:eastAsia="zh-CN"/>
        </w:rPr>
        <w:t>落实情况</w:t>
      </w:r>
    </w:p>
    <w:p w14:paraId="3648235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本项目的采购人已获得足以支付本次谈判后所签订的合同项下的资金。</w:t>
      </w:r>
    </w:p>
    <w:p w14:paraId="4A6342E5">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3</w:t>
      </w:r>
      <w:r>
        <w:rPr>
          <w:rFonts w:hint="eastAsia" w:ascii="宋体" w:hAnsi="宋体" w:eastAsia="宋体" w:cs="宋体"/>
          <w:b/>
          <w:color w:val="auto"/>
          <w:sz w:val="24"/>
          <w:highlight w:val="none"/>
        </w:rPr>
        <w:t>.谈判费用</w:t>
      </w:r>
    </w:p>
    <w:p w14:paraId="4E782172">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不论谈判的结果如何，供应商应承担其所有与准备和参加谈判有关的费用。</w:t>
      </w:r>
    </w:p>
    <w:p w14:paraId="05002753">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4</w:t>
      </w:r>
      <w:r>
        <w:rPr>
          <w:rFonts w:hint="eastAsia" w:ascii="宋体" w:hAnsi="宋体" w:eastAsia="宋体" w:cs="宋体"/>
          <w:b/>
          <w:color w:val="auto"/>
          <w:sz w:val="24"/>
          <w:highlight w:val="none"/>
        </w:rPr>
        <w:t>.适用法律</w:t>
      </w:r>
    </w:p>
    <w:p w14:paraId="011F1C5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本项目满足《</w:t>
      </w:r>
      <w:r>
        <w:rPr>
          <w:rFonts w:hint="eastAsia" w:ascii="宋体" w:hAnsi="宋体" w:eastAsia="宋体" w:cs="宋体"/>
          <w:color w:val="auto"/>
          <w:sz w:val="24"/>
          <w:highlight w:val="none"/>
        </w:rPr>
        <w:t>安徽省政府集中采购目录及标准（2026年版）</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集中采购目录以外且分散采购限额标准以下的项目，不属于《中华人民共和国政府采购法》规定的政府采购项目，由采购人按照相关预算支出管理规定和本单位内部控制制度组织实施采购。</w:t>
      </w:r>
      <w:r>
        <w:rPr>
          <w:rFonts w:hint="eastAsia" w:ascii="宋体" w:hAnsi="宋体" w:eastAsia="宋体" w:cs="宋体"/>
          <w:color w:val="auto"/>
          <w:sz w:val="24"/>
          <w:highlight w:val="none"/>
          <w:lang w:eastAsia="zh-CN"/>
        </w:rPr>
        <w:t>”</w:t>
      </w:r>
    </w:p>
    <w:p w14:paraId="77A20C92">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5</w:t>
      </w:r>
      <w:r>
        <w:rPr>
          <w:rFonts w:hint="eastAsia" w:ascii="宋体" w:hAnsi="宋体" w:eastAsia="宋体" w:cs="宋体"/>
          <w:b/>
          <w:color w:val="auto"/>
          <w:sz w:val="24"/>
          <w:highlight w:val="none"/>
        </w:rPr>
        <w:t>.谈判文件构成</w:t>
      </w:r>
    </w:p>
    <w:p w14:paraId="37F4B46B">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.1谈判文件包括下列内容：</w:t>
      </w:r>
    </w:p>
    <w:p w14:paraId="58578A5D">
      <w:pPr>
        <w:spacing w:line="360" w:lineRule="auto"/>
        <w:ind w:firstLine="840" w:firstLineChars="35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 xml:space="preserve">第一章  </w:t>
      </w:r>
      <w:r>
        <w:rPr>
          <w:rFonts w:hint="eastAsia" w:ascii="宋体" w:hAnsi="宋体" w:eastAsia="宋体" w:cs="宋体"/>
          <w:color w:val="auto"/>
          <w:sz w:val="24"/>
          <w:highlight w:val="none"/>
          <w:lang w:eastAsia="zh-CN"/>
        </w:rPr>
        <w:t>采购邀请</w:t>
      </w:r>
    </w:p>
    <w:p w14:paraId="19FB9B8F">
      <w:pPr>
        <w:spacing w:line="360" w:lineRule="auto"/>
        <w:ind w:firstLine="840" w:firstLineChars="350"/>
        <w:rPr>
          <w:rFonts w:hint="eastAsia" w:ascii="宋体" w:hAnsi="宋体" w:eastAsia="宋体" w:cs="宋体"/>
          <w:color w:val="auto"/>
          <w:sz w:val="24"/>
          <w:highlight w:val="none"/>
        </w:rPr>
      </w:pPr>
      <w:r>
        <w:rPr>
          <w:rFonts w:hint="eastAsia" w:ascii="宋体" w:hAnsi="宋体" w:eastAsia="宋体" w:cs="宋体"/>
          <w:color w:val="auto"/>
          <w:sz w:val="24"/>
          <w:highlight w:val="none"/>
        </w:rPr>
        <w:t>第二章  供应商须知</w:t>
      </w:r>
    </w:p>
    <w:p w14:paraId="36FC1059">
      <w:pPr>
        <w:spacing w:line="360" w:lineRule="auto"/>
        <w:ind w:firstLine="840" w:firstLineChars="350"/>
        <w:rPr>
          <w:rFonts w:hint="eastAsia" w:ascii="宋体" w:hAnsi="宋体" w:eastAsia="宋体" w:cs="宋体"/>
          <w:color w:val="auto"/>
          <w:sz w:val="24"/>
          <w:highlight w:val="none"/>
        </w:rPr>
      </w:pPr>
      <w:r>
        <w:rPr>
          <w:rFonts w:hint="eastAsia" w:ascii="宋体" w:hAnsi="宋体" w:eastAsia="宋体" w:cs="宋体"/>
          <w:color w:val="auto"/>
          <w:sz w:val="24"/>
          <w:highlight w:val="none"/>
        </w:rPr>
        <w:t>第三章  采购需求</w:t>
      </w:r>
    </w:p>
    <w:p w14:paraId="704CAB4E">
      <w:pPr>
        <w:spacing w:line="360" w:lineRule="auto"/>
        <w:ind w:firstLine="840" w:firstLineChars="350"/>
        <w:rPr>
          <w:rFonts w:hint="eastAsia" w:ascii="宋体" w:hAnsi="宋体" w:eastAsia="宋体" w:cs="宋体"/>
          <w:color w:val="auto"/>
          <w:sz w:val="24"/>
          <w:highlight w:val="none"/>
        </w:rPr>
      </w:pPr>
      <w:r>
        <w:rPr>
          <w:rFonts w:hint="eastAsia" w:ascii="宋体" w:hAnsi="宋体" w:eastAsia="宋体" w:cs="宋体"/>
          <w:color w:val="auto"/>
          <w:sz w:val="24"/>
          <w:highlight w:val="none"/>
        </w:rPr>
        <w:t>第四章  评审方法和标准</w:t>
      </w:r>
    </w:p>
    <w:p w14:paraId="2B24EC0E">
      <w:pPr>
        <w:spacing w:line="360" w:lineRule="auto"/>
        <w:ind w:firstLine="840" w:firstLineChars="350"/>
        <w:rPr>
          <w:rFonts w:hint="eastAsia" w:ascii="宋体" w:hAnsi="宋体" w:eastAsia="宋体" w:cs="宋体"/>
          <w:color w:val="auto"/>
          <w:sz w:val="24"/>
          <w:highlight w:val="none"/>
        </w:rPr>
      </w:pPr>
      <w:r>
        <w:rPr>
          <w:rFonts w:hint="eastAsia" w:ascii="宋体" w:hAnsi="宋体" w:eastAsia="宋体" w:cs="宋体"/>
          <w:color w:val="auto"/>
          <w:sz w:val="24"/>
          <w:highlight w:val="none"/>
        </w:rPr>
        <w:t>第五章  采购合同</w:t>
      </w:r>
    </w:p>
    <w:p w14:paraId="214A0049">
      <w:pPr>
        <w:spacing w:line="360" w:lineRule="auto"/>
        <w:ind w:firstLine="840" w:firstLineChars="350"/>
        <w:rPr>
          <w:rFonts w:hint="eastAsia" w:ascii="宋体" w:hAnsi="宋体" w:eastAsia="宋体" w:cs="宋体"/>
          <w:color w:val="auto"/>
          <w:sz w:val="24"/>
          <w:highlight w:val="none"/>
        </w:rPr>
      </w:pPr>
      <w:r>
        <w:rPr>
          <w:rFonts w:hint="eastAsia" w:ascii="宋体" w:hAnsi="宋体" w:eastAsia="宋体" w:cs="宋体"/>
          <w:color w:val="auto"/>
          <w:sz w:val="24"/>
          <w:highlight w:val="none"/>
        </w:rPr>
        <w:t>第六章  响应文件格式</w:t>
      </w:r>
    </w:p>
    <w:p w14:paraId="4B5ED227">
      <w:pPr>
        <w:spacing w:line="360" w:lineRule="auto"/>
        <w:ind w:firstLine="840" w:firstLineChars="350"/>
        <w:rPr>
          <w:rFonts w:hint="eastAsia" w:ascii="宋体" w:hAnsi="宋体" w:eastAsia="宋体" w:cs="宋体"/>
          <w:color w:val="auto"/>
          <w:sz w:val="24"/>
          <w:highlight w:val="none"/>
        </w:rPr>
      </w:pPr>
      <w:r>
        <w:rPr>
          <w:rFonts w:hint="eastAsia" w:ascii="宋体" w:hAnsi="宋体" w:eastAsia="宋体" w:cs="宋体"/>
          <w:color w:val="auto"/>
          <w:sz w:val="24"/>
          <w:highlight w:val="none"/>
        </w:rPr>
        <w:t>第</w:t>
      </w:r>
      <w:r>
        <w:rPr>
          <w:rFonts w:hint="eastAsia" w:ascii="宋体" w:hAnsi="宋体" w:eastAsia="宋体" w:cs="宋体"/>
          <w:color w:val="auto"/>
          <w:sz w:val="24"/>
          <w:highlight w:val="none"/>
          <w:lang w:val="en-US" w:eastAsia="zh-CN"/>
        </w:rPr>
        <w:t>七</w:t>
      </w:r>
      <w:r>
        <w:rPr>
          <w:rFonts w:hint="eastAsia" w:ascii="宋体" w:hAnsi="宋体" w:eastAsia="宋体" w:cs="宋体"/>
          <w:color w:val="auto"/>
          <w:sz w:val="24"/>
          <w:highlight w:val="none"/>
        </w:rPr>
        <w:t>章  供应商询问函和质疑函范本</w:t>
      </w:r>
    </w:p>
    <w:p w14:paraId="5B071C55">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现场考察</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标前答疑会</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及相关事项见</w:t>
      </w:r>
      <w:r>
        <w:rPr>
          <w:rFonts w:hint="eastAsia" w:ascii="宋体" w:hAnsi="宋体" w:eastAsia="宋体" w:cs="宋体"/>
          <w:color w:val="auto"/>
          <w:sz w:val="24"/>
          <w:highlight w:val="none"/>
          <w:u w:val="single"/>
        </w:rPr>
        <w:t>供应商须知前附表</w:t>
      </w:r>
      <w:r>
        <w:rPr>
          <w:rFonts w:hint="eastAsia" w:ascii="宋体" w:hAnsi="宋体" w:eastAsia="宋体" w:cs="宋体"/>
          <w:color w:val="auto"/>
          <w:sz w:val="24"/>
          <w:highlight w:val="none"/>
        </w:rPr>
        <w:t>。</w:t>
      </w:r>
    </w:p>
    <w:p w14:paraId="7BA1B213">
      <w:pPr>
        <w:spacing w:line="36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原则上采购人、采购代理机构不要求</w:t>
      </w:r>
      <w:r>
        <w:rPr>
          <w:rFonts w:hint="eastAsia" w:ascii="宋体" w:hAnsi="宋体" w:eastAsia="宋体" w:cs="宋体"/>
          <w:color w:val="auto"/>
          <w:sz w:val="24"/>
          <w:highlight w:val="none"/>
          <w:lang w:val="en-US" w:eastAsia="zh-CN"/>
        </w:rPr>
        <w:t>供应商</w:t>
      </w:r>
      <w:r>
        <w:rPr>
          <w:rFonts w:hint="eastAsia" w:ascii="宋体" w:hAnsi="宋体" w:eastAsia="宋体" w:cs="宋体"/>
          <w:color w:val="auto"/>
          <w:sz w:val="24"/>
          <w:highlight w:val="none"/>
        </w:rPr>
        <w:t>提供样品。仅凭书面方式不能准确描述采购需求，或者需要对样品进行主观判断以确认是否满足采购需求等特殊情况除外。</w:t>
      </w:r>
    </w:p>
    <w:p w14:paraId="2CA8A984">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如需提供样品，对样品相关要求见采购需求，对样品的评审方法及评审标准见谈判文件第四章。</w:t>
      </w:r>
    </w:p>
    <w:p w14:paraId="3A2F1630">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供应商应认真阅读谈判文件所有的事项、格式、条款和技术规范等。</w:t>
      </w:r>
    </w:p>
    <w:p w14:paraId="05142BEA">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6</w:t>
      </w:r>
      <w:r>
        <w:rPr>
          <w:rFonts w:hint="eastAsia" w:ascii="宋体" w:hAnsi="宋体" w:eastAsia="宋体" w:cs="宋体"/>
          <w:b/>
          <w:color w:val="auto"/>
          <w:sz w:val="24"/>
          <w:highlight w:val="none"/>
        </w:rPr>
        <w:t>.谈判文件的澄清与修改</w:t>
      </w:r>
    </w:p>
    <w:p w14:paraId="20656928">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.1供应商如对谈判文件内容有疑问，</w:t>
      </w:r>
      <w:r>
        <w:rPr>
          <w:rFonts w:hint="eastAsia" w:ascii="宋体" w:hAnsi="宋体" w:eastAsia="宋体" w:cs="宋体"/>
          <w:color w:val="auto"/>
          <w:sz w:val="24"/>
          <w:highlight w:val="none"/>
          <w:lang w:eastAsia="zh-CN"/>
        </w:rPr>
        <w:t>可通过</w:t>
      </w:r>
      <w:r>
        <w:rPr>
          <w:rFonts w:hint="eastAsia" w:ascii="宋体" w:hAnsi="宋体" w:eastAsia="宋体" w:cs="宋体"/>
          <w:color w:val="auto"/>
          <w:sz w:val="24"/>
          <w:highlight w:val="none"/>
          <w:u w:val="single"/>
        </w:rPr>
        <w:t>供应商须知前附表</w:t>
      </w:r>
      <w:r>
        <w:rPr>
          <w:rFonts w:hint="eastAsia" w:ascii="宋体" w:hAnsi="宋体" w:eastAsia="宋体" w:cs="宋体"/>
          <w:color w:val="auto"/>
          <w:sz w:val="24"/>
          <w:highlight w:val="none"/>
        </w:rPr>
        <w:t>规定的形式提交给</w:t>
      </w:r>
      <w:r>
        <w:rPr>
          <w:rFonts w:hint="eastAsia" w:ascii="宋体" w:hAnsi="宋体" w:eastAsia="宋体" w:cs="宋体"/>
          <w:color w:val="auto"/>
          <w:sz w:val="24"/>
          <w:highlight w:val="none"/>
          <w:lang w:val="en-US" w:eastAsia="zh-CN"/>
        </w:rPr>
        <w:t>采购人（</w:t>
      </w:r>
      <w:r>
        <w:rPr>
          <w:rFonts w:hint="eastAsia" w:ascii="宋体" w:hAnsi="宋体" w:eastAsia="宋体" w:cs="宋体"/>
          <w:color w:val="auto"/>
          <w:sz w:val="24"/>
          <w:highlight w:val="none"/>
        </w:rPr>
        <w:t>采购代理机构</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w:t>
      </w:r>
    </w:p>
    <w:p w14:paraId="69946D33">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采购人（</w:t>
      </w:r>
      <w:r>
        <w:rPr>
          <w:rFonts w:hint="eastAsia" w:ascii="宋体" w:hAnsi="宋体" w:eastAsia="宋体" w:cs="宋体"/>
          <w:color w:val="auto"/>
          <w:sz w:val="24"/>
          <w:highlight w:val="none"/>
        </w:rPr>
        <w:t>采购代理机构</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可主动地或在</w:t>
      </w:r>
      <w:r>
        <w:rPr>
          <w:rFonts w:hint="eastAsia" w:ascii="宋体" w:hAnsi="宋体" w:eastAsia="宋体" w:cs="宋体"/>
          <w:color w:val="auto"/>
          <w:sz w:val="24"/>
          <w:highlight w:val="none"/>
          <w:lang w:val="en-US" w:eastAsia="zh-CN"/>
        </w:rPr>
        <w:t>答复供应商</w:t>
      </w:r>
      <w:r>
        <w:rPr>
          <w:rFonts w:hint="eastAsia" w:ascii="宋体" w:hAnsi="宋体" w:eastAsia="宋体" w:cs="宋体"/>
          <w:color w:val="auto"/>
          <w:sz w:val="24"/>
          <w:highlight w:val="none"/>
        </w:rPr>
        <w:t>提出的</w:t>
      </w:r>
      <w:r>
        <w:rPr>
          <w:rFonts w:hint="eastAsia" w:ascii="宋体" w:hAnsi="宋体" w:eastAsia="宋体" w:cs="宋体"/>
          <w:color w:val="auto"/>
          <w:sz w:val="24"/>
          <w:highlight w:val="none"/>
          <w:lang w:val="en-US" w:eastAsia="zh-CN"/>
        </w:rPr>
        <w:t>询问</w:t>
      </w:r>
      <w:r>
        <w:rPr>
          <w:rFonts w:hint="eastAsia" w:ascii="宋体" w:hAnsi="宋体" w:eastAsia="宋体" w:cs="宋体"/>
          <w:color w:val="auto"/>
          <w:sz w:val="24"/>
          <w:highlight w:val="none"/>
        </w:rPr>
        <w:t>时对</w:t>
      </w:r>
      <w:r>
        <w:rPr>
          <w:rFonts w:hint="eastAsia" w:ascii="宋体" w:hAnsi="宋体" w:eastAsia="宋体" w:cs="宋体"/>
          <w:color w:val="auto"/>
          <w:sz w:val="24"/>
          <w:highlight w:val="none"/>
          <w:lang w:val="en-US" w:eastAsia="zh-CN"/>
        </w:rPr>
        <w:t>谈判</w:t>
      </w:r>
      <w:r>
        <w:rPr>
          <w:rFonts w:hint="eastAsia" w:ascii="宋体" w:hAnsi="宋体" w:eastAsia="宋体" w:cs="宋体"/>
          <w:color w:val="auto"/>
          <w:sz w:val="24"/>
          <w:highlight w:val="none"/>
        </w:rPr>
        <w:t>文件进行澄清与修改。</w:t>
      </w:r>
      <w:r>
        <w:rPr>
          <w:rFonts w:hint="eastAsia" w:ascii="宋体" w:hAnsi="宋体" w:eastAsia="宋体" w:cs="宋体"/>
          <w:color w:val="auto"/>
          <w:sz w:val="24"/>
          <w:highlight w:val="none"/>
          <w:lang w:val="en-US" w:eastAsia="zh-CN"/>
        </w:rPr>
        <w:t>采购人（</w:t>
      </w:r>
      <w:r>
        <w:rPr>
          <w:rFonts w:hint="eastAsia" w:ascii="宋体" w:hAnsi="宋体" w:eastAsia="宋体" w:cs="宋体"/>
          <w:color w:val="auto"/>
          <w:sz w:val="24"/>
          <w:highlight w:val="none"/>
        </w:rPr>
        <w:t>采购代理机构</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将在</w:t>
      </w:r>
      <w:r>
        <w:rPr>
          <w:rFonts w:hint="eastAsia" w:ascii="宋体" w:hAnsi="宋体" w:eastAsia="宋体" w:cs="宋体"/>
          <w:color w:val="auto"/>
          <w:sz w:val="24"/>
          <w:szCs w:val="18"/>
          <w:highlight w:val="none"/>
          <w:lang w:val="en-US" w:eastAsia="zh-CN"/>
        </w:rPr>
        <w:t>以</w:t>
      </w:r>
      <w:r>
        <w:rPr>
          <w:rFonts w:hint="eastAsia" w:ascii="宋体" w:hAnsi="宋体" w:eastAsia="宋体" w:cs="宋体"/>
          <w:color w:val="auto"/>
          <w:sz w:val="24"/>
          <w:highlight w:val="none"/>
        </w:rPr>
        <w:t>发布更正公告的方式澄清或者修改谈判文件，更正公告的内容作为谈判文件的组成部分，对供应商起约束作用。供应商应主动上网查询。</w:t>
      </w:r>
      <w:r>
        <w:rPr>
          <w:rFonts w:hint="eastAsia" w:ascii="宋体" w:hAnsi="宋体" w:eastAsia="宋体" w:cs="宋体"/>
          <w:color w:val="auto"/>
          <w:sz w:val="24"/>
          <w:highlight w:val="none"/>
          <w:lang w:val="en-US" w:eastAsia="zh-CN"/>
        </w:rPr>
        <w:t>采购人（</w:t>
      </w:r>
      <w:r>
        <w:rPr>
          <w:rFonts w:hint="eastAsia" w:ascii="宋体" w:hAnsi="宋体" w:eastAsia="宋体" w:cs="宋体"/>
          <w:color w:val="auto"/>
          <w:sz w:val="24"/>
          <w:highlight w:val="none"/>
        </w:rPr>
        <w:t>采购代理机构</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不承担供应商未及时关注相关信息引发的相关责任。</w:t>
      </w:r>
    </w:p>
    <w:p w14:paraId="166A8023">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.3任何人或任何组织向供应商提供的任何书面或口头资料，未经</w:t>
      </w:r>
      <w:r>
        <w:rPr>
          <w:rFonts w:hint="eastAsia" w:ascii="宋体" w:hAnsi="宋体" w:eastAsia="宋体" w:cs="宋体"/>
          <w:color w:val="auto"/>
          <w:sz w:val="24"/>
          <w:highlight w:val="none"/>
          <w:lang w:val="en-US" w:eastAsia="zh-CN"/>
        </w:rPr>
        <w:t>采购人（</w:t>
      </w:r>
      <w:r>
        <w:rPr>
          <w:rFonts w:hint="eastAsia" w:ascii="宋体" w:hAnsi="宋体" w:eastAsia="宋体" w:cs="宋体"/>
          <w:color w:val="auto"/>
          <w:sz w:val="24"/>
          <w:highlight w:val="none"/>
        </w:rPr>
        <w:t>采购代理机构</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在网上发布或书面通知，均作无效处理，不得作为谈判文件的组成部分。</w:t>
      </w:r>
      <w:r>
        <w:rPr>
          <w:rFonts w:hint="eastAsia" w:ascii="宋体" w:hAnsi="宋体" w:eastAsia="宋体" w:cs="宋体"/>
          <w:color w:val="auto"/>
          <w:sz w:val="24"/>
          <w:highlight w:val="none"/>
          <w:lang w:val="en-US" w:eastAsia="zh-CN"/>
        </w:rPr>
        <w:t>采购人（</w:t>
      </w:r>
      <w:r>
        <w:rPr>
          <w:rFonts w:hint="eastAsia" w:ascii="宋体" w:hAnsi="宋体" w:eastAsia="宋体" w:cs="宋体"/>
          <w:color w:val="auto"/>
          <w:sz w:val="24"/>
          <w:highlight w:val="none"/>
        </w:rPr>
        <w:t>采购代理机构</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对供应商由此而做出的推论、理解和结论概不负责。</w:t>
      </w:r>
    </w:p>
    <w:p w14:paraId="07552978">
      <w:pPr>
        <w:spacing w:line="360" w:lineRule="auto"/>
        <w:ind w:firstLine="435"/>
        <w:rPr>
          <w:rFonts w:hint="eastAsia" w:ascii="宋体" w:hAnsi="宋体" w:eastAsia="宋体" w:cs="宋体"/>
          <w:iCs/>
          <w:color w:val="auto"/>
          <w:sz w:val="24"/>
          <w:highlight w:val="none"/>
        </w:rPr>
      </w:pP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.4对于没有提出询问又参与了本项目谈判的供应商将被视为完全认同本谈判文件（含更正公告的内容）</w:t>
      </w:r>
      <w:r>
        <w:rPr>
          <w:rFonts w:hint="eastAsia" w:ascii="宋体" w:hAnsi="宋体" w:eastAsia="宋体" w:cs="宋体"/>
          <w:i w:val="0"/>
          <w:iCs/>
          <w:color w:val="auto"/>
          <w:sz w:val="24"/>
          <w:highlight w:val="none"/>
        </w:rPr>
        <w:t>。</w:t>
      </w:r>
    </w:p>
    <w:p w14:paraId="6EC94C71">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7</w:t>
      </w:r>
      <w:r>
        <w:rPr>
          <w:rFonts w:hint="eastAsia" w:ascii="宋体" w:hAnsi="宋体" w:eastAsia="宋体" w:cs="宋体"/>
          <w:b/>
          <w:color w:val="auto"/>
          <w:sz w:val="24"/>
          <w:highlight w:val="none"/>
        </w:rPr>
        <w:t>.谈判范围及响应文件中标准和计量单位的使用</w:t>
      </w:r>
    </w:p>
    <w:p w14:paraId="591C90D9">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7</w:t>
      </w:r>
      <w:r>
        <w:rPr>
          <w:rFonts w:hint="eastAsia" w:ascii="宋体" w:hAnsi="宋体" w:eastAsia="宋体" w:cs="宋体"/>
          <w:color w:val="auto"/>
          <w:sz w:val="24"/>
          <w:highlight w:val="none"/>
        </w:rPr>
        <w:t>.1项目有分包的，供应商可参与其中某一个或多个分包的谈判，成交包数详见</w:t>
      </w:r>
      <w:r>
        <w:rPr>
          <w:rFonts w:hint="eastAsia" w:ascii="宋体" w:hAnsi="宋体" w:eastAsia="宋体" w:cs="宋体"/>
          <w:color w:val="auto"/>
          <w:sz w:val="24"/>
          <w:highlight w:val="none"/>
          <w:u w:val="single"/>
        </w:rPr>
        <w:t>供应商须知前附表</w:t>
      </w:r>
      <w:r>
        <w:rPr>
          <w:rFonts w:hint="eastAsia" w:ascii="宋体" w:hAnsi="宋体" w:eastAsia="宋体" w:cs="宋体"/>
          <w:color w:val="auto"/>
          <w:sz w:val="24"/>
          <w:highlight w:val="none"/>
        </w:rPr>
        <w:t>中规定。</w:t>
      </w:r>
    </w:p>
    <w:p w14:paraId="180F7A9C">
      <w:pPr>
        <w:spacing w:line="36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7.2供应商</w:t>
      </w:r>
      <w:r>
        <w:rPr>
          <w:rFonts w:hint="eastAsia" w:ascii="宋体" w:hAnsi="宋体" w:eastAsia="宋体" w:cs="宋体"/>
          <w:color w:val="auto"/>
          <w:sz w:val="24"/>
          <w:highlight w:val="none"/>
        </w:rPr>
        <w:t>应当对所投分包</w:t>
      </w:r>
      <w:r>
        <w:rPr>
          <w:rFonts w:hint="eastAsia" w:ascii="宋体" w:hAnsi="宋体" w:eastAsia="宋体" w:cs="宋体"/>
          <w:color w:val="auto"/>
          <w:sz w:val="24"/>
          <w:highlight w:val="none"/>
          <w:lang w:val="en-US" w:eastAsia="zh-CN"/>
        </w:rPr>
        <w:t>谈判</w:t>
      </w:r>
      <w:r>
        <w:rPr>
          <w:rFonts w:hint="eastAsia" w:ascii="宋体" w:hAnsi="宋体" w:eastAsia="宋体" w:cs="宋体"/>
          <w:color w:val="auto"/>
          <w:sz w:val="24"/>
          <w:highlight w:val="none"/>
        </w:rPr>
        <w:t>文件中“采购需求”所列的所有内容进行</w:t>
      </w:r>
      <w:r>
        <w:rPr>
          <w:rFonts w:hint="eastAsia" w:ascii="宋体" w:hAnsi="宋体" w:eastAsia="宋体" w:cs="宋体"/>
          <w:color w:val="auto"/>
          <w:sz w:val="24"/>
          <w:highlight w:val="none"/>
          <w:lang w:val="en-US" w:eastAsia="zh-CN"/>
        </w:rPr>
        <w:t>响应</w:t>
      </w:r>
      <w:r>
        <w:rPr>
          <w:rFonts w:hint="eastAsia" w:ascii="宋体" w:hAnsi="宋体" w:eastAsia="宋体" w:cs="宋体"/>
          <w:color w:val="auto"/>
          <w:sz w:val="24"/>
          <w:highlight w:val="none"/>
        </w:rPr>
        <w:t>，如仅响应所投包别中的部分内容，其所投包别的</w:t>
      </w:r>
      <w:r>
        <w:rPr>
          <w:rFonts w:hint="eastAsia" w:ascii="宋体" w:hAnsi="宋体" w:eastAsia="宋体" w:cs="宋体"/>
          <w:color w:val="auto"/>
          <w:sz w:val="24"/>
          <w:highlight w:val="none"/>
          <w:lang w:val="en-US" w:eastAsia="zh-CN"/>
        </w:rPr>
        <w:t>响应</w:t>
      </w:r>
      <w:r>
        <w:rPr>
          <w:rFonts w:hint="eastAsia" w:ascii="宋体" w:hAnsi="宋体" w:eastAsia="宋体" w:cs="宋体"/>
          <w:color w:val="auto"/>
          <w:sz w:val="24"/>
          <w:highlight w:val="none"/>
        </w:rPr>
        <w:t>将被认定为</w:t>
      </w:r>
      <w:r>
        <w:rPr>
          <w:rFonts w:hint="eastAsia" w:ascii="宋体" w:hAnsi="宋体" w:eastAsia="宋体" w:cs="宋体"/>
          <w:b/>
          <w:color w:val="auto"/>
          <w:sz w:val="24"/>
          <w:highlight w:val="none"/>
          <w:lang w:val="en-US" w:eastAsia="zh-CN"/>
        </w:rPr>
        <w:t>响应</w:t>
      </w:r>
      <w:r>
        <w:rPr>
          <w:rFonts w:hint="eastAsia" w:ascii="宋体" w:hAnsi="宋体" w:eastAsia="宋体" w:cs="宋体"/>
          <w:b/>
          <w:color w:val="auto"/>
          <w:sz w:val="24"/>
          <w:highlight w:val="none"/>
        </w:rPr>
        <w:t>无效</w:t>
      </w:r>
      <w:r>
        <w:rPr>
          <w:rFonts w:hint="eastAsia" w:ascii="宋体" w:hAnsi="宋体" w:eastAsia="宋体" w:cs="宋体"/>
          <w:color w:val="auto"/>
          <w:sz w:val="24"/>
          <w:highlight w:val="none"/>
        </w:rPr>
        <w:t>。</w:t>
      </w:r>
    </w:p>
    <w:p w14:paraId="16F71EF1">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7</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无论谈判文件中是否要求，供应商所投货物及伴随的服务和工程均应符合国家强制性标准。</w:t>
      </w:r>
    </w:p>
    <w:p w14:paraId="5996A1CC">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7</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w:t>
      </w:r>
    </w:p>
    <w:p w14:paraId="7D6051FD">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7</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除谈判文件中有特殊要求外，响应文件中所使用的计量单位，应采用中华人民共和国法定计量单位。</w:t>
      </w:r>
    </w:p>
    <w:p w14:paraId="60320C39">
      <w:pPr>
        <w:spacing w:line="360" w:lineRule="auto"/>
        <w:ind w:firstLine="437"/>
        <w:outlineLvl w:val="2"/>
        <w:rPr>
          <w:rFonts w:hint="eastAsia" w:ascii="宋体" w:hAnsi="宋体" w:eastAsia="宋体" w:cs="宋体"/>
          <w:b/>
          <w:color w:val="auto"/>
          <w:sz w:val="24"/>
          <w:highlight w:val="none"/>
          <w:lang w:eastAsia="zh-CN"/>
        </w:rPr>
      </w:pPr>
      <w:r>
        <w:rPr>
          <w:rFonts w:hint="eastAsia" w:ascii="宋体" w:hAnsi="宋体" w:eastAsia="宋体" w:cs="宋体"/>
          <w:b/>
          <w:color w:val="auto"/>
          <w:sz w:val="24"/>
          <w:highlight w:val="none"/>
          <w:lang w:val="en-US" w:eastAsia="zh-CN"/>
        </w:rPr>
        <w:t>8</w:t>
      </w:r>
      <w:r>
        <w:rPr>
          <w:rFonts w:hint="eastAsia" w:ascii="宋体" w:hAnsi="宋体" w:eastAsia="宋体" w:cs="宋体"/>
          <w:b/>
          <w:color w:val="auto"/>
          <w:sz w:val="24"/>
          <w:highlight w:val="none"/>
        </w:rPr>
        <w:t>.响应文件构成</w:t>
      </w:r>
    </w:p>
    <w:p w14:paraId="5A6326E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8</w:t>
      </w:r>
      <w:r>
        <w:rPr>
          <w:rFonts w:hint="eastAsia" w:ascii="宋体" w:hAnsi="宋体" w:eastAsia="宋体" w:cs="宋体"/>
          <w:color w:val="auto"/>
          <w:sz w:val="24"/>
          <w:highlight w:val="none"/>
        </w:rPr>
        <w:t>.1供应商应完整地按谈判文件提供的响应文件格式及要求编写响应文件，具体内容详见</w:t>
      </w:r>
      <w:r>
        <w:rPr>
          <w:rFonts w:hint="eastAsia" w:ascii="宋体" w:hAnsi="宋体" w:eastAsia="宋体" w:cs="宋体"/>
          <w:color w:val="auto"/>
          <w:sz w:val="24"/>
          <w:highlight w:val="none"/>
          <w:lang w:val="en-US" w:eastAsia="zh-CN"/>
        </w:rPr>
        <w:t>本项目</w:t>
      </w:r>
      <w:r>
        <w:rPr>
          <w:rFonts w:hint="eastAsia" w:ascii="宋体" w:hAnsi="宋体" w:eastAsia="宋体" w:cs="宋体"/>
          <w:color w:val="auto"/>
          <w:sz w:val="24"/>
          <w:highlight w:val="none"/>
        </w:rPr>
        <w:t>响应文件格式的相关内容。</w:t>
      </w:r>
    </w:p>
    <w:p w14:paraId="2F98ED3B">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8.2</w:t>
      </w:r>
      <w:r>
        <w:rPr>
          <w:rFonts w:hint="eastAsia" w:ascii="宋体" w:hAnsi="宋体" w:eastAsia="宋体" w:cs="宋体"/>
          <w:color w:val="auto"/>
          <w:sz w:val="24"/>
          <w:highlight w:val="none"/>
        </w:rPr>
        <w:t>供应商应提交谈判文件要求的证明文件，证明其响应内容符合谈判文件规定。该证明文件是响应文件的一部分。证明文件</w:t>
      </w:r>
      <w:r>
        <w:rPr>
          <w:rFonts w:hint="eastAsia" w:ascii="宋体" w:hAnsi="宋体" w:eastAsia="宋体" w:cs="宋体"/>
          <w:color w:val="auto"/>
          <w:sz w:val="24"/>
          <w:highlight w:val="none"/>
          <w:lang w:val="en-US" w:eastAsia="zh-CN"/>
        </w:rPr>
        <w:t>形式</w:t>
      </w:r>
      <w:r>
        <w:rPr>
          <w:rFonts w:hint="eastAsia" w:ascii="宋体" w:hAnsi="宋体" w:eastAsia="宋体" w:cs="宋体"/>
          <w:color w:val="auto"/>
          <w:sz w:val="24"/>
          <w:highlight w:val="none"/>
        </w:rPr>
        <w:t>可以是文字资料、图纸和数据</w:t>
      </w:r>
      <w:bookmarkStart w:id="67" w:name="_Hlk11703583"/>
      <w:r>
        <w:rPr>
          <w:rFonts w:hint="eastAsia" w:ascii="宋体" w:hAnsi="宋体" w:eastAsia="宋体" w:cs="宋体"/>
          <w:color w:val="auto"/>
          <w:sz w:val="24"/>
          <w:highlight w:val="none"/>
        </w:rPr>
        <w:t>。</w:t>
      </w:r>
    </w:p>
    <w:bookmarkEnd w:id="67"/>
    <w:p w14:paraId="50DE840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8.3</w:t>
      </w:r>
      <w:r>
        <w:rPr>
          <w:rFonts w:hint="eastAsia" w:ascii="宋体" w:hAnsi="宋体" w:eastAsia="宋体" w:cs="宋体"/>
          <w:color w:val="auto"/>
          <w:sz w:val="24"/>
          <w:highlight w:val="none"/>
        </w:rPr>
        <w:t>为保证公平公正，除非谈判文件另有规定或说明，供应商对同一项目谈判时，不得同时提供备选谈判方案。</w:t>
      </w:r>
    </w:p>
    <w:p w14:paraId="4D0DD715">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9</w:t>
      </w:r>
      <w:r>
        <w:rPr>
          <w:rFonts w:hint="eastAsia" w:ascii="宋体" w:hAnsi="宋体" w:eastAsia="宋体" w:cs="宋体"/>
          <w:b/>
          <w:color w:val="auto"/>
          <w:sz w:val="24"/>
          <w:highlight w:val="none"/>
        </w:rPr>
        <w:t>.报价</w:t>
      </w:r>
    </w:p>
    <w:p w14:paraId="2491472B">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.1供应商的报价应当包括满足本次谈判全部采购需求所应提供的货物，以及伴随的服务和工程。</w:t>
      </w:r>
      <w:r>
        <w:rPr>
          <w:rFonts w:hint="eastAsia" w:ascii="宋体" w:hAnsi="宋体" w:eastAsia="宋体" w:cs="宋体"/>
          <w:color w:val="auto"/>
          <w:sz w:val="24"/>
          <w:highlight w:val="none"/>
          <w:lang w:val="en-US" w:eastAsia="zh-CN"/>
        </w:rPr>
        <w:t>除谈判文件另有规定外，</w:t>
      </w:r>
      <w:r>
        <w:rPr>
          <w:rFonts w:hint="eastAsia" w:ascii="宋体" w:hAnsi="宋体" w:eastAsia="宋体" w:cs="宋体"/>
          <w:color w:val="auto"/>
          <w:sz w:val="24"/>
          <w:highlight w:val="none"/>
        </w:rPr>
        <w:t>所有内容均应以人民币报价，供应商的谈判报价应遵守《中华人民共和国价格法》。</w:t>
      </w:r>
    </w:p>
    <w:p w14:paraId="1F91F4E7">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除非谈判文件另有规定或经采购人同意支付的，最后报价均不得高于谈判文件（公告）列明的项目预算，否则其响应文件将被认定为</w:t>
      </w:r>
      <w:r>
        <w:rPr>
          <w:rFonts w:hint="eastAsia" w:ascii="宋体" w:hAnsi="宋体" w:eastAsia="宋体" w:cs="宋体"/>
          <w:b/>
          <w:color w:val="auto"/>
          <w:sz w:val="24"/>
          <w:highlight w:val="none"/>
        </w:rPr>
        <w:t>响应无效</w:t>
      </w:r>
      <w:r>
        <w:rPr>
          <w:rFonts w:hint="eastAsia" w:ascii="宋体" w:hAnsi="宋体" w:eastAsia="宋体" w:cs="宋体"/>
          <w:color w:val="auto"/>
          <w:sz w:val="24"/>
          <w:highlight w:val="none"/>
        </w:rPr>
        <w:t>。</w:t>
      </w:r>
    </w:p>
    <w:p w14:paraId="058DB11F">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报价在合同履行过程中是固定不变的，不得以任何理由予以变更。任何包含价格调整要求的谈判，其响应文件将被认定为</w:t>
      </w:r>
      <w:r>
        <w:rPr>
          <w:rFonts w:hint="eastAsia" w:ascii="宋体" w:hAnsi="宋体" w:eastAsia="宋体" w:cs="宋体"/>
          <w:b/>
          <w:color w:val="auto"/>
          <w:sz w:val="24"/>
          <w:highlight w:val="none"/>
        </w:rPr>
        <w:t>响应无效</w:t>
      </w:r>
      <w:r>
        <w:rPr>
          <w:rFonts w:hint="eastAsia" w:ascii="宋体" w:hAnsi="宋体" w:eastAsia="宋体" w:cs="宋体"/>
          <w:color w:val="auto"/>
          <w:sz w:val="24"/>
          <w:highlight w:val="none"/>
        </w:rPr>
        <w:t>。</w:t>
      </w:r>
    </w:p>
    <w:p w14:paraId="304A32AA">
      <w:pPr>
        <w:spacing w:line="36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9.4参照财政部《关于推动解决政府采购异常低价问题的通知》（财库〔2026〕2号），</w:t>
      </w:r>
      <w:r>
        <w:rPr>
          <w:rFonts w:hint="eastAsia" w:ascii="宋体" w:hAnsi="宋体" w:eastAsia="宋体" w:cs="宋体"/>
          <w:color w:val="auto"/>
          <w:sz w:val="24"/>
          <w:szCs w:val="24"/>
          <w:highlight w:val="none"/>
          <w:lang w:val="en-US" w:eastAsia="zh-CN"/>
        </w:rPr>
        <w:t>评审中出现</w:t>
      </w:r>
      <w:r>
        <w:rPr>
          <w:rFonts w:hint="eastAsia" w:ascii="宋体" w:hAnsi="宋体" w:eastAsia="宋体" w:cs="宋体"/>
          <w:color w:val="auto"/>
          <w:sz w:val="24"/>
          <w:szCs w:val="24"/>
          <w:highlight w:val="none"/>
          <w:u w:val="single"/>
          <w:lang w:val="en-US" w:eastAsia="zh-CN"/>
        </w:rPr>
        <w:t>供应商须知前附表</w:t>
      </w:r>
      <w:r>
        <w:rPr>
          <w:rFonts w:hint="eastAsia" w:ascii="宋体" w:hAnsi="宋体" w:eastAsia="宋体" w:cs="宋体"/>
          <w:color w:val="auto"/>
          <w:sz w:val="24"/>
          <w:szCs w:val="24"/>
          <w:highlight w:val="none"/>
          <w:u w:val="none"/>
          <w:lang w:val="en-US" w:eastAsia="zh-CN"/>
        </w:rPr>
        <w:t>所列</w:t>
      </w:r>
      <w:r>
        <w:rPr>
          <w:rFonts w:hint="eastAsia" w:ascii="宋体" w:hAnsi="宋体" w:eastAsia="宋体" w:cs="宋体"/>
          <w:color w:val="auto"/>
          <w:sz w:val="24"/>
          <w:szCs w:val="24"/>
          <w:highlight w:val="none"/>
          <w:lang w:val="en-US" w:eastAsia="zh-CN"/>
        </w:rPr>
        <w:t>情形之一的</w:t>
      </w:r>
      <w:r>
        <w:rPr>
          <w:rFonts w:hint="eastAsia" w:ascii="宋体" w:hAnsi="宋体" w:eastAsia="宋体" w:cs="宋体"/>
          <w:color w:val="auto"/>
          <w:sz w:val="24"/>
          <w:highlight w:val="none"/>
          <w:lang w:val="en-US" w:eastAsia="zh-CN"/>
        </w:rPr>
        <w:t>，谈判小组应当启动异常低价响应审查程序。</w:t>
      </w:r>
    </w:p>
    <w:p w14:paraId="2374D860">
      <w:pPr>
        <w:spacing w:line="36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谈判小组启动异常低价响应审查后，属于表中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w:t>
      </w:r>
      <w:r>
        <w:rPr>
          <w:rFonts w:hint="eastAsia" w:ascii="宋体" w:hAnsi="宋体" w:eastAsia="宋体" w:cs="宋体"/>
          <w:b/>
          <w:bCs/>
          <w:color w:val="auto"/>
          <w:sz w:val="24"/>
          <w:highlight w:val="none"/>
          <w:lang w:val="en-US" w:eastAsia="zh-CN"/>
        </w:rPr>
        <w:t>其中，属于第3项情形，供应商已随响应文件一并提交相关书面说明及必要的证明材料的，在评审现场可不再重复提交。</w:t>
      </w:r>
    </w:p>
    <w:p w14:paraId="18F3330A">
      <w:pPr>
        <w:spacing w:line="36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谈判小组依据专业经验，参考同类项目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其响应文件将被认定为</w:t>
      </w:r>
      <w:r>
        <w:rPr>
          <w:rFonts w:hint="eastAsia" w:ascii="宋体" w:hAnsi="宋体" w:eastAsia="宋体" w:cs="宋体"/>
          <w:b/>
          <w:bCs/>
          <w:color w:val="auto"/>
          <w:sz w:val="24"/>
          <w:highlight w:val="none"/>
          <w:lang w:val="en-US" w:eastAsia="zh-CN"/>
        </w:rPr>
        <w:t>响应无效</w:t>
      </w:r>
      <w:r>
        <w:rPr>
          <w:rFonts w:hint="eastAsia" w:ascii="宋体" w:hAnsi="宋体" w:eastAsia="宋体" w:cs="宋体"/>
          <w:color w:val="auto"/>
          <w:sz w:val="24"/>
          <w:highlight w:val="none"/>
          <w:lang w:val="en-US" w:eastAsia="zh-CN"/>
        </w:rPr>
        <w:t>。</w:t>
      </w:r>
    </w:p>
    <w:p w14:paraId="420DE3D8">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采购人不接受具有附加条件的报价。</w:t>
      </w:r>
    </w:p>
    <w:p w14:paraId="7DAA9005">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10</w:t>
      </w:r>
      <w:r>
        <w:rPr>
          <w:rFonts w:hint="eastAsia" w:ascii="宋体" w:hAnsi="宋体" w:eastAsia="宋体" w:cs="宋体"/>
          <w:b/>
          <w:color w:val="auto"/>
          <w:sz w:val="24"/>
          <w:highlight w:val="none"/>
        </w:rPr>
        <w:t>.谈判保证金</w:t>
      </w:r>
    </w:p>
    <w:p w14:paraId="63E49E47">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10</w:t>
      </w:r>
      <w:r>
        <w:rPr>
          <w:rFonts w:hint="eastAsia" w:ascii="宋体" w:hAnsi="宋体" w:eastAsia="宋体" w:cs="宋体"/>
          <w:color w:val="auto"/>
          <w:sz w:val="24"/>
          <w:highlight w:val="none"/>
        </w:rPr>
        <w:t>.1本项目不收取谈判保证金。</w:t>
      </w:r>
    </w:p>
    <w:p w14:paraId="3767BDE2">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11</w:t>
      </w:r>
      <w:r>
        <w:rPr>
          <w:rFonts w:hint="eastAsia" w:ascii="宋体" w:hAnsi="宋体" w:eastAsia="宋体" w:cs="宋体"/>
          <w:b/>
          <w:color w:val="auto"/>
          <w:sz w:val="24"/>
          <w:highlight w:val="none"/>
        </w:rPr>
        <w:t>.谈判有效期</w:t>
      </w:r>
    </w:p>
    <w:p w14:paraId="2D86DAA6">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11</w:t>
      </w:r>
      <w:r>
        <w:rPr>
          <w:rFonts w:hint="eastAsia" w:ascii="宋体" w:hAnsi="宋体" w:eastAsia="宋体" w:cs="宋体"/>
          <w:color w:val="auto"/>
          <w:sz w:val="24"/>
          <w:highlight w:val="none"/>
        </w:rPr>
        <w:t>.1谈判有效期为从响应文件提交截止之日算起的日历天数，谈判有效期详见</w:t>
      </w:r>
      <w:r>
        <w:rPr>
          <w:rFonts w:hint="eastAsia" w:ascii="宋体" w:hAnsi="宋体" w:eastAsia="宋体" w:cs="宋体"/>
          <w:color w:val="auto"/>
          <w:sz w:val="24"/>
          <w:highlight w:val="none"/>
          <w:u w:val="single"/>
        </w:rPr>
        <w:t>供应商须知前附表</w:t>
      </w:r>
      <w:r>
        <w:rPr>
          <w:rFonts w:hint="eastAsia" w:ascii="宋体" w:hAnsi="宋体" w:eastAsia="宋体" w:cs="宋体"/>
          <w:color w:val="auto"/>
          <w:sz w:val="24"/>
          <w:highlight w:val="none"/>
        </w:rPr>
        <w:t>。</w:t>
      </w:r>
    </w:p>
    <w:p w14:paraId="48AC180D">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11</w:t>
      </w:r>
      <w:r>
        <w:rPr>
          <w:rFonts w:hint="eastAsia" w:ascii="宋体" w:hAnsi="宋体" w:eastAsia="宋体" w:cs="宋体"/>
          <w:color w:val="auto"/>
          <w:sz w:val="24"/>
          <w:highlight w:val="none"/>
        </w:rPr>
        <w:t>.2在谈判有效期内，供应商的谈判保持有效，供应商不得要求撤销或修改其响应文件。谈判有效期不满足要求的响应，其响应文件将被认定为</w:t>
      </w:r>
      <w:r>
        <w:rPr>
          <w:rFonts w:hint="eastAsia" w:ascii="宋体" w:hAnsi="宋体" w:eastAsia="宋体" w:cs="宋体"/>
          <w:b/>
          <w:color w:val="auto"/>
          <w:sz w:val="24"/>
          <w:highlight w:val="none"/>
        </w:rPr>
        <w:t>响应无效</w:t>
      </w:r>
      <w:r>
        <w:rPr>
          <w:rFonts w:hint="eastAsia" w:ascii="宋体" w:hAnsi="宋体" w:eastAsia="宋体" w:cs="宋体"/>
          <w:color w:val="auto"/>
          <w:sz w:val="24"/>
          <w:highlight w:val="none"/>
        </w:rPr>
        <w:t>。</w:t>
      </w:r>
    </w:p>
    <w:p w14:paraId="5546598F">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11</w:t>
      </w:r>
      <w:r>
        <w:rPr>
          <w:rFonts w:hint="eastAsia" w:ascii="宋体" w:hAnsi="宋体" w:eastAsia="宋体" w:cs="宋体"/>
          <w:color w:val="auto"/>
          <w:sz w:val="24"/>
          <w:highlight w:val="none"/>
        </w:rPr>
        <w:t>.3为保证有充分时间签订合同，采购人或采购代理机构可根据实际情况，在原谈判有效期截止之前，要求供应商延长谈判有效期。接受该要求的供应商将不会被要求和允许修正其响应文件。供应商可以拒绝延长谈判有效期的要求，且不承担任何责任。上述要求和答复都应以书面形式提交。</w:t>
      </w:r>
    </w:p>
    <w:p w14:paraId="34D52B78">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12</w:t>
      </w:r>
      <w:r>
        <w:rPr>
          <w:rFonts w:hint="eastAsia" w:ascii="宋体" w:hAnsi="宋体" w:eastAsia="宋体" w:cs="宋体"/>
          <w:b/>
          <w:color w:val="auto"/>
          <w:sz w:val="24"/>
          <w:highlight w:val="none"/>
        </w:rPr>
        <w:t>.响应文件的提交、修改与撤回</w:t>
      </w:r>
    </w:p>
    <w:p w14:paraId="5001EA54">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12</w:t>
      </w:r>
      <w:r>
        <w:rPr>
          <w:rFonts w:hint="eastAsia" w:ascii="宋体" w:hAnsi="宋体" w:eastAsia="宋体" w:cs="宋体"/>
          <w:color w:val="auto"/>
          <w:sz w:val="24"/>
          <w:highlight w:val="none"/>
        </w:rPr>
        <w:t>.1供应商应当在第一章</w:t>
      </w:r>
      <w:r>
        <w:rPr>
          <w:rFonts w:hint="eastAsia" w:ascii="宋体" w:hAnsi="宋体" w:eastAsia="宋体" w:cs="宋体"/>
          <w:color w:val="auto"/>
          <w:sz w:val="24"/>
          <w:highlight w:val="none"/>
          <w:u w:val="none"/>
          <w:lang w:val="en-US" w:eastAsia="zh-CN"/>
        </w:rPr>
        <w:t>采购邀请</w:t>
      </w:r>
      <w:r>
        <w:rPr>
          <w:rFonts w:hint="eastAsia" w:ascii="宋体" w:hAnsi="宋体" w:eastAsia="宋体" w:cs="宋体"/>
          <w:color w:val="auto"/>
          <w:sz w:val="24"/>
          <w:highlight w:val="none"/>
        </w:rPr>
        <w:t>规定的响应文件提交截止时间前</w:t>
      </w:r>
      <w:r>
        <w:rPr>
          <w:rFonts w:hint="eastAsia" w:ascii="宋体" w:hAnsi="宋体" w:eastAsia="宋体" w:cs="宋体"/>
          <w:color w:val="auto"/>
          <w:sz w:val="24"/>
          <w:highlight w:val="none"/>
          <w:lang w:val="en-US" w:eastAsia="zh-CN"/>
        </w:rPr>
        <w:t>提交</w:t>
      </w:r>
      <w:r>
        <w:rPr>
          <w:rFonts w:hint="eastAsia" w:ascii="宋体" w:hAnsi="宋体" w:eastAsia="宋体" w:cs="宋体"/>
          <w:color w:val="auto"/>
          <w:sz w:val="24"/>
          <w:highlight w:val="none"/>
        </w:rPr>
        <w:t>响应文件</w:t>
      </w:r>
      <w:r>
        <w:rPr>
          <w:rFonts w:hint="eastAsia" w:ascii="宋体" w:hAnsi="宋体" w:eastAsia="宋体" w:cs="宋体"/>
          <w:color w:val="auto"/>
          <w:sz w:val="24"/>
          <w:highlight w:val="none"/>
          <w:lang w:val="en-US" w:eastAsia="zh-CN"/>
        </w:rPr>
        <w:t>至指定地点</w:t>
      </w:r>
      <w:r>
        <w:rPr>
          <w:rFonts w:hint="eastAsia" w:ascii="宋体" w:hAnsi="宋体" w:eastAsia="宋体" w:cs="宋体"/>
          <w:color w:val="auto"/>
          <w:sz w:val="24"/>
          <w:highlight w:val="none"/>
        </w:rPr>
        <w:t>，并可以补充、修改或者撤回响应文件。</w:t>
      </w:r>
    </w:p>
    <w:p w14:paraId="7AB96CE4">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12</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提交截止时间</w:t>
      </w:r>
      <w:r>
        <w:rPr>
          <w:rFonts w:hint="eastAsia" w:ascii="宋体" w:hAnsi="宋体" w:eastAsia="宋体" w:cs="宋体"/>
          <w:color w:val="auto"/>
          <w:sz w:val="24"/>
          <w:highlight w:val="none"/>
          <w:lang w:val="en-US" w:eastAsia="zh-CN"/>
        </w:rPr>
        <w:t>后</w:t>
      </w:r>
      <w:r>
        <w:rPr>
          <w:rFonts w:hint="eastAsia" w:ascii="宋体" w:hAnsi="宋体" w:eastAsia="宋体" w:cs="宋体"/>
          <w:color w:val="auto"/>
          <w:sz w:val="24"/>
          <w:highlight w:val="none"/>
        </w:rPr>
        <w:t>送达的磋商响应文件将被拒绝并原封退给供应商。</w:t>
      </w:r>
    </w:p>
    <w:p w14:paraId="70DA480D">
      <w:pPr>
        <w:spacing w:line="36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12</w:t>
      </w:r>
      <w:r>
        <w:rPr>
          <w:rFonts w:hint="eastAsia" w:ascii="宋体" w:hAnsi="宋体" w:eastAsia="宋体" w:cs="宋体"/>
          <w:color w:val="auto"/>
          <w:sz w:val="24"/>
          <w:highlight w:val="none"/>
        </w:rPr>
        <w:t>.3供应商应</w:t>
      </w:r>
      <w:r>
        <w:rPr>
          <w:rFonts w:hint="eastAsia" w:ascii="宋体" w:hAnsi="宋体" w:eastAsia="宋体" w:cs="宋体"/>
          <w:color w:val="auto"/>
          <w:sz w:val="24"/>
          <w:highlight w:val="none"/>
          <w:lang w:val="en-US" w:eastAsia="zh-CN"/>
        </w:rPr>
        <w:t>按</w:t>
      </w:r>
      <w:r>
        <w:rPr>
          <w:rFonts w:hint="eastAsia" w:ascii="宋体" w:hAnsi="宋体" w:eastAsia="宋体" w:cs="宋体"/>
          <w:color w:val="auto"/>
          <w:sz w:val="24"/>
          <w:highlight w:val="none"/>
          <w:u w:val="single"/>
        </w:rPr>
        <w:t>供应商须知前附表</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lang w:val="en-US" w:eastAsia="zh-CN"/>
        </w:rPr>
        <w:t>要求制作响应文件</w:t>
      </w:r>
      <w:r>
        <w:rPr>
          <w:rFonts w:hint="eastAsia" w:ascii="宋体" w:hAnsi="宋体" w:eastAsia="宋体" w:cs="宋体"/>
          <w:b/>
          <w:bCs/>
          <w:color w:val="auto"/>
          <w:sz w:val="24"/>
          <w:highlight w:val="none"/>
          <w:lang w:val="en-US" w:eastAsia="zh-CN"/>
        </w:rPr>
        <w:t>。</w:t>
      </w:r>
    </w:p>
    <w:p w14:paraId="3A2C0F7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.4在响应文件提交截止时间之后，供应商不得对其响应文件做任何修改。但属于谈判小组在评审中发现的计算错误并进行核实的修改、按照谈判文件的变动情况和谈判小组的要求重新提交响应文件的，不在此列。</w:t>
      </w:r>
    </w:p>
    <w:p w14:paraId="169933E5">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w:t>
      </w:r>
      <w:r>
        <w:rPr>
          <w:rFonts w:hint="eastAsia" w:ascii="宋体" w:hAnsi="宋体" w:eastAsia="宋体" w:cs="宋体"/>
          <w:b/>
          <w:color w:val="auto"/>
          <w:sz w:val="24"/>
          <w:highlight w:val="none"/>
          <w:lang w:val="en-US" w:eastAsia="zh-CN"/>
        </w:rPr>
        <w:t>3</w:t>
      </w:r>
      <w:r>
        <w:rPr>
          <w:rFonts w:hint="eastAsia" w:ascii="宋体" w:hAnsi="宋体" w:eastAsia="宋体" w:cs="宋体"/>
          <w:b/>
          <w:color w:val="auto"/>
          <w:sz w:val="24"/>
          <w:highlight w:val="none"/>
        </w:rPr>
        <w:t>.谈判小组</w:t>
      </w:r>
    </w:p>
    <w:p w14:paraId="3938847D">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.1本项目将依法组建谈判小组，谈判小组成员由3人以上（含）单数组成，谈判小组及其成员应当依照政府采购的有关规定履行相关职责和义务。</w:t>
      </w:r>
      <w:r>
        <w:rPr>
          <w:rFonts w:hint="eastAsia" w:ascii="宋体" w:hAnsi="宋体" w:eastAsia="宋体" w:cs="宋体"/>
          <w:color w:val="auto"/>
          <w:sz w:val="24"/>
          <w:highlight w:val="none"/>
          <w:lang w:val="en-US" w:eastAsia="zh-CN"/>
        </w:rPr>
        <w:t>本项目谈判小组人数：</w:t>
      </w:r>
      <w:r>
        <w:rPr>
          <w:rFonts w:hint="eastAsia" w:ascii="宋体" w:hAnsi="宋体" w:eastAsia="宋体" w:cs="宋体"/>
          <w:color w:val="auto"/>
          <w:sz w:val="24"/>
          <w:highlight w:val="none"/>
          <w:u w:val="single"/>
          <w:lang w:val="en-US" w:eastAsia="zh-CN"/>
        </w:rPr>
        <w:t>见供应商须知前附表</w:t>
      </w:r>
      <w:r>
        <w:rPr>
          <w:rFonts w:hint="eastAsia" w:ascii="宋体" w:hAnsi="宋体" w:eastAsia="宋体" w:cs="宋体"/>
          <w:color w:val="auto"/>
          <w:sz w:val="24"/>
          <w:highlight w:val="none"/>
          <w:lang w:val="en-US" w:eastAsia="zh-CN"/>
        </w:rPr>
        <w:t>。</w:t>
      </w:r>
    </w:p>
    <w:p w14:paraId="1FDE5F72">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.2谈判小组依法对响应文件进行评审，并根据谈判文件规定的程序、评定成交的标准等事项与实质性响应谈判文件要求的供应商进行谈判。</w:t>
      </w:r>
    </w:p>
    <w:p w14:paraId="17BDCCC7">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.3谈判小组应当从质量和服务均能满足谈判文件实质性响应要求的供应商中，按照评审办法和标准推荐成交候选人，并编写评审报告。</w:t>
      </w:r>
    </w:p>
    <w:p w14:paraId="2AF64C7E">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w:t>
      </w:r>
      <w:r>
        <w:rPr>
          <w:rFonts w:hint="eastAsia" w:ascii="宋体" w:hAnsi="宋体" w:eastAsia="宋体" w:cs="宋体"/>
          <w:b/>
          <w:color w:val="auto"/>
          <w:sz w:val="24"/>
          <w:highlight w:val="none"/>
          <w:lang w:val="en-US" w:eastAsia="zh-CN"/>
        </w:rPr>
        <w:t>4</w:t>
      </w:r>
      <w:r>
        <w:rPr>
          <w:rFonts w:hint="eastAsia" w:ascii="宋体" w:hAnsi="宋体" w:eastAsia="宋体" w:cs="宋体"/>
          <w:b/>
          <w:color w:val="auto"/>
          <w:sz w:val="24"/>
          <w:highlight w:val="none"/>
        </w:rPr>
        <w:t>.响应文件的评审与谈判</w:t>
      </w:r>
    </w:p>
    <w:p w14:paraId="4627F5E1">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.1采购人和采购代理机构将在</w:t>
      </w:r>
      <w:r>
        <w:rPr>
          <w:rFonts w:hint="eastAsia" w:ascii="宋体" w:hAnsi="宋体" w:eastAsia="宋体" w:cs="宋体"/>
          <w:color w:val="auto"/>
          <w:sz w:val="24"/>
          <w:highlight w:val="none"/>
          <w:u w:val="none"/>
          <w:lang w:val="en-US" w:eastAsia="zh-CN"/>
        </w:rPr>
        <w:t>采购邀请</w:t>
      </w:r>
      <w:r>
        <w:rPr>
          <w:rFonts w:hint="eastAsia" w:ascii="宋体" w:hAnsi="宋体" w:eastAsia="宋体" w:cs="宋体"/>
          <w:color w:val="auto"/>
          <w:sz w:val="24"/>
          <w:highlight w:val="none"/>
        </w:rPr>
        <w:t>规定的时间和地点组织谈判。</w:t>
      </w:r>
    </w:p>
    <w:p w14:paraId="6A1F6F2F">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.2竞争性谈判采用最低评标价法评审。</w:t>
      </w:r>
    </w:p>
    <w:p w14:paraId="62DD6322">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最低评标价法，是指响应文件满足谈判文件全部实质性要求且最后报价最低的供应商为成交候选人的评标方法。</w:t>
      </w:r>
    </w:p>
    <w:p w14:paraId="0149F653">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.3谈判小组将按照谈判文件规定的评审方法和标准对供应商独立进行评审。评审程序如下：</w:t>
      </w:r>
    </w:p>
    <w:p w14:paraId="4E256E20">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.3.1</w:t>
      </w:r>
      <w:r>
        <w:rPr>
          <w:rFonts w:hint="eastAsia" w:ascii="宋体" w:hAnsi="宋体" w:eastAsia="宋体" w:cs="宋体"/>
          <w:b/>
          <w:bCs/>
          <w:color w:val="auto"/>
          <w:sz w:val="24"/>
          <w:highlight w:val="none"/>
        </w:rPr>
        <w:t>初审。</w:t>
      </w:r>
      <w:r>
        <w:rPr>
          <w:rFonts w:hint="eastAsia" w:ascii="宋体" w:hAnsi="宋体" w:eastAsia="宋体" w:cs="宋体"/>
          <w:color w:val="auto"/>
          <w:sz w:val="24"/>
          <w:szCs w:val="24"/>
          <w:highlight w:val="none"/>
        </w:rPr>
        <w:t>采购人或采购代理机构依据法律法规和</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文件中规定的内容，对</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资格进行审查，未通过资格审查的</w:t>
      </w:r>
      <w:r>
        <w:rPr>
          <w:rFonts w:hint="eastAsia" w:ascii="宋体" w:hAnsi="宋体" w:eastAsia="宋体" w:cs="宋体"/>
          <w:color w:val="auto"/>
          <w:sz w:val="24"/>
          <w:szCs w:val="24"/>
          <w:highlight w:val="none"/>
          <w:lang w:eastAsia="zh-CN"/>
        </w:rPr>
        <w:t>供应商不可参加后续评审</w:t>
      </w:r>
      <w:r>
        <w:rPr>
          <w:rFonts w:hint="eastAsia" w:ascii="宋体" w:hAnsi="宋体" w:eastAsia="宋体" w:cs="宋体"/>
          <w:color w:val="auto"/>
          <w:sz w:val="24"/>
          <w:szCs w:val="24"/>
          <w:highlight w:val="none"/>
        </w:rPr>
        <w:t>。</w:t>
      </w:r>
    </w:p>
    <w:p w14:paraId="4B7443F0">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参照</w:t>
      </w:r>
      <w:r>
        <w:rPr>
          <w:rFonts w:hint="eastAsia" w:ascii="宋体" w:hAnsi="宋体" w:eastAsia="宋体" w:cs="宋体"/>
          <w:color w:val="auto"/>
          <w:sz w:val="24"/>
          <w:szCs w:val="24"/>
          <w:highlight w:val="none"/>
        </w:rPr>
        <w:t>《财政部关于在政府采购活动中查询及使用信用记录有关问题的通知》(财库〔2016〕125号)</w:t>
      </w:r>
      <w:r>
        <w:rPr>
          <w:rFonts w:hint="eastAsia" w:ascii="宋体" w:hAnsi="宋体" w:eastAsia="宋体" w:cs="宋体"/>
          <w:color w:val="auto"/>
          <w:sz w:val="24"/>
          <w:szCs w:val="24"/>
          <w:highlight w:val="none"/>
          <w:lang w:eastAsia="zh-CN"/>
        </w:rPr>
        <w:t>的</w:t>
      </w:r>
      <w:r>
        <w:rPr>
          <w:rFonts w:hint="eastAsia" w:ascii="宋体" w:hAnsi="宋体" w:eastAsia="宋体" w:cs="宋体"/>
          <w:color w:val="auto"/>
          <w:sz w:val="24"/>
          <w:szCs w:val="24"/>
          <w:highlight w:val="none"/>
        </w:rPr>
        <w:t>要求，根据评审时“信用中国”网站(www.creditchina.gov.cn)、“中国政府采购网”(www.ccgp.gov.cn)的信息，对列入失信被执行人、重大税收违法案件当事人名单、政府采购严重违法失信行为记录名单的供应商，拒绝其参与采购活动。两个以上的自然人、法人或者其他组织组成一个联合体，以一个</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的身份共同参加采购活动的，应当对所有联合体成员进行信用记录查询，联合体成员之一存在不良信用记录的，视同联合体存在不良信用记录。</w:t>
      </w:r>
    </w:p>
    <w:p w14:paraId="529D899B">
      <w:pPr>
        <w:spacing w:line="360" w:lineRule="auto"/>
        <w:ind w:firstLine="435"/>
        <w:rPr>
          <w:rFonts w:hint="eastAsia" w:ascii="宋体" w:hAnsi="宋体" w:eastAsia="宋体" w:cs="宋体"/>
          <w:color w:val="auto"/>
          <w:sz w:val="24"/>
          <w:highlight w:val="none"/>
        </w:rPr>
      </w:pPr>
      <w:r>
        <w:rPr>
          <w:rFonts w:hint="eastAsia" w:ascii="宋体" w:hAnsi="宋体" w:eastAsia="宋体" w:cs="宋体"/>
          <w:strike w:val="0"/>
          <w:dstrike w:val="0"/>
          <w:color w:val="auto"/>
          <w:sz w:val="24"/>
          <w:highlight w:val="none"/>
          <w:lang w:eastAsia="zh-CN"/>
        </w:rPr>
        <w:t>谈判</w:t>
      </w:r>
      <w:r>
        <w:rPr>
          <w:rFonts w:hint="eastAsia" w:ascii="宋体" w:hAnsi="宋体" w:eastAsia="宋体" w:cs="宋体"/>
          <w:strike w:val="0"/>
          <w:dstrike w:val="0"/>
          <w:color w:val="auto"/>
          <w:sz w:val="24"/>
          <w:highlight w:val="none"/>
        </w:rPr>
        <w:t>小组对供应商必须满足和实质性响应的内容进行评审，供应商未实质性响应</w:t>
      </w:r>
      <w:r>
        <w:rPr>
          <w:rFonts w:hint="eastAsia" w:ascii="宋体" w:hAnsi="宋体" w:eastAsia="宋体" w:cs="宋体"/>
          <w:strike w:val="0"/>
          <w:dstrike w:val="0"/>
          <w:color w:val="auto"/>
          <w:sz w:val="24"/>
          <w:highlight w:val="none"/>
          <w:lang w:eastAsia="zh-CN"/>
        </w:rPr>
        <w:t>谈判</w:t>
      </w:r>
      <w:r>
        <w:rPr>
          <w:rFonts w:hint="eastAsia" w:ascii="宋体" w:hAnsi="宋体" w:eastAsia="宋体" w:cs="宋体"/>
          <w:strike w:val="0"/>
          <w:dstrike w:val="0"/>
          <w:color w:val="auto"/>
          <w:sz w:val="24"/>
          <w:highlight w:val="none"/>
        </w:rPr>
        <w:t>文件要求导致响应无效的，</w:t>
      </w:r>
      <w:r>
        <w:rPr>
          <w:rFonts w:hint="eastAsia" w:ascii="宋体" w:hAnsi="宋体" w:eastAsia="宋体" w:cs="宋体"/>
          <w:strike w:val="0"/>
          <w:dstrike w:val="0"/>
          <w:color w:val="auto"/>
          <w:sz w:val="24"/>
          <w:highlight w:val="none"/>
          <w:lang w:val="en-US" w:eastAsia="zh-CN"/>
        </w:rPr>
        <w:t>不得进入后续评审环节。</w:t>
      </w:r>
    </w:p>
    <w:p w14:paraId="41449270">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.3.2</w:t>
      </w:r>
      <w:r>
        <w:rPr>
          <w:rFonts w:hint="eastAsia" w:ascii="宋体" w:hAnsi="宋体" w:eastAsia="宋体" w:cs="宋体"/>
          <w:b/>
          <w:bCs/>
          <w:color w:val="auto"/>
          <w:sz w:val="24"/>
          <w:highlight w:val="none"/>
        </w:rPr>
        <w:t>谈判。</w:t>
      </w:r>
      <w:r>
        <w:rPr>
          <w:rFonts w:hint="eastAsia" w:ascii="宋体" w:hAnsi="宋体" w:eastAsia="宋体" w:cs="宋体"/>
          <w:color w:val="auto"/>
          <w:sz w:val="24"/>
          <w:highlight w:val="none"/>
        </w:rPr>
        <w:t>初审合格后，谈判小组将集中与单一供应商分别进行谈判，并给予所有参加谈判的供应商平等的谈判机会。</w:t>
      </w:r>
    </w:p>
    <w:p w14:paraId="3D212953">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.3.3</w:t>
      </w:r>
      <w:r>
        <w:rPr>
          <w:rFonts w:hint="eastAsia" w:ascii="宋体" w:hAnsi="宋体" w:eastAsia="宋体" w:cs="宋体"/>
          <w:b/>
          <w:bCs/>
          <w:color w:val="auto"/>
          <w:sz w:val="24"/>
          <w:highlight w:val="none"/>
        </w:rPr>
        <w:t>报价。</w:t>
      </w:r>
      <w:r>
        <w:rPr>
          <w:rFonts w:hint="eastAsia" w:ascii="宋体" w:hAnsi="宋体" w:eastAsia="宋体" w:cs="宋体"/>
          <w:color w:val="auto"/>
          <w:sz w:val="24"/>
          <w:highlight w:val="none"/>
        </w:rPr>
        <w:t>谈判结束后，谈判小组应当要求所有继续参加谈判的供应商在规定时间内提交最后报价。供应商应在</w:t>
      </w:r>
      <w:r>
        <w:rPr>
          <w:rFonts w:hint="eastAsia" w:ascii="宋体" w:hAnsi="宋体" w:eastAsia="宋体" w:cs="宋体"/>
          <w:color w:val="auto"/>
          <w:sz w:val="24"/>
          <w:highlight w:val="none"/>
          <w:lang w:eastAsia="zh-CN"/>
        </w:rPr>
        <w:t>谈判</w:t>
      </w:r>
      <w:r>
        <w:rPr>
          <w:rFonts w:hint="eastAsia" w:ascii="宋体" w:hAnsi="宋体" w:eastAsia="宋体" w:cs="宋体"/>
          <w:color w:val="auto"/>
          <w:sz w:val="24"/>
          <w:highlight w:val="none"/>
        </w:rPr>
        <w:t>小组发出</w:t>
      </w:r>
      <w:r>
        <w:rPr>
          <w:rFonts w:hint="eastAsia" w:ascii="宋体" w:hAnsi="宋体" w:eastAsia="宋体" w:cs="宋体"/>
          <w:color w:val="auto"/>
          <w:sz w:val="24"/>
          <w:highlight w:val="none"/>
          <w:lang w:val="en-US" w:eastAsia="zh-CN"/>
        </w:rPr>
        <w:t>多轮</w:t>
      </w:r>
      <w:r>
        <w:rPr>
          <w:rFonts w:hint="eastAsia" w:ascii="宋体" w:hAnsi="宋体" w:eastAsia="宋体" w:cs="宋体"/>
          <w:color w:val="auto"/>
          <w:sz w:val="24"/>
          <w:highlight w:val="none"/>
        </w:rPr>
        <w:t>报价指令后30分钟内完成报价</w:t>
      </w:r>
      <w:r>
        <w:rPr>
          <w:rFonts w:hint="eastAsia" w:ascii="宋体" w:hAnsi="宋体" w:eastAsia="宋体" w:cs="宋体"/>
          <w:color w:val="auto"/>
          <w:sz w:val="24"/>
          <w:highlight w:val="none"/>
          <w:lang w:eastAsia="zh-CN"/>
        </w:rPr>
        <w:t>。</w:t>
      </w:r>
    </w:p>
    <w:p w14:paraId="4F40D3A4">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.4相关说明。</w:t>
      </w:r>
    </w:p>
    <w:p w14:paraId="0ACC4815">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.4.1为保证谈判活动顺利进行，供应商应派授权代表进行现场答疑；供应商必须在规定的时间内将自己在</w:t>
      </w:r>
      <w:r>
        <w:rPr>
          <w:rFonts w:hint="eastAsia" w:ascii="宋体" w:hAnsi="宋体" w:eastAsia="宋体" w:cs="宋体"/>
          <w:color w:val="auto"/>
          <w:sz w:val="24"/>
          <w:highlight w:val="none"/>
          <w:lang w:eastAsia="zh-CN"/>
        </w:rPr>
        <w:t>谈判</w:t>
      </w:r>
      <w:r>
        <w:rPr>
          <w:rFonts w:hint="eastAsia" w:ascii="宋体" w:hAnsi="宋体" w:eastAsia="宋体" w:cs="宋体"/>
          <w:color w:val="auto"/>
          <w:sz w:val="24"/>
          <w:highlight w:val="none"/>
        </w:rPr>
        <w:t>中作出的澄清、变动以及最终的报价，经供应商签章或后授权代表签字后，</w:t>
      </w:r>
      <w:r>
        <w:rPr>
          <w:rFonts w:hint="eastAsia" w:ascii="宋体" w:hAnsi="宋体" w:eastAsia="宋体" w:cs="宋体"/>
          <w:color w:val="auto"/>
          <w:sz w:val="24"/>
          <w:highlight w:val="none"/>
          <w:lang w:val="en-US" w:eastAsia="zh-CN"/>
        </w:rPr>
        <w:t>现场</w:t>
      </w:r>
      <w:r>
        <w:rPr>
          <w:rFonts w:hint="eastAsia" w:ascii="宋体" w:hAnsi="宋体" w:eastAsia="宋体" w:cs="宋体"/>
          <w:color w:val="auto"/>
          <w:sz w:val="24"/>
          <w:highlight w:val="none"/>
        </w:rPr>
        <w:t>提交给</w:t>
      </w:r>
      <w:r>
        <w:rPr>
          <w:rFonts w:hint="eastAsia" w:ascii="宋体" w:hAnsi="宋体" w:eastAsia="宋体" w:cs="宋体"/>
          <w:color w:val="auto"/>
          <w:sz w:val="24"/>
          <w:highlight w:val="none"/>
          <w:lang w:eastAsia="zh-CN"/>
        </w:rPr>
        <w:t>谈判</w:t>
      </w:r>
      <w:r>
        <w:rPr>
          <w:rFonts w:hint="eastAsia" w:ascii="宋体" w:hAnsi="宋体" w:eastAsia="宋体" w:cs="宋体"/>
          <w:color w:val="auto"/>
          <w:sz w:val="24"/>
          <w:highlight w:val="none"/>
        </w:rPr>
        <w:t>小组。</w:t>
      </w:r>
    </w:p>
    <w:p w14:paraId="6EBBC661">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4.2谈判小组根据与供应商谈判情况可能实质性变动谈判文件的内容，包括采购需求中的技术、服务要求以及合同草案条款。谈判文件有实质性变动的，经采购人代表确认作为谈判文件的有效组成部分，谈判小组将以书面形式通知所有参加谈判的供应商。</w:t>
      </w:r>
    </w:p>
    <w:p w14:paraId="19FFA822">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4.3谈判小组发现供应商的报价或者某些分项报价明显低于其他通过初审的供应商的报价，有可能影响产品质量和不能诚信履约的，应当要求其在合理的时间内提供书面说明，必要时提交相关证明材料；供应商不能证明其报价合理性的，其响应文件将被认定为</w:t>
      </w:r>
      <w:r>
        <w:rPr>
          <w:rFonts w:hint="eastAsia" w:ascii="宋体" w:hAnsi="宋体" w:eastAsia="宋体" w:cs="宋体"/>
          <w:b/>
          <w:color w:val="auto"/>
          <w:sz w:val="24"/>
          <w:highlight w:val="none"/>
        </w:rPr>
        <w:t>响应无效</w:t>
      </w:r>
      <w:r>
        <w:rPr>
          <w:rFonts w:hint="eastAsia" w:ascii="宋体" w:hAnsi="宋体" w:eastAsia="宋体" w:cs="宋体"/>
          <w:color w:val="auto"/>
          <w:sz w:val="24"/>
          <w:highlight w:val="none"/>
        </w:rPr>
        <w:t>。</w:t>
      </w:r>
    </w:p>
    <w:p w14:paraId="27E20E14">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.4.4谈判小组决定响应文件的响应性及符合性只根据响应文件本身的内容，而不寻求其他外部证据。</w:t>
      </w:r>
    </w:p>
    <w:p w14:paraId="61A83078">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.5供应商授权代表对谈判过程有疑义，以及认为采购人、采购代理机构相关工作人员有需要回避的情形的，应当场提出询问或者回避申请，并说明理由。</w:t>
      </w:r>
    </w:p>
    <w:p w14:paraId="72E647E7">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15</w:t>
      </w:r>
      <w:r>
        <w:rPr>
          <w:rFonts w:hint="eastAsia" w:ascii="宋体" w:hAnsi="宋体" w:eastAsia="宋体" w:cs="宋体"/>
          <w:b/>
          <w:color w:val="auto"/>
          <w:sz w:val="24"/>
          <w:highlight w:val="none"/>
        </w:rPr>
        <w:t>.终止竞争性谈判</w:t>
      </w:r>
    </w:p>
    <w:p w14:paraId="4059348A">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15</w:t>
      </w:r>
      <w:r>
        <w:rPr>
          <w:rFonts w:hint="eastAsia" w:ascii="宋体" w:hAnsi="宋体" w:eastAsia="宋体" w:cs="宋体"/>
          <w:color w:val="auto"/>
          <w:sz w:val="24"/>
          <w:highlight w:val="none"/>
        </w:rPr>
        <w:t>.1出现下列情况之一时，采购人和采购代理机构有权宣布终止竞争性谈判采购，并将理由通知所有供应商：</w:t>
      </w:r>
    </w:p>
    <w:p w14:paraId="657287B7">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（1）有效供应商数量不足，导致本次谈判缺乏竞争的；</w:t>
      </w:r>
    </w:p>
    <w:p w14:paraId="2F03A580">
      <w:pPr>
        <w:spacing w:line="36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备注：采用竞争性谈判采购方式采购下在采购过程中符合要求的供应商只有2家的，竞争性谈判采购活动可以继续进行，符合要求的供应商只有1家的，经采购人批准可转入单一来源采购程序。</w:t>
      </w:r>
    </w:p>
    <w:p w14:paraId="3057687A">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（2）出现影响采购公正的违法、违规行为的；</w:t>
      </w:r>
    </w:p>
    <w:p w14:paraId="230E9DA6">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（3）因重大变故，采购任务取消的；</w:t>
      </w:r>
    </w:p>
    <w:p w14:paraId="5F8A1843">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（4）法律法规规定的其他情形。</w:t>
      </w:r>
    </w:p>
    <w:p w14:paraId="001223D9">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16</w:t>
      </w:r>
      <w:r>
        <w:rPr>
          <w:rFonts w:hint="eastAsia" w:ascii="宋体" w:hAnsi="宋体" w:eastAsia="宋体" w:cs="宋体"/>
          <w:b/>
          <w:color w:val="auto"/>
          <w:sz w:val="24"/>
          <w:highlight w:val="none"/>
        </w:rPr>
        <w:t>.响应文件的澄清、说明或更正</w:t>
      </w:r>
    </w:p>
    <w:p w14:paraId="222C4F78">
      <w:pPr>
        <w:spacing w:line="360" w:lineRule="auto"/>
        <w:ind w:firstLine="470" w:firstLineChars="196"/>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16</w:t>
      </w:r>
      <w:r>
        <w:rPr>
          <w:rFonts w:hint="eastAsia" w:ascii="宋体" w:hAnsi="宋体" w:eastAsia="宋体" w:cs="宋体"/>
          <w:color w:val="auto"/>
          <w:sz w:val="24"/>
          <w:highlight w:val="none"/>
        </w:rPr>
        <w:t>.1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323FDD35">
      <w:pPr>
        <w:spacing w:line="360" w:lineRule="auto"/>
        <w:ind w:firstLine="470" w:firstLineChars="196"/>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16</w:t>
      </w:r>
      <w:r>
        <w:rPr>
          <w:rFonts w:hint="eastAsia" w:ascii="宋体" w:hAnsi="宋体" w:eastAsia="宋体" w:cs="宋体"/>
          <w:color w:val="auto"/>
          <w:sz w:val="24"/>
          <w:highlight w:val="none"/>
        </w:rPr>
        <w:t>.2谈判小组要求供应商澄清、说明或者更正响应文件应当以书面形式（询标）作出。供应商的澄清、说明或者更正应当由法定代表人或其授权代表签字或者加盖公章。</w:t>
      </w:r>
    </w:p>
    <w:p w14:paraId="051E94FF">
      <w:pPr>
        <w:spacing w:line="360" w:lineRule="auto"/>
        <w:ind w:firstLine="437"/>
        <w:outlineLvl w:val="9"/>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各供应商</w:t>
      </w:r>
      <w:r>
        <w:rPr>
          <w:rFonts w:hint="eastAsia" w:ascii="宋体" w:hAnsi="宋体" w:eastAsia="宋体" w:cs="宋体"/>
          <w:b/>
          <w:color w:val="auto"/>
          <w:sz w:val="24"/>
          <w:highlight w:val="none"/>
          <w:lang w:val="en-US" w:eastAsia="zh-CN"/>
        </w:rPr>
        <w:t>法定代表人或授权代表</w:t>
      </w:r>
      <w:r>
        <w:rPr>
          <w:rFonts w:hint="eastAsia" w:ascii="宋体" w:hAnsi="宋体" w:eastAsia="宋体" w:cs="宋体"/>
          <w:b/>
          <w:color w:val="auto"/>
          <w:sz w:val="24"/>
          <w:highlight w:val="none"/>
        </w:rPr>
        <w:t>在项目开标、评审期间应</w:t>
      </w:r>
      <w:r>
        <w:rPr>
          <w:rFonts w:hint="eastAsia" w:ascii="宋体" w:hAnsi="宋体" w:eastAsia="宋体" w:cs="宋体"/>
          <w:b/>
          <w:color w:val="auto"/>
          <w:sz w:val="24"/>
          <w:highlight w:val="none"/>
          <w:lang w:val="en-US" w:eastAsia="zh-CN"/>
        </w:rPr>
        <w:t>留在开标现场</w:t>
      </w:r>
      <w:r>
        <w:rPr>
          <w:rFonts w:hint="eastAsia" w:ascii="宋体" w:hAnsi="宋体" w:eastAsia="宋体" w:cs="宋体"/>
          <w:b/>
          <w:color w:val="auto"/>
          <w:sz w:val="24"/>
          <w:highlight w:val="none"/>
        </w:rPr>
        <w:t>，随时接受</w:t>
      </w:r>
      <w:r>
        <w:rPr>
          <w:rFonts w:hint="eastAsia" w:ascii="宋体" w:hAnsi="宋体" w:eastAsia="宋体" w:cs="宋体"/>
          <w:b/>
          <w:color w:val="auto"/>
          <w:sz w:val="24"/>
          <w:highlight w:val="none"/>
          <w:lang w:eastAsia="zh-CN"/>
        </w:rPr>
        <w:t>谈判小组</w:t>
      </w:r>
      <w:r>
        <w:rPr>
          <w:rFonts w:hint="eastAsia" w:ascii="宋体" w:hAnsi="宋体" w:eastAsia="宋体" w:cs="宋体"/>
          <w:b/>
          <w:color w:val="auto"/>
          <w:sz w:val="24"/>
          <w:highlight w:val="none"/>
        </w:rPr>
        <w:t>发出的询标信息，并在规定时间内答复，未能按时答复的，</w:t>
      </w:r>
      <w:r>
        <w:rPr>
          <w:rFonts w:hint="eastAsia" w:ascii="宋体" w:hAnsi="宋体" w:eastAsia="宋体" w:cs="宋体"/>
          <w:b/>
          <w:color w:val="auto"/>
          <w:sz w:val="24"/>
          <w:highlight w:val="none"/>
          <w:lang w:eastAsia="zh-CN"/>
        </w:rPr>
        <w:t>谈判小组</w:t>
      </w:r>
      <w:r>
        <w:rPr>
          <w:rFonts w:hint="eastAsia" w:ascii="宋体" w:hAnsi="宋体" w:eastAsia="宋体" w:cs="宋体"/>
          <w:b/>
          <w:color w:val="auto"/>
          <w:sz w:val="24"/>
          <w:highlight w:val="none"/>
        </w:rPr>
        <w:t>将视同其放弃澄清。</w:t>
      </w:r>
    </w:p>
    <w:p w14:paraId="44BC0C95">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17</w:t>
      </w:r>
      <w:r>
        <w:rPr>
          <w:rFonts w:hint="eastAsia" w:ascii="宋体" w:hAnsi="宋体" w:eastAsia="宋体" w:cs="宋体"/>
          <w:b/>
          <w:color w:val="auto"/>
          <w:sz w:val="24"/>
          <w:highlight w:val="none"/>
        </w:rPr>
        <w:t>.最后报价</w:t>
      </w:r>
    </w:p>
    <w:p w14:paraId="765BAFE2">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17</w:t>
      </w:r>
      <w:r>
        <w:rPr>
          <w:rFonts w:hint="eastAsia" w:ascii="宋体" w:hAnsi="宋体" w:eastAsia="宋体" w:cs="宋体"/>
          <w:color w:val="auto"/>
          <w:sz w:val="24"/>
          <w:highlight w:val="none"/>
        </w:rPr>
        <w:t>.1谈判并不限定只进行二轮报价，如果谈判小组认为有必要，可以要求供应商进行多轮报价。</w:t>
      </w:r>
    </w:p>
    <w:p w14:paraId="76A88434">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17</w:t>
      </w:r>
      <w:r>
        <w:rPr>
          <w:rFonts w:hint="eastAsia" w:ascii="宋体" w:hAnsi="宋体" w:eastAsia="宋体" w:cs="宋体"/>
          <w:color w:val="auto"/>
          <w:sz w:val="24"/>
          <w:highlight w:val="none"/>
        </w:rPr>
        <w:t>.2在谈判内容不做实质性变更或重大调整的前提下，供应商下轮报价不得高于上一轮报价。</w:t>
      </w:r>
    </w:p>
    <w:p w14:paraId="2CCF4F43">
      <w:pPr>
        <w:spacing w:line="36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17.3</w:t>
      </w:r>
      <w:r>
        <w:rPr>
          <w:rFonts w:hint="eastAsia" w:ascii="宋体" w:hAnsi="宋体" w:eastAsia="宋体" w:cs="宋体"/>
          <w:color w:val="auto"/>
          <w:sz w:val="24"/>
          <w:highlight w:val="none"/>
        </w:rPr>
        <w:t>最后报价是供应商响应文件的有效组成部分，最后报价也是签订合同的依据。</w:t>
      </w:r>
    </w:p>
    <w:p w14:paraId="585A8515">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18</w:t>
      </w:r>
      <w:r>
        <w:rPr>
          <w:rFonts w:hint="eastAsia" w:ascii="宋体" w:hAnsi="宋体" w:eastAsia="宋体" w:cs="宋体"/>
          <w:b/>
          <w:color w:val="auto"/>
          <w:sz w:val="24"/>
          <w:highlight w:val="none"/>
        </w:rPr>
        <w:t>.成交候选人的推荐原则及标准</w:t>
      </w:r>
    </w:p>
    <w:p w14:paraId="685952BF">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18</w:t>
      </w:r>
      <w:r>
        <w:rPr>
          <w:rFonts w:hint="eastAsia" w:ascii="宋体" w:hAnsi="宋体" w:eastAsia="宋体" w:cs="宋体"/>
          <w:color w:val="auto"/>
          <w:sz w:val="24"/>
          <w:highlight w:val="none"/>
        </w:rPr>
        <w:t>.1谈判小组依据本项目谈判文件所约定的评审方法和标准，按照最后报价由低到高的顺序依次推荐成交候选人</w:t>
      </w:r>
      <w:r>
        <w:rPr>
          <w:rFonts w:hint="eastAsia" w:ascii="宋体" w:hAnsi="宋体" w:eastAsia="宋体" w:cs="宋体"/>
          <w:color w:val="auto"/>
          <w:sz w:val="24"/>
          <w:highlight w:val="none"/>
          <w:lang w:eastAsia="zh-CN"/>
        </w:rPr>
        <w:t>；最后报价相同的，则由谈判小组采取随机抽取方式确定。</w:t>
      </w:r>
    </w:p>
    <w:p w14:paraId="40A593FA">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19</w:t>
      </w:r>
      <w:r>
        <w:rPr>
          <w:rFonts w:hint="eastAsia" w:ascii="宋体" w:hAnsi="宋体" w:eastAsia="宋体" w:cs="宋体"/>
          <w:b/>
          <w:color w:val="auto"/>
          <w:sz w:val="24"/>
          <w:highlight w:val="none"/>
        </w:rPr>
        <w:t>.确定成交候选人和成交供应商</w:t>
      </w:r>
    </w:p>
    <w:p w14:paraId="3EC0BAE2">
      <w:pPr>
        <w:spacing w:line="360" w:lineRule="auto"/>
        <w:ind w:firstLine="470" w:firstLineChars="196"/>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19</w:t>
      </w:r>
      <w:r>
        <w:rPr>
          <w:rFonts w:hint="eastAsia" w:ascii="宋体" w:hAnsi="宋体" w:eastAsia="宋体" w:cs="宋体"/>
          <w:color w:val="auto"/>
          <w:sz w:val="24"/>
          <w:highlight w:val="none"/>
        </w:rPr>
        <w:t>.1谈判小组按照最后报价由低到高的顺序和</w:t>
      </w:r>
      <w:r>
        <w:rPr>
          <w:rFonts w:hint="eastAsia" w:ascii="宋体" w:hAnsi="宋体" w:eastAsia="宋体" w:cs="宋体"/>
          <w:color w:val="auto"/>
          <w:sz w:val="24"/>
          <w:highlight w:val="none"/>
          <w:u w:val="single"/>
        </w:rPr>
        <w:t>供应商须知前附表</w:t>
      </w:r>
      <w:r>
        <w:rPr>
          <w:rFonts w:hint="eastAsia" w:ascii="宋体" w:hAnsi="宋体" w:eastAsia="宋体" w:cs="宋体"/>
          <w:color w:val="auto"/>
          <w:sz w:val="24"/>
          <w:highlight w:val="none"/>
        </w:rPr>
        <w:t>中规定确定成交候选人，并标明排列顺序。按</w:t>
      </w:r>
      <w:r>
        <w:rPr>
          <w:rFonts w:hint="eastAsia" w:ascii="宋体" w:hAnsi="宋体" w:eastAsia="宋体" w:cs="宋体"/>
          <w:color w:val="auto"/>
          <w:sz w:val="24"/>
          <w:highlight w:val="none"/>
          <w:u w:val="single"/>
          <w:lang w:val="en-US" w:eastAsia="zh-CN"/>
        </w:rPr>
        <w:t>供应商</w:t>
      </w:r>
      <w:r>
        <w:rPr>
          <w:rFonts w:hint="eastAsia" w:ascii="宋体" w:hAnsi="宋体" w:eastAsia="宋体" w:cs="宋体"/>
          <w:color w:val="auto"/>
          <w:sz w:val="24"/>
          <w:highlight w:val="none"/>
          <w:u w:val="single"/>
        </w:rPr>
        <w:t>须知前附表</w:t>
      </w:r>
      <w:r>
        <w:rPr>
          <w:rFonts w:hint="eastAsia" w:ascii="宋体" w:hAnsi="宋体" w:eastAsia="宋体" w:cs="宋体"/>
          <w:color w:val="auto"/>
          <w:sz w:val="24"/>
          <w:highlight w:val="none"/>
        </w:rPr>
        <w:t>中规定，由</w:t>
      </w:r>
      <w:r>
        <w:rPr>
          <w:rFonts w:hint="eastAsia" w:ascii="宋体" w:hAnsi="宋体" w:eastAsia="宋体" w:cs="宋体"/>
          <w:color w:val="auto"/>
          <w:sz w:val="24"/>
          <w:highlight w:val="none"/>
          <w:lang w:val="en-US" w:eastAsia="zh-CN"/>
        </w:rPr>
        <w:t>谈判小组</w:t>
      </w:r>
      <w:r>
        <w:rPr>
          <w:rFonts w:hint="eastAsia" w:ascii="宋体" w:hAnsi="宋体" w:eastAsia="宋体" w:cs="宋体"/>
          <w:color w:val="auto"/>
          <w:sz w:val="24"/>
          <w:highlight w:val="none"/>
        </w:rPr>
        <w:t>或采购人确定</w:t>
      </w:r>
      <w:r>
        <w:rPr>
          <w:rFonts w:hint="eastAsia" w:ascii="宋体" w:hAnsi="宋体" w:eastAsia="宋体" w:cs="宋体"/>
          <w:color w:val="auto"/>
          <w:sz w:val="24"/>
          <w:highlight w:val="none"/>
          <w:lang w:val="en-US" w:eastAsia="zh-CN"/>
        </w:rPr>
        <w:t>成交供应商</w:t>
      </w:r>
      <w:r>
        <w:rPr>
          <w:rFonts w:hint="eastAsia" w:ascii="宋体" w:hAnsi="宋体" w:eastAsia="宋体" w:cs="宋体"/>
          <w:color w:val="auto"/>
          <w:sz w:val="24"/>
          <w:highlight w:val="none"/>
        </w:rPr>
        <w:t>。</w:t>
      </w:r>
    </w:p>
    <w:p w14:paraId="37A84817">
      <w:pPr>
        <w:spacing w:line="360" w:lineRule="auto"/>
        <w:ind w:firstLine="435"/>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20</w:t>
      </w:r>
      <w:r>
        <w:rPr>
          <w:rFonts w:hint="eastAsia" w:ascii="宋体" w:hAnsi="宋体" w:eastAsia="宋体" w:cs="宋体"/>
          <w:b/>
          <w:color w:val="auto"/>
          <w:sz w:val="24"/>
          <w:highlight w:val="none"/>
        </w:rPr>
        <w:t>.编写评审报告</w:t>
      </w:r>
    </w:p>
    <w:p w14:paraId="0968CECB">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0</w:t>
      </w:r>
      <w:r>
        <w:rPr>
          <w:rFonts w:hint="eastAsia" w:ascii="宋体" w:hAnsi="宋体" w:eastAsia="宋体" w:cs="宋体"/>
          <w:color w:val="auto"/>
          <w:sz w:val="24"/>
          <w:highlight w:val="none"/>
        </w:rPr>
        <w:t>.1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w:t>
      </w:r>
    </w:p>
    <w:p w14:paraId="31513DDC">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w:t>
      </w:r>
      <w:r>
        <w:rPr>
          <w:rFonts w:hint="eastAsia" w:ascii="宋体" w:hAnsi="宋体" w:eastAsia="宋体" w:cs="宋体"/>
          <w:b/>
          <w:color w:val="auto"/>
          <w:sz w:val="24"/>
          <w:highlight w:val="none"/>
          <w:lang w:val="en-US" w:eastAsia="zh-CN"/>
        </w:rPr>
        <w:t>1</w:t>
      </w:r>
      <w:r>
        <w:rPr>
          <w:rFonts w:hint="eastAsia" w:ascii="宋体" w:hAnsi="宋体" w:eastAsia="宋体" w:cs="宋体"/>
          <w:b/>
          <w:color w:val="auto"/>
          <w:sz w:val="24"/>
          <w:highlight w:val="none"/>
        </w:rPr>
        <w:t>.保密要求</w:t>
      </w:r>
    </w:p>
    <w:p w14:paraId="56F9B538">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.1评审将在严格保密的情况下进行。</w:t>
      </w:r>
    </w:p>
    <w:p w14:paraId="353BCBC9">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.2有关人员应当遵守评审工作纪律，不得泄露评审文件、评审情况和评审中获悉的国家秘密、商业秘密。</w:t>
      </w:r>
    </w:p>
    <w:p w14:paraId="22237AFE">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w:t>
      </w:r>
      <w:r>
        <w:rPr>
          <w:rFonts w:hint="eastAsia" w:ascii="宋体" w:hAnsi="宋体" w:eastAsia="宋体" w:cs="宋体"/>
          <w:b/>
          <w:color w:val="auto"/>
          <w:sz w:val="24"/>
          <w:highlight w:val="none"/>
          <w:lang w:val="en-US" w:eastAsia="zh-CN"/>
        </w:rPr>
        <w:t>2</w:t>
      </w:r>
      <w:r>
        <w:rPr>
          <w:rFonts w:hint="eastAsia" w:ascii="宋体" w:hAnsi="宋体" w:eastAsia="宋体" w:cs="宋体"/>
          <w:b/>
          <w:color w:val="auto"/>
          <w:sz w:val="24"/>
          <w:highlight w:val="none"/>
        </w:rPr>
        <w:t>.成交结果公告</w:t>
      </w:r>
    </w:p>
    <w:p w14:paraId="36E84E3B">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.1谈判结束后，</w:t>
      </w:r>
      <w:r>
        <w:rPr>
          <w:rFonts w:hint="eastAsia" w:ascii="宋体" w:hAnsi="宋体" w:eastAsia="宋体" w:cs="宋体"/>
          <w:color w:val="auto"/>
          <w:sz w:val="24"/>
          <w:highlight w:val="none"/>
          <w:lang w:val="en-US" w:eastAsia="zh-CN"/>
        </w:rPr>
        <w:t>采购人及</w:t>
      </w:r>
      <w:r>
        <w:rPr>
          <w:rFonts w:hint="eastAsia" w:ascii="宋体" w:hAnsi="宋体" w:eastAsia="宋体" w:cs="宋体"/>
          <w:color w:val="auto"/>
          <w:sz w:val="24"/>
          <w:highlight w:val="none"/>
        </w:rPr>
        <w:t>采购代理机构将</w:t>
      </w:r>
      <w:r>
        <w:rPr>
          <w:rFonts w:hint="eastAsia" w:ascii="宋体" w:hAnsi="宋体" w:eastAsia="宋体" w:cs="宋体"/>
          <w:color w:val="auto"/>
          <w:sz w:val="24"/>
          <w:szCs w:val="18"/>
          <w:highlight w:val="none"/>
        </w:rPr>
        <w:t>在</w:t>
      </w:r>
      <w:bookmarkStart w:id="68" w:name="_Hlk169612915"/>
      <w:r>
        <w:rPr>
          <w:rFonts w:hint="eastAsia" w:ascii="宋体" w:hAnsi="宋体" w:eastAsia="宋体" w:cs="宋体"/>
          <w:color w:val="auto"/>
          <w:sz w:val="24"/>
          <w:szCs w:val="18"/>
          <w:highlight w:val="none"/>
          <w:lang w:eastAsia="zh-CN"/>
        </w:rPr>
        <w:t>安徽霍山国有资产投资控股集团有限公司</w:t>
      </w:r>
      <w:r>
        <w:rPr>
          <w:rFonts w:hint="eastAsia" w:ascii="宋体" w:hAnsi="宋体" w:eastAsia="宋体" w:cs="宋体"/>
          <w:color w:val="auto"/>
          <w:sz w:val="24"/>
          <w:szCs w:val="18"/>
          <w:highlight w:val="none"/>
        </w:rPr>
        <w:t>（</w:t>
      </w:r>
      <w:r>
        <w:rPr>
          <w:rFonts w:hint="eastAsia" w:ascii="宋体" w:hAnsi="宋体" w:eastAsia="宋体" w:cs="宋体"/>
          <w:color w:val="auto"/>
          <w:sz w:val="24"/>
          <w:szCs w:val="18"/>
          <w:highlight w:val="none"/>
          <w:lang w:eastAsia="zh-CN"/>
        </w:rPr>
        <w:t>http://www.ahdmig.cn</w:t>
      </w:r>
      <w:r>
        <w:rPr>
          <w:rFonts w:hint="eastAsia" w:ascii="宋体" w:hAnsi="宋体" w:eastAsia="宋体" w:cs="宋体"/>
          <w:color w:val="auto"/>
          <w:sz w:val="24"/>
          <w:szCs w:val="18"/>
          <w:highlight w:val="none"/>
        </w:rPr>
        <w:t>）</w:t>
      </w:r>
      <w:bookmarkEnd w:id="68"/>
      <w:r>
        <w:rPr>
          <w:rFonts w:hint="eastAsia" w:ascii="宋体" w:hAnsi="宋体" w:eastAsia="宋体" w:cs="宋体"/>
          <w:color w:val="auto"/>
          <w:sz w:val="24"/>
          <w:szCs w:val="18"/>
          <w:highlight w:val="none"/>
        </w:rPr>
        <w:t>上</w:t>
      </w:r>
      <w:r>
        <w:rPr>
          <w:rFonts w:hint="eastAsia" w:ascii="宋体" w:hAnsi="宋体" w:eastAsia="宋体" w:cs="宋体"/>
          <w:color w:val="auto"/>
          <w:sz w:val="24"/>
          <w:highlight w:val="none"/>
        </w:rPr>
        <w:t>发布成交结果公告。</w:t>
      </w:r>
    </w:p>
    <w:p w14:paraId="5F5F470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.2成交结果公告内容应当包括采购人及其委托的采购代理机构的名称、地址、联系方式，项目名称和项目编号，成交供应商名称、地址和成交金额，主要成交标的的名称、规格型号、数量、单价、服务要求。</w:t>
      </w:r>
    </w:p>
    <w:p w14:paraId="77B9915C">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w:t>
      </w:r>
      <w:r>
        <w:rPr>
          <w:rFonts w:hint="eastAsia" w:ascii="宋体" w:hAnsi="宋体" w:eastAsia="宋体" w:cs="宋体"/>
          <w:b/>
          <w:color w:val="auto"/>
          <w:sz w:val="24"/>
          <w:highlight w:val="none"/>
          <w:lang w:val="en-US" w:eastAsia="zh-CN"/>
        </w:rPr>
        <w:t>3</w:t>
      </w:r>
      <w:r>
        <w:rPr>
          <w:rFonts w:hint="eastAsia" w:ascii="宋体" w:hAnsi="宋体" w:eastAsia="宋体" w:cs="宋体"/>
          <w:b/>
          <w:color w:val="auto"/>
          <w:sz w:val="24"/>
          <w:highlight w:val="none"/>
        </w:rPr>
        <w:t>.成交通知书</w:t>
      </w:r>
    </w:p>
    <w:p w14:paraId="0A3387F7">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.1采购代理机构发布成交结果公告的同时以</w:t>
      </w:r>
      <w:r>
        <w:rPr>
          <w:rFonts w:hint="eastAsia" w:ascii="宋体" w:hAnsi="宋体" w:eastAsia="宋体" w:cs="宋体"/>
          <w:color w:val="auto"/>
          <w:sz w:val="24"/>
          <w:highlight w:val="none"/>
          <w:u w:val="single"/>
        </w:rPr>
        <w:t>供应商须知前附表</w:t>
      </w:r>
      <w:r>
        <w:rPr>
          <w:rFonts w:hint="eastAsia" w:ascii="宋体" w:hAnsi="宋体" w:eastAsia="宋体" w:cs="宋体"/>
          <w:color w:val="auto"/>
          <w:sz w:val="24"/>
          <w:highlight w:val="none"/>
        </w:rPr>
        <w:t>规定的形式向成交供应商发出成交通知书。</w:t>
      </w:r>
    </w:p>
    <w:p w14:paraId="4DC403BF">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.2成交通知书对采购人和成交供应商具有同等法律效力。成交通知书发出以后，采购人改变成交结果或者成交供应商放弃成交资格，应当承担相应的法律责任。</w:t>
      </w:r>
    </w:p>
    <w:p w14:paraId="1D34FA50">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.3成交通知书是合同的组成部分。</w:t>
      </w:r>
    </w:p>
    <w:p w14:paraId="6305EC2E">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w:t>
      </w:r>
      <w:r>
        <w:rPr>
          <w:rFonts w:hint="eastAsia" w:ascii="宋体" w:hAnsi="宋体" w:eastAsia="宋体" w:cs="宋体"/>
          <w:b/>
          <w:color w:val="auto"/>
          <w:sz w:val="24"/>
          <w:highlight w:val="none"/>
          <w:lang w:val="en-US" w:eastAsia="zh-CN"/>
        </w:rPr>
        <w:t>4</w:t>
      </w:r>
      <w:r>
        <w:rPr>
          <w:rFonts w:hint="eastAsia" w:ascii="宋体" w:hAnsi="宋体" w:eastAsia="宋体" w:cs="宋体"/>
          <w:b/>
          <w:color w:val="auto"/>
          <w:sz w:val="24"/>
          <w:highlight w:val="none"/>
        </w:rPr>
        <w:t>.告知谈判结果</w:t>
      </w:r>
    </w:p>
    <w:p w14:paraId="5844B6B5">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.1在公告成交结果的同时，采购代理机构同时以</w:t>
      </w:r>
      <w:r>
        <w:rPr>
          <w:rFonts w:hint="eastAsia" w:ascii="宋体" w:hAnsi="宋体" w:eastAsia="宋体" w:cs="宋体"/>
          <w:color w:val="auto"/>
          <w:sz w:val="24"/>
          <w:szCs w:val="24"/>
          <w:highlight w:val="none"/>
          <w:u w:val="single"/>
        </w:rPr>
        <w:t>供应商须知前附表</w:t>
      </w:r>
      <w:r>
        <w:rPr>
          <w:rFonts w:hint="eastAsia" w:ascii="宋体" w:hAnsi="宋体" w:eastAsia="宋体" w:cs="宋体"/>
          <w:color w:val="auto"/>
          <w:sz w:val="24"/>
          <w:szCs w:val="24"/>
          <w:highlight w:val="none"/>
        </w:rPr>
        <w:t>规定的形式告知未成交供应商本人的排序。</w:t>
      </w:r>
    </w:p>
    <w:p w14:paraId="6B7F7D3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采购代理机构对未成交的供应商不做未成交原因的解释。</w:t>
      </w:r>
    </w:p>
    <w:p w14:paraId="4678BED9">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25</w:t>
      </w:r>
      <w:r>
        <w:rPr>
          <w:rFonts w:hint="eastAsia" w:ascii="宋体" w:hAnsi="宋体" w:eastAsia="宋体" w:cs="宋体"/>
          <w:b/>
          <w:color w:val="auto"/>
          <w:sz w:val="24"/>
          <w:highlight w:val="none"/>
        </w:rPr>
        <w:t>.履约保证金</w:t>
      </w:r>
    </w:p>
    <w:p w14:paraId="1985340F">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25</w:t>
      </w:r>
      <w:r>
        <w:rPr>
          <w:rFonts w:hint="eastAsia" w:ascii="宋体" w:hAnsi="宋体" w:eastAsia="宋体" w:cs="宋体"/>
          <w:color w:val="auto"/>
          <w:sz w:val="24"/>
          <w:highlight w:val="none"/>
        </w:rPr>
        <w:t>.1成交供应商应按照</w:t>
      </w:r>
      <w:r>
        <w:rPr>
          <w:rFonts w:hint="eastAsia" w:ascii="宋体" w:hAnsi="宋体" w:eastAsia="宋体" w:cs="宋体"/>
          <w:color w:val="auto"/>
          <w:sz w:val="24"/>
          <w:highlight w:val="none"/>
          <w:u w:val="single"/>
        </w:rPr>
        <w:t>供应商须知前附表</w:t>
      </w:r>
      <w:r>
        <w:rPr>
          <w:rFonts w:hint="eastAsia" w:ascii="宋体" w:hAnsi="宋体" w:eastAsia="宋体" w:cs="宋体"/>
          <w:color w:val="auto"/>
          <w:sz w:val="24"/>
          <w:highlight w:val="none"/>
        </w:rPr>
        <w:t>规定缴纳履约保证金。</w:t>
      </w:r>
    </w:p>
    <w:p w14:paraId="47727DEB">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25</w:t>
      </w:r>
      <w:r>
        <w:rPr>
          <w:rFonts w:hint="eastAsia" w:ascii="宋体" w:hAnsi="宋体" w:eastAsia="宋体" w:cs="宋体"/>
          <w:color w:val="auto"/>
          <w:sz w:val="24"/>
          <w:highlight w:val="none"/>
        </w:rPr>
        <w:t>.2如果成交供应商没有按照上述履约保证金的规定执行，将视为放弃成交资格。在此情况下，采购人可确定下一成交候选人为成交供应商，也可以重新开展采购活动。</w:t>
      </w:r>
    </w:p>
    <w:p w14:paraId="58839EFD">
      <w:pPr>
        <w:spacing w:line="360" w:lineRule="auto"/>
        <w:ind w:firstLine="437"/>
        <w:outlineLvl w:val="2"/>
        <w:rPr>
          <w:rFonts w:hint="eastAsia" w:ascii="宋体" w:hAnsi="宋体" w:eastAsia="宋体" w:cs="宋体"/>
          <w:b/>
          <w:color w:val="auto"/>
          <w:sz w:val="24"/>
          <w:highlight w:val="none"/>
          <w:lang w:eastAsia="zh-CN"/>
        </w:rPr>
      </w:pPr>
      <w:r>
        <w:rPr>
          <w:rFonts w:hint="eastAsia" w:ascii="宋体" w:hAnsi="宋体" w:eastAsia="宋体" w:cs="宋体"/>
          <w:b/>
          <w:color w:val="auto"/>
          <w:sz w:val="24"/>
          <w:highlight w:val="none"/>
          <w:lang w:val="en-US" w:eastAsia="zh-CN"/>
        </w:rPr>
        <w:t>26</w:t>
      </w:r>
      <w:r>
        <w:rPr>
          <w:rFonts w:hint="eastAsia" w:ascii="宋体" w:hAnsi="宋体" w:eastAsia="宋体" w:cs="宋体"/>
          <w:b/>
          <w:color w:val="auto"/>
          <w:sz w:val="24"/>
          <w:highlight w:val="none"/>
        </w:rPr>
        <w:t>.</w:t>
      </w:r>
      <w:r>
        <w:rPr>
          <w:rFonts w:hint="eastAsia" w:ascii="宋体" w:hAnsi="宋体" w:eastAsia="宋体" w:cs="宋体"/>
          <w:b/>
          <w:color w:val="auto"/>
          <w:sz w:val="24"/>
          <w:highlight w:val="none"/>
          <w:lang w:val="en-US" w:eastAsia="zh-CN"/>
        </w:rPr>
        <w:t>代理费用</w:t>
      </w:r>
    </w:p>
    <w:p w14:paraId="0E306037">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26</w:t>
      </w:r>
      <w:r>
        <w:rPr>
          <w:rFonts w:hint="eastAsia" w:ascii="宋体" w:hAnsi="宋体" w:eastAsia="宋体" w:cs="宋体"/>
          <w:color w:val="auto"/>
          <w:sz w:val="24"/>
          <w:highlight w:val="none"/>
        </w:rPr>
        <w:t>.1本项目</w:t>
      </w:r>
      <w:r>
        <w:rPr>
          <w:rFonts w:hint="eastAsia" w:ascii="宋体" w:hAnsi="宋体" w:eastAsia="宋体" w:cs="宋体"/>
          <w:color w:val="auto"/>
          <w:sz w:val="24"/>
          <w:highlight w:val="none"/>
          <w:lang w:val="en-US" w:eastAsia="zh-CN"/>
        </w:rPr>
        <w:t>代理费用</w:t>
      </w:r>
      <w:r>
        <w:rPr>
          <w:rFonts w:hint="eastAsia" w:ascii="宋体" w:hAnsi="宋体" w:eastAsia="宋体" w:cs="宋体"/>
          <w:color w:val="auto"/>
          <w:sz w:val="24"/>
          <w:highlight w:val="none"/>
        </w:rPr>
        <w:t>的收取按</w:t>
      </w:r>
      <w:r>
        <w:rPr>
          <w:rFonts w:hint="eastAsia" w:ascii="宋体" w:hAnsi="宋体" w:eastAsia="宋体" w:cs="宋体"/>
          <w:color w:val="auto"/>
          <w:sz w:val="24"/>
          <w:highlight w:val="none"/>
          <w:u w:val="single"/>
        </w:rPr>
        <w:t>供应商须知前附表</w:t>
      </w:r>
      <w:r>
        <w:rPr>
          <w:rFonts w:hint="eastAsia" w:ascii="宋体" w:hAnsi="宋体" w:eastAsia="宋体" w:cs="宋体"/>
          <w:color w:val="auto"/>
          <w:sz w:val="24"/>
          <w:highlight w:val="none"/>
        </w:rPr>
        <w:t>的规定执行。</w:t>
      </w:r>
    </w:p>
    <w:p w14:paraId="6071BA6E">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27</w:t>
      </w:r>
      <w:r>
        <w:rPr>
          <w:rFonts w:hint="eastAsia" w:ascii="宋体" w:hAnsi="宋体" w:eastAsia="宋体" w:cs="宋体"/>
          <w:b/>
          <w:color w:val="auto"/>
          <w:sz w:val="24"/>
          <w:highlight w:val="none"/>
        </w:rPr>
        <w:t>.签订合同</w:t>
      </w:r>
    </w:p>
    <w:p w14:paraId="3A3250D7">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27</w:t>
      </w:r>
      <w:r>
        <w:rPr>
          <w:rFonts w:hint="eastAsia" w:ascii="宋体" w:hAnsi="宋体" w:eastAsia="宋体" w:cs="宋体"/>
          <w:color w:val="auto"/>
          <w:sz w:val="24"/>
          <w:highlight w:val="none"/>
        </w:rPr>
        <w:t>.1</w:t>
      </w:r>
      <w:r>
        <w:rPr>
          <w:rFonts w:hint="eastAsia" w:ascii="宋体" w:hAnsi="宋体" w:eastAsia="宋体" w:cs="宋体"/>
          <w:color w:val="auto"/>
          <w:sz w:val="24"/>
          <w:szCs w:val="24"/>
          <w:highlight w:val="none"/>
          <w:u w:val="none"/>
          <w:lang w:val="en-US" w:eastAsia="zh-CN"/>
        </w:rPr>
        <w:t>采购人与成交供应商应当按照</w:t>
      </w:r>
      <w:r>
        <w:rPr>
          <w:rFonts w:hint="eastAsia" w:ascii="宋体" w:hAnsi="宋体" w:eastAsia="宋体" w:cs="宋体"/>
          <w:color w:val="auto"/>
          <w:sz w:val="24"/>
          <w:szCs w:val="24"/>
          <w:highlight w:val="none"/>
          <w:u w:val="single"/>
          <w:lang w:val="en-US" w:eastAsia="zh-CN"/>
        </w:rPr>
        <w:t>供应商</w:t>
      </w:r>
      <w:r>
        <w:rPr>
          <w:rFonts w:hint="eastAsia" w:ascii="宋体" w:hAnsi="宋体" w:eastAsia="宋体" w:cs="宋体"/>
          <w:color w:val="auto"/>
          <w:sz w:val="24"/>
          <w:szCs w:val="24"/>
          <w:highlight w:val="none"/>
          <w:u w:val="single"/>
        </w:rPr>
        <w:t>须知前附表</w:t>
      </w:r>
      <w:r>
        <w:rPr>
          <w:rFonts w:hint="eastAsia" w:ascii="宋体" w:hAnsi="宋体" w:eastAsia="宋体" w:cs="宋体"/>
          <w:color w:val="auto"/>
          <w:sz w:val="24"/>
          <w:szCs w:val="24"/>
          <w:highlight w:val="none"/>
          <w:u w:val="none"/>
        </w:rPr>
        <w:t>规定</w:t>
      </w:r>
      <w:r>
        <w:rPr>
          <w:rFonts w:hint="eastAsia" w:ascii="宋体" w:hAnsi="宋体" w:eastAsia="宋体" w:cs="宋体"/>
          <w:color w:val="auto"/>
          <w:sz w:val="24"/>
          <w:szCs w:val="24"/>
          <w:highlight w:val="none"/>
          <w:lang w:val="en-US" w:eastAsia="zh-CN"/>
        </w:rPr>
        <w:t>的时间内完成采购合同签订及合同公告。</w:t>
      </w:r>
    </w:p>
    <w:p w14:paraId="7EE04913">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27</w:t>
      </w:r>
      <w:r>
        <w:rPr>
          <w:rFonts w:hint="eastAsia" w:ascii="宋体" w:hAnsi="宋体" w:eastAsia="宋体" w:cs="宋体"/>
          <w:color w:val="auto"/>
          <w:sz w:val="24"/>
          <w:highlight w:val="none"/>
        </w:rPr>
        <w:t>.2谈判文件、成交供应商的响应文件及其澄清文件等，均为签订合同的依据。</w:t>
      </w:r>
    </w:p>
    <w:p w14:paraId="18CE1FAB">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27</w:t>
      </w:r>
      <w:r>
        <w:rPr>
          <w:rFonts w:hint="eastAsia" w:ascii="宋体" w:hAnsi="宋体" w:eastAsia="宋体" w:cs="宋体"/>
          <w:color w:val="auto"/>
          <w:sz w:val="24"/>
          <w:highlight w:val="none"/>
        </w:rPr>
        <w:t>.3成交供应商拒绝与采购人签订合同的，采购人可以按照评审报告推荐的成交候选人名单排序，确定下一成交候选人为成交供应商，也可以重新开展采购活动。成交供应商拒绝签订采购合同的不得参加对该项目重新开展的采购活动。</w:t>
      </w:r>
    </w:p>
    <w:p w14:paraId="615D7EB9">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28</w:t>
      </w:r>
      <w:r>
        <w:rPr>
          <w:rFonts w:hint="eastAsia" w:ascii="宋体" w:hAnsi="宋体" w:eastAsia="宋体" w:cs="宋体"/>
          <w:b/>
          <w:color w:val="auto"/>
          <w:sz w:val="24"/>
          <w:highlight w:val="none"/>
        </w:rPr>
        <w:t>.廉洁自律规定</w:t>
      </w:r>
    </w:p>
    <w:p w14:paraId="42B28A59">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28</w:t>
      </w:r>
      <w:r>
        <w:rPr>
          <w:rFonts w:hint="eastAsia" w:ascii="宋体" w:hAnsi="宋体" w:eastAsia="宋体" w:cs="宋体"/>
          <w:color w:val="auto"/>
          <w:sz w:val="24"/>
          <w:highlight w:val="none"/>
        </w:rPr>
        <w:t>.1采购代理机构工作人员不得以不正当手段获取采购代理业务，不得与采购人、供应商恶意串通。</w:t>
      </w:r>
    </w:p>
    <w:p w14:paraId="4B6DE673">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28</w:t>
      </w:r>
      <w:r>
        <w:rPr>
          <w:rFonts w:hint="eastAsia" w:ascii="宋体" w:hAnsi="宋体" w:eastAsia="宋体" w:cs="宋体"/>
          <w:color w:val="auto"/>
          <w:sz w:val="24"/>
          <w:highlight w:val="none"/>
        </w:rPr>
        <w:t>.2采购代理机构工作人员不得接受采购人或者供应商组织的宴请、旅游、娱乐，不得收受礼品、现金、有价证券等，不得向采购人或者供应商报销应当由个人承担的费用。</w:t>
      </w:r>
    </w:p>
    <w:p w14:paraId="5ED33823">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29</w:t>
      </w:r>
      <w:r>
        <w:rPr>
          <w:rFonts w:hint="eastAsia" w:ascii="宋体" w:hAnsi="宋体" w:eastAsia="宋体" w:cs="宋体"/>
          <w:b/>
          <w:color w:val="auto"/>
          <w:sz w:val="24"/>
          <w:highlight w:val="none"/>
        </w:rPr>
        <w:t>.质疑的提出与接收</w:t>
      </w:r>
    </w:p>
    <w:p w14:paraId="1E4F7117">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29</w:t>
      </w:r>
      <w:r>
        <w:rPr>
          <w:rFonts w:hint="eastAsia" w:ascii="宋体" w:hAnsi="宋体" w:eastAsia="宋体" w:cs="宋体"/>
          <w:color w:val="auto"/>
          <w:sz w:val="24"/>
          <w:highlight w:val="none"/>
        </w:rPr>
        <w:t>.1供应商认为谈判文件、采购过程和成交结果使自己的权益受到损害的，可以在知道或者应知其权益受到损害之日起七个工作日内，以书面形式向采购人或其委托的采购代理机构提出质疑。</w:t>
      </w:r>
    </w:p>
    <w:p w14:paraId="56C550B5">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29</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质疑供应商应</w:t>
      </w:r>
      <w:r>
        <w:rPr>
          <w:rFonts w:hint="eastAsia" w:ascii="宋体" w:hAnsi="宋体" w:eastAsia="宋体" w:cs="宋体"/>
          <w:color w:val="auto"/>
          <w:sz w:val="24"/>
          <w:highlight w:val="none"/>
          <w:lang w:val="en-US" w:eastAsia="zh-CN"/>
        </w:rPr>
        <w:t>参照</w:t>
      </w:r>
      <w:r>
        <w:rPr>
          <w:rFonts w:hint="eastAsia" w:ascii="宋体" w:hAnsi="宋体" w:eastAsia="宋体" w:cs="宋体"/>
          <w:color w:val="auto"/>
          <w:sz w:val="24"/>
          <w:highlight w:val="none"/>
        </w:rPr>
        <w:t>财政部制定的《政府采购质疑函范本》格式和《政府采购质疑和投诉办法》的要求，在法定质疑期内以书面形式提出质疑，超出法定质疑期提交的质疑将被拒绝。针对同一采购程序环节的质疑应一次性提出。</w:t>
      </w:r>
    </w:p>
    <w:p w14:paraId="37FB7F90">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29</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质疑函</w:t>
      </w:r>
      <w:r>
        <w:rPr>
          <w:rFonts w:hint="eastAsia" w:ascii="宋体" w:hAnsi="宋体" w:eastAsia="宋体" w:cs="宋体"/>
          <w:color w:val="auto"/>
          <w:sz w:val="24"/>
          <w:highlight w:val="none"/>
          <w:lang w:val="en-US" w:eastAsia="zh-CN"/>
        </w:rPr>
        <w:t>递交方式</w:t>
      </w:r>
      <w:r>
        <w:rPr>
          <w:rFonts w:hint="eastAsia" w:ascii="宋体" w:hAnsi="宋体" w:eastAsia="宋体" w:cs="宋体"/>
          <w:color w:val="auto"/>
          <w:sz w:val="24"/>
          <w:highlight w:val="none"/>
        </w:rPr>
        <w:t>见</w:t>
      </w:r>
      <w:r>
        <w:rPr>
          <w:rFonts w:hint="eastAsia" w:ascii="宋体" w:hAnsi="宋体" w:eastAsia="宋体" w:cs="宋体"/>
          <w:color w:val="auto"/>
          <w:sz w:val="24"/>
          <w:highlight w:val="none"/>
          <w:u w:val="single"/>
        </w:rPr>
        <w:t>供应商须知前附表</w:t>
      </w:r>
      <w:r>
        <w:rPr>
          <w:rFonts w:hint="eastAsia" w:ascii="宋体" w:hAnsi="宋体" w:eastAsia="宋体" w:cs="宋体"/>
          <w:color w:val="auto"/>
          <w:sz w:val="24"/>
          <w:highlight w:val="none"/>
        </w:rPr>
        <w:t>。</w:t>
      </w:r>
    </w:p>
    <w:p w14:paraId="103A23AE">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30.</w:t>
      </w:r>
      <w:r>
        <w:rPr>
          <w:rFonts w:hint="eastAsia" w:ascii="宋体" w:hAnsi="宋体" w:eastAsia="宋体" w:cs="宋体"/>
          <w:b/>
          <w:color w:val="auto"/>
          <w:sz w:val="24"/>
          <w:highlight w:val="none"/>
        </w:rPr>
        <w:t>需要补充的其他内容</w:t>
      </w:r>
    </w:p>
    <w:p w14:paraId="21B703A5">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需要补充的其他内容，见</w:t>
      </w:r>
      <w:r>
        <w:rPr>
          <w:rFonts w:hint="eastAsia" w:ascii="宋体" w:hAnsi="宋体" w:eastAsia="宋体" w:cs="宋体"/>
          <w:color w:val="auto"/>
          <w:sz w:val="24"/>
          <w:highlight w:val="none"/>
          <w:u w:val="single"/>
        </w:rPr>
        <w:t>供应商须知前附表</w:t>
      </w:r>
      <w:r>
        <w:rPr>
          <w:rFonts w:hint="eastAsia" w:ascii="宋体" w:hAnsi="宋体" w:eastAsia="宋体" w:cs="宋体"/>
          <w:color w:val="auto"/>
          <w:sz w:val="24"/>
          <w:highlight w:val="none"/>
        </w:rPr>
        <w:t>。</w:t>
      </w:r>
    </w:p>
    <w:p w14:paraId="56ED1BA2">
      <w:pPr>
        <w:widowControl/>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p>
    <w:p w14:paraId="75112ACE">
      <w:pPr>
        <w:spacing w:line="360" w:lineRule="auto"/>
        <w:jc w:val="center"/>
        <w:outlineLvl w:val="0"/>
        <w:rPr>
          <w:rFonts w:hint="eastAsia" w:ascii="宋体" w:hAnsi="宋体" w:eastAsia="宋体" w:cs="宋体"/>
          <w:b/>
          <w:color w:val="auto"/>
          <w:sz w:val="28"/>
          <w:highlight w:val="none"/>
        </w:rPr>
      </w:pPr>
      <w:bookmarkStart w:id="69" w:name="_Toc25461"/>
      <w:r>
        <w:rPr>
          <w:rFonts w:hint="eastAsia" w:ascii="宋体" w:hAnsi="宋体" w:eastAsia="宋体" w:cs="宋体"/>
          <w:b/>
          <w:color w:val="auto"/>
          <w:sz w:val="28"/>
          <w:highlight w:val="none"/>
        </w:rPr>
        <w:t>第三章  采购需求</w:t>
      </w:r>
      <w:bookmarkEnd w:id="69"/>
    </w:p>
    <w:p w14:paraId="3E374219">
      <w:pPr>
        <w:keepNext w:val="0"/>
        <w:keepLines w:val="0"/>
        <w:pageBreakBefore w:val="0"/>
        <w:widowControl w:val="0"/>
        <w:kinsoku/>
        <w:wordWrap/>
        <w:overflowPunct/>
        <w:topLinePunct w:val="0"/>
        <w:autoSpaceDE/>
        <w:autoSpaceDN/>
        <w:bidi w:val="0"/>
        <w:adjustRightInd/>
        <w:snapToGrid/>
        <w:spacing w:before="0" w:beforeLines="50" w:line="360" w:lineRule="auto"/>
        <w:ind w:firstLine="482" w:firstLineChars="200"/>
        <w:textAlignment w:val="auto"/>
        <w:outlineLvl w:val="1"/>
        <w:rPr>
          <w:rFonts w:hint="eastAsia" w:ascii="宋体" w:hAnsi="宋体" w:eastAsia="宋体" w:cs="宋体"/>
          <w:b/>
          <w:color w:val="auto"/>
          <w:sz w:val="24"/>
          <w:szCs w:val="18"/>
          <w:highlight w:val="none"/>
        </w:rPr>
      </w:pPr>
      <w:bookmarkStart w:id="70" w:name="_Toc20480"/>
      <w:bookmarkStart w:id="71" w:name="_Toc26457"/>
      <w:r>
        <w:rPr>
          <w:rFonts w:hint="eastAsia" w:ascii="宋体" w:hAnsi="宋体" w:eastAsia="宋体" w:cs="宋体"/>
          <w:b/>
          <w:color w:val="auto"/>
          <w:sz w:val="24"/>
          <w:szCs w:val="18"/>
          <w:highlight w:val="none"/>
        </w:rPr>
        <w:t>一、采购需求前附表</w:t>
      </w:r>
      <w:bookmarkEnd w:id="70"/>
      <w:bookmarkEnd w:id="71"/>
    </w:p>
    <w:tbl>
      <w:tblPr>
        <w:tblStyle w:val="15"/>
        <w:tblW w:w="94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1911"/>
        <w:gridCol w:w="6714"/>
      </w:tblGrid>
      <w:tr w14:paraId="45EEB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800" w:type="dxa"/>
            <w:noWrap w:val="0"/>
            <w:vAlign w:val="center"/>
          </w:tcPr>
          <w:p w14:paraId="2C3ED6F9">
            <w:pPr>
              <w:pStyle w:val="21"/>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textAlignment w:val="auto"/>
              <w:rPr>
                <w:rFonts w:hint="eastAsia" w:ascii="宋体" w:hAnsi="宋体" w:eastAsia="宋体" w:cs="宋体"/>
                <w:b/>
                <w:color w:val="auto"/>
                <w:kern w:val="2"/>
                <w:highlight w:val="none"/>
              </w:rPr>
            </w:pPr>
            <w:bookmarkStart w:id="72" w:name="_Toc8981"/>
            <w:bookmarkStart w:id="73" w:name="_Toc25805"/>
            <w:r>
              <w:rPr>
                <w:rFonts w:hint="eastAsia" w:ascii="宋体" w:hAnsi="宋体" w:eastAsia="宋体" w:cs="宋体"/>
                <w:b/>
                <w:color w:val="auto"/>
                <w:kern w:val="2"/>
                <w:highlight w:val="none"/>
              </w:rPr>
              <w:t>序号</w:t>
            </w:r>
          </w:p>
        </w:tc>
        <w:tc>
          <w:tcPr>
            <w:tcW w:w="1911" w:type="dxa"/>
            <w:noWrap w:val="0"/>
            <w:vAlign w:val="center"/>
          </w:tcPr>
          <w:p w14:paraId="6C756996">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Cs w:val="0"/>
                <w:color w:val="auto"/>
                <w:sz w:val="24"/>
                <w:highlight w:val="none"/>
              </w:rPr>
            </w:pPr>
            <w:r>
              <w:rPr>
                <w:rFonts w:hint="eastAsia" w:ascii="宋体" w:hAnsi="宋体" w:eastAsia="宋体" w:cs="宋体"/>
                <w:bCs w:val="0"/>
                <w:color w:val="auto"/>
                <w:sz w:val="24"/>
                <w:highlight w:val="none"/>
              </w:rPr>
              <w:t>条款名称</w:t>
            </w:r>
          </w:p>
        </w:tc>
        <w:tc>
          <w:tcPr>
            <w:tcW w:w="6714" w:type="dxa"/>
            <w:noWrap w:val="0"/>
            <w:vAlign w:val="center"/>
          </w:tcPr>
          <w:p w14:paraId="0220CFF0">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Cs w:val="0"/>
                <w:color w:val="auto"/>
                <w:sz w:val="24"/>
                <w:highlight w:val="none"/>
              </w:rPr>
            </w:pPr>
            <w:r>
              <w:rPr>
                <w:rFonts w:hint="eastAsia" w:ascii="宋体" w:hAnsi="宋体" w:eastAsia="宋体" w:cs="宋体"/>
                <w:bCs w:val="0"/>
                <w:color w:val="auto"/>
                <w:sz w:val="24"/>
                <w:highlight w:val="none"/>
              </w:rPr>
              <w:t>内容、说明与要求</w:t>
            </w:r>
          </w:p>
        </w:tc>
      </w:tr>
      <w:tr w14:paraId="6136C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800" w:type="dxa"/>
            <w:noWrap w:val="0"/>
            <w:vAlign w:val="center"/>
          </w:tcPr>
          <w:p w14:paraId="23ADC7BC">
            <w:pPr>
              <w:pStyle w:val="21"/>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1</w:t>
            </w:r>
          </w:p>
        </w:tc>
        <w:tc>
          <w:tcPr>
            <w:tcW w:w="1911" w:type="dxa"/>
            <w:noWrap w:val="0"/>
            <w:vAlign w:val="center"/>
          </w:tcPr>
          <w:p w14:paraId="15E64745">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付款方式</w:t>
            </w:r>
          </w:p>
        </w:tc>
        <w:tc>
          <w:tcPr>
            <w:tcW w:w="6714" w:type="dxa"/>
            <w:noWrap w:val="0"/>
            <w:vAlign w:val="center"/>
          </w:tcPr>
          <w:p w14:paraId="703642DD">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default" w:ascii="宋体" w:hAnsi="宋体" w:eastAsia="宋体" w:cs="宋体"/>
                <w:b w:val="0"/>
                <w:color w:val="auto"/>
                <w:sz w:val="24"/>
                <w:highlight w:val="none"/>
                <w:u w:val="single"/>
                <w:lang w:val="en-US" w:eastAsia="zh-CN"/>
              </w:rPr>
            </w:pPr>
            <w:r>
              <w:rPr>
                <w:rFonts w:hint="eastAsia" w:ascii="宋体" w:hAnsi="宋体" w:eastAsia="宋体" w:cs="宋体"/>
                <w:b w:val="0"/>
                <w:color w:val="auto"/>
                <w:sz w:val="24"/>
                <w:highlight w:val="none"/>
                <w:u w:val="none"/>
                <w:lang w:val="en-US" w:eastAsia="zh-CN"/>
              </w:rPr>
              <w:t>供应商完成供货，经采购人验收合格后一次性付清。</w:t>
            </w:r>
          </w:p>
        </w:tc>
      </w:tr>
      <w:tr w14:paraId="18DCC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800" w:type="dxa"/>
            <w:noWrap w:val="0"/>
            <w:vAlign w:val="center"/>
          </w:tcPr>
          <w:p w14:paraId="2AC07C68">
            <w:pPr>
              <w:pStyle w:val="21"/>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2</w:t>
            </w:r>
          </w:p>
        </w:tc>
        <w:tc>
          <w:tcPr>
            <w:tcW w:w="1911" w:type="dxa"/>
            <w:noWrap w:val="0"/>
            <w:vAlign w:val="center"/>
          </w:tcPr>
          <w:p w14:paraId="7F0F78D3">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供货及安装地点</w:t>
            </w:r>
          </w:p>
        </w:tc>
        <w:tc>
          <w:tcPr>
            <w:tcW w:w="6714" w:type="dxa"/>
            <w:noWrap w:val="0"/>
            <w:vAlign w:val="center"/>
          </w:tcPr>
          <w:p w14:paraId="1180581F">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default" w:ascii="宋体" w:hAnsi="宋体" w:eastAsia="宋体" w:cs="宋体"/>
                <w:b w:val="0"/>
                <w:color w:val="auto"/>
                <w:sz w:val="24"/>
                <w:highlight w:val="none"/>
                <w:lang w:val="en-US" w:eastAsia="zh-CN"/>
              </w:rPr>
            </w:pPr>
            <w:r>
              <w:rPr>
                <w:rFonts w:hint="eastAsia" w:ascii="宋体" w:hAnsi="宋体" w:eastAsia="宋体" w:cs="宋体"/>
                <w:b w:val="0"/>
                <w:color w:val="auto"/>
                <w:sz w:val="24"/>
                <w:highlight w:val="none"/>
                <w:lang w:val="en-US" w:eastAsia="zh-CN"/>
              </w:rPr>
              <w:t>霍山县单龙寺镇单龙寺村境内</w:t>
            </w:r>
          </w:p>
        </w:tc>
      </w:tr>
      <w:tr w14:paraId="3D0AA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800" w:type="dxa"/>
            <w:noWrap w:val="0"/>
            <w:vAlign w:val="center"/>
          </w:tcPr>
          <w:p w14:paraId="0B5D77D3">
            <w:pPr>
              <w:pStyle w:val="21"/>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3</w:t>
            </w:r>
          </w:p>
        </w:tc>
        <w:tc>
          <w:tcPr>
            <w:tcW w:w="1911" w:type="dxa"/>
            <w:noWrap w:val="0"/>
            <w:vAlign w:val="center"/>
          </w:tcPr>
          <w:p w14:paraId="215A8607">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供货及安装期限</w:t>
            </w:r>
          </w:p>
        </w:tc>
        <w:tc>
          <w:tcPr>
            <w:tcW w:w="6714" w:type="dxa"/>
            <w:noWrap w:val="0"/>
            <w:vAlign w:val="center"/>
          </w:tcPr>
          <w:p w14:paraId="43F425AB">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2026年</w:t>
            </w:r>
            <w:r>
              <w:rPr>
                <w:rFonts w:hint="eastAsia" w:ascii="宋体" w:hAnsi="宋体" w:eastAsia="宋体" w:cs="宋体"/>
                <w:b w:val="0"/>
                <w:color w:val="auto"/>
                <w:sz w:val="24"/>
                <w:highlight w:val="none"/>
                <w:lang w:eastAsia="zh-CN"/>
              </w:rPr>
              <w:t>10月21日</w:t>
            </w:r>
            <w:r>
              <w:rPr>
                <w:rFonts w:hint="eastAsia" w:ascii="宋体" w:hAnsi="宋体" w:eastAsia="宋体" w:cs="宋体"/>
                <w:b w:val="0"/>
                <w:color w:val="auto"/>
                <w:sz w:val="24"/>
                <w:highlight w:val="none"/>
              </w:rPr>
              <w:t>前完成供货。</w:t>
            </w:r>
          </w:p>
        </w:tc>
      </w:tr>
      <w:tr w14:paraId="404E9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800" w:type="dxa"/>
            <w:noWrap w:val="0"/>
            <w:vAlign w:val="center"/>
          </w:tcPr>
          <w:p w14:paraId="543375E6">
            <w:pPr>
              <w:pStyle w:val="21"/>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4</w:t>
            </w:r>
          </w:p>
        </w:tc>
        <w:tc>
          <w:tcPr>
            <w:tcW w:w="1911" w:type="dxa"/>
            <w:noWrap w:val="0"/>
            <w:vAlign w:val="center"/>
          </w:tcPr>
          <w:p w14:paraId="4309F57D">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免费质保期</w:t>
            </w:r>
          </w:p>
        </w:tc>
        <w:tc>
          <w:tcPr>
            <w:tcW w:w="6714" w:type="dxa"/>
            <w:noWrap w:val="0"/>
            <w:vAlign w:val="center"/>
          </w:tcPr>
          <w:p w14:paraId="3AAE5F3A">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b w:val="0"/>
                <w:color w:val="auto"/>
                <w:sz w:val="24"/>
                <w:highlight w:val="none"/>
                <w:lang w:val="en-US" w:eastAsia="zh-CN"/>
              </w:rPr>
            </w:pPr>
            <w:r>
              <w:rPr>
                <w:rFonts w:hint="eastAsia" w:ascii="宋体" w:hAnsi="宋体" w:eastAsia="宋体" w:cs="宋体"/>
                <w:b w:val="0"/>
                <w:color w:val="auto"/>
                <w:sz w:val="24"/>
                <w:highlight w:val="none"/>
                <w:lang w:val="en-US" w:eastAsia="zh-CN"/>
              </w:rPr>
              <w:t>/</w:t>
            </w:r>
          </w:p>
        </w:tc>
      </w:tr>
    </w:tbl>
    <w:p w14:paraId="352A9E8F">
      <w:pPr>
        <w:keepNext w:val="0"/>
        <w:keepLines w:val="0"/>
        <w:pageBreakBefore w:val="0"/>
        <w:widowControl w:val="0"/>
        <w:kinsoku/>
        <w:wordWrap/>
        <w:overflowPunct/>
        <w:topLinePunct w:val="0"/>
        <w:autoSpaceDE/>
        <w:autoSpaceDN/>
        <w:bidi w:val="0"/>
        <w:adjustRightInd/>
        <w:snapToGrid/>
        <w:spacing w:before="0" w:beforeLines="50" w:line="360" w:lineRule="auto"/>
        <w:ind w:firstLine="482" w:firstLineChars="200"/>
        <w:textAlignment w:val="auto"/>
        <w:outlineLvl w:val="1"/>
        <w:rPr>
          <w:rFonts w:hint="eastAsia" w:ascii="宋体" w:hAnsi="宋体" w:eastAsia="宋体" w:cs="宋体"/>
          <w:b/>
          <w:color w:val="auto"/>
          <w:sz w:val="24"/>
          <w:szCs w:val="18"/>
          <w:highlight w:val="none"/>
        </w:rPr>
      </w:pPr>
      <w:r>
        <w:rPr>
          <w:rFonts w:hint="eastAsia" w:ascii="宋体" w:hAnsi="宋体" w:eastAsia="宋体" w:cs="宋体"/>
          <w:b/>
          <w:color w:val="auto"/>
          <w:sz w:val="24"/>
          <w:szCs w:val="18"/>
          <w:highlight w:val="none"/>
        </w:rPr>
        <w:t>二、货物需求</w:t>
      </w:r>
      <w:bookmarkEnd w:id="72"/>
      <w:bookmarkEnd w:id="73"/>
    </w:p>
    <w:p w14:paraId="2B1831D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 w:val="0"/>
          <w:bCs w:val="0"/>
          <w:color w:val="auto"/>
          <w:sz w:val="24"/>
          <w:szCs w:val="18"/>
          <w:highlight w:val="none"/>
          <w:lang w:val="en-US" w:eastAsia="zh-CN"/>
        </w:rPr>
      </w:pPr>
      <w:bookmarkStart w:id="74" w:name="_Toc16712"/>
      <w:bookmarkStart w:id="75" w:name="_Toc18135"/>
      <w:r>
        <w:rPr>
          <w:rFonts w:hint="eastAsia" w:ascii="宋体" w:hAnsi="宋体" w:eastAsia="宋体" w:cs="宋体"/>
          <w:b w:val="0"/>
          <w:bCs w:val="0"/>
          <w:color w:val="auto"/>
          <w:sz w:val="24"/>
          <w:szCs w:val="18"/>
          <w:highlight w:val="none"/>
          <w:lang w:val="en-US" w:eastAsia="zh-CN"/>
        </w:rPr>
        <w:t>安徽省2026年度中央财政林草科技推广《林下经济集成技术推广项目》包括两个子项目,其中霍山县《林下新品种石菖蒲栽培技术推广子项目》，需采购石菖蒲新品种“皖蒲1号”种苗70万株，预算单价0.5元/株，最高限价35万元。</w:t>
      </w:r>
    </w:p>
    <w:p w14:paraId="7D4793D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outlineLvl w:val="9"/>
        <w:rPr>
          <w:rFonts w:hint="default"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val="en-US" w:eastAsia="zh-CN"/>
        </w:rPr>
        <w:t>（一）供应商资格要求</w:t>
      </w:r>
    </w:p>
    <w:p w14:paraId="1740336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 w:val="0"/>
          <w:bCs w:val="0"/>
          <w:color w:val="auto"/>
          <w:sz w:val="24"/>
          <w:szCs w:val="18"/>
          <w:highlight w:val="none"/>
          <w:lang w:val="en-US" w:eastAsia="zh-CN"/>
        </w:rPr>
      </w:pPr>
      <w:r>
        <w:rPr>
          <w:rFonts w:hint="eastAsia" w:ascii="宋体" w:hAnsi="宋体" w:eastAsia="宋体" w:cs="宋体"/>
          <w:b w:val="0"/>
          <w:bCs w:val="0"/>
          <w:color w:val="auto"/>
          <w:sz w:val="24"/>
          <w:szCs w:val="18"/>
          <w:highlight w:val="none"/>
          <w:lang w:val="en-US" w:eastAsia="zh-CN"/>
        </w:rPr>
        <w:t>1、供应商应为石菖蒲新品种“皖蒲1号”品种鉴定登记证书登记单位，或提供登记单位出具的“皖蒲1号”种源证明；</w:t>
      </w:r>
    </w:p>
    <w:p w14:paraId="2B48D3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 w:val="0"/>
          <w:bCs w:val="0"/>
          <w:color w:val="auto"/>
          <w:sz w:val="24"/>
          <w:szCs w:val="18"/>
          <w:highlight w:val="none"/>
          <w:lang w:val="en-US" w:eastAsia="zh-CN"/>
        </w:rPr>
      </w:pPr>
      <w:r>
        <w:rPr>
          <w:rFonts w:hint="eastAsia" w:ascii="宋体" w:hAnsi="宋体" w:eastAsia="宋体" w:cs="宋体"/>
          <w:b w:val="0"/>
          <w:bCs w:val="0"/>
          <w:color w:val="auto"/>
          <w:sz w:val="24"/>
          <w:szCs w:val="18"/>
          <w:highlight w:val="none"/>
          <w:lang w:val="en-US" w:eastAsia="zh-CN"/>
        </w:rPr>
        <w:t>2、供应商需提供20亩以上石菖蒲新品种“皖蒲1号”种植基地证明材料（属地政府或主管部门证明）。</w:t>
      </w:r>
    </w:p>
    <w:p w14:paraId="78BC299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outlineLvl w:val="9"/>
        <w:rPr>
          <w:rFonts w:hint="default"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val="en-US" w:eastAsia="zh-CN"/>
        </w:rPr>
        <w:t>（二）质量要求</w:t>
      </w:r>
    </w:p>
    <w:p w14:paraId="65F719F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 w:val="0"/>
          <w:bCs w:val="0"/>
          <w:color w:val="auto"/>
          <w:sz w:val="24"/>
          <w:szCs w:val="18"/>
          <w:highlight w:val="none"/>
          <w:lang w:val="en-US" w:eastAsia="zh-CN"/>
        </w:rPr>
      </w:pPr>
      <w:r>
        <w:rPr>
          <w:rFonts w:hint="eastAsia" w:ascii="宋体" w:hAnsi="宋体" w:eastAsia="宋体" w:cs="宋体"/>
          <w:b w:val="0"/>
          <w:bCs w:val="0"/>
          <w:color w:val="auto"/>
          <w:sz w:val="24"/>
          <w:szCs w:val="18"/>
          <w:highlight w:val="none"/>
          <w:lang w:val="en-US" w:eastAsia="zh-CN"/>
        </w:rPr>
        <w:t>“皖蒲 1 号”种苗规格：苗高20cm以上、单株均含主根、根茎4cm以上并带有3个以上饱满芽头，无病虫害的健康种苗。</w:t>
      </w:r>
    </w:p>
    <w:p w14:paraId="3679CCE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outlineLvl w:val="9"/>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val="en-US" w:eastAsia="zh-CN"/>
        </w:rPr>
        <w:t>（三）交货地点</w:t>
      </w:r>
    </w:p>
    <w:p w14:paraId="6BF2E24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 w:val="0"/>
          <w:bCs w:val="0"/>
          <w:color w:val="auto"/>
          <w:sz w:val="24"/>
          <w:szCs w:val="18"/>
          <w:highlight w:val="none"/>
          <w:lang w:val="en-US" w:eastAsia="zh-CN"/>
        </w:rPr>
      </w:pPr>
      <w:r>
        <w:rPr>
          <w:rFonts w:hint="eastAsia" w:ascii="宋体" w:hAnsi="宋体" w:eastAsia="宋体" w:cs="宋体"/>
          <w:b w:val="0"/>
          <w:bCs w:val="0"/>
          <w:color w:val="auto"/>
          <w:sz w:val="24"/>
          <w:szCs w:val="18"/>
          <w:highlight w:val="none"/>
          <w:lang w:val="en-US" w:eastAsia="zh-CN"/>
        </w:rPr>
        <w:t>霍山县单龙寺镇单龙寺村境内。</w:t>
      </w:r>
    </w:p>
    <w:p w14:paraId="61FE767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outlineLvl w:val="9"/>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val="en-US" w:eastAsia="zh-CN"/>
        </w:rPr>
        <w:t>（四）验收标椎</w:t>
      </w:r>
    </w:p>
    <w:p w14:paraId="4D08EE6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 w:val="0"/>
          <w:bCs w:val="0"/>
          <w:color w:val="auto"/>
          <w:sz w:val="24"/>
          <w:szCs w:val="18"/>
          <w:highlight w:val="none"/>
          <w:lang w:val="en-US" w:eastAsia="zh-CN"/>
        </w:rPr>
      </w:pPr>
      <w:r>
        <w:rPr>
          <w:rFonts w:hint="eastAsia" w:ascii="宋体" w:hAnsi="宋体" w:eastAsia="宋体" w:cs="宋体"/>
          <w:b w:val="0"/>
          <w:bCs w:val="0"/>
          <w:color w:val="auto"/>
          <w:sz w:val="24"/>
          <w:szCs w:val="18"/>
          <w:highlight w:val="none"/>
          <w:lang w:val="en-US" w:eastAsia="zh-CN"/>
        </w:rPr>
        <w:t>到货后2天内验收，死苗、烂苗、萎焉苗率超5%采购方可拒收；</w:t>
      </w:r>
    </w:p>
    <w:p w14:paraId="3E1D0D3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outlineLvl w:val="9"/>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val="en-US" w:eastAsia="zh-CN"/>
        </w:rPr>
        <w:t>（五）交货时间</w:t>
      </w:r>
    </w:p>
    <w:p w14:paraId="5DE48A1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b/>
          <w:bCs/>
          <w:color w:val="auto"/>
          <w:sz w:val="24"/>
          <w:szCs w:val="18"/>
          <w:highlight w:val="none"/>
        </w:rPr>
      </w:pPr>
      <w:r>
        <w:rPr>
          <w:rFonts w:hint="eastAsia" w:ascii="宋体" w:hAnsi="宋体" w:eastAsia="宋体" w:cs="宋体"/>
          <w:b w:val="0"/>
          <w:color w:val="auto"/>
          <w:sz w:val="24"/>
          <w:highlight w:val="none"/>
        </w:rPr>
        <w:t>2026年</w:t>
      </w:r>
      <w:r>
        <w:rPr>
          <w:rFonts w:hint="eastAsia" w:ascii="宋体" w:hAnsi="宋体" w:eastAsia="宋体" w:cs="宋体"/>
          <w:b w:val="0"/>
          <w:color w:val="auto"/>
          <w:sz w:val="24"/>
          <w:highlight w:val="none"/>
          <w:lang w:eastAsia="zh-CN"/>
        </w:rPr>
        <w:t>10月21日</w:t>
      </w:r>
      <w:r>
        <w:rPr>
          <w:rFonts w:hint="eastAsia" w:ascii="宋体" w:hAnsi="宋体" w:eastAsia="宋体" w:cs="宋体"/>
          <w:b w:val="0"/>
          <w:color w:val="auto"/>
          <w:sz w:val="24"/>
          <w:highlight w:val="none"/>
        </w:rPr>
        <w:t>前完成供货。</w:t>
      </w:r>
    </w:p>
    <w:bookmarkEnd w:id="74"/>
    <w:bookmarkEnd w:id="75"/>
    <w:p w14:paraId="176725D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p>
    <w:p w14:paraId="698903B5">
      <w:pPr>
        <w:spacing w:line="360" w:lineRule="auto"/>
        <w:jc w:val="center"/>
        <w:outlineLvl w:val="0"/>
        <w:rPr>
          <w:rFonts w:hint="eastAsia" w:ascii="宋体" w:hAnsi="宋体" w:eastAsia="宋体" w:cs="宋体"/>
          <w:b/>
          <w:color w:val="auto"/>
          <w:sz w:val="28"/>
          <w:highlight w:val="none"/>
        </w:rPr>
      </w:pPr>
      <w:bookmarkStart w:id="76" w:name="_Toc20811"/>
      <w:r>
        <w:rPr>
          <w:rFonts w:hint="eastAsia" w:ascii="宋体" w:hAnsi="宋体" w:eastAsia="宋体" w:cs="宋体"/>
          <w:b/>
          <w:color w:val="auto"/>
          <w:sz w:val="28"/>
          <w:highlight w:val="none"/>
        </w:rPr>
        <w:t>第四章  评审方法和标准</w:t>
      </w:r>
      <w:bookmarkEnd w:id="76"/>
    </w:p>
    <w:p w14:paraId="1603570D">
      <w:pPr>
        <w:spacing w:line="360" w:lineRule="auto"/>
        <w:ind w:firstLine="437"/>
        <w:outlineLvl w:val="1"/>
        <w:rPr>
          <w:rFonts w:hint="eastAsia" w:ascii="宋体" w:hAnsi="宋体" w:eastAsia="宋体" w:cs="宋体"/>
          <w:b/>
          <w:color w:val="auto"/>
          <w:sz w:val="24"/>
          <w:highlight w:val="none"/>
        </w:rPr>
      </w:pPr>
      <w:bookmarkStart w:id="77" w:name="_Toc5230"/>
      <w:bookmarkStart w:id="78" w:name="_Toc10142"/>
      <w:r>
        <w:rPr>
          <w:rFonts w:hint="eastAsia" w:ascii="宋体" w:hAnsi="宋体" w:eastAsia="宋体" w:cs="宋体"/>
          <w:b/>
          <w:color w:val="auto"/>
          <w:sz w:val="24"/>
          <w:highlight w:val="none"/>
        </w:rPr>
        <w:t>一、总则</w:t>
      </w:r>
      <w:bookmarkEnd w:id="77"/>
      <w:bookmarkEnd w:id="78"/>
    </w:p>
    <w:p w14:paraId="6C8354BC">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本项目将按照谈判文件第二章 供应商须知的相关要求及本章的规定评审。</w:t>
      </w:r>
    </w:p>
    <w:p w14:paraId="05F7FF15">
      <w:pPr>
        <w:spacing w:line="360" w:lineRule="auto"/>
        <w:ind w:firstLine="437"/>
        <w:outlineLvl w:val="1"/>
        <w:rPr>
          <w:rFonts w:hint="eastAsia" w:ascii="宋体" w:hAnsi="宋体" w:eastAsia="宋体" w:cs="宋体"/>
          <w:b/>
          <w:color w:val="auto"/>
          <w:sz w:val="24"/>
          <w:highlight w:val="none"/>
        </w:rPr>
      </w:pPr>
      <w:bookmarkStart w:id="79" w:name="_Toc30817"/>
      <w:bookmarkStart w:id="80" w:name="_Toc25812"/>
      <w:r>
        <w:rPr>
          <w:rFonts w:hint="eastAsia" w:ascii="宋体" w:hAnsi="宋体" w:eastAsia="宋体" w:cs="宋体"/>
          <w:b/>
          <w:color w:val="auto"/>
          <w:sz w:val="24"/>
          <w:highlight w:val="none"/>
        </w:rPr>
        <w:t>二、评审方法</w:t>
      </w:r>
      <w:bookmarkEnd w:id="79"/>
      <w:bookmarkEnd w:id="80"/>
    </w:p>
    <w:tbl>
      <w:tblPr>
        <w:tblStyle w:val="15"/>
        <w:tblW w:w="563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631"/>
        <w:gridCol w:w="1516"/>
        <w:gridCol w:w="4004"/>
        <w:gridCol w:w="3330"/>
      </w:tblGrid>
      <w:tr w14:paraId="0FACE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20" w:hRule="atLeast"/>
          <w:jc w:val="center"/>
        </w:trPr>
        <w:tc>
          <w:tcPr>
            <w:tcW w:w="5000" w:type="pct"/>
            <w:gridSpan w:val="4"/>
            <w:tcBorders>
              <w:bottom w:val="single" w:color="auto" w:sz="4" w:space="0"/>
            </w:tcBorders>
            <w:noWrap w:val="0"/>
            <w:vAlign w:val="center"/>
          </w:tcPr>
          <w:p w14:paraId="2849A93F">
            <w:pPr>
              <w:keepNext w:val="0"/>
              <w:keepLines w:val="0"/>
              <w:pageBreakBefore w:val="0"/>
              <w:widowControl w:val="0"/>
              <w:kinsoku/>
              <w:wordWrap/>
              <w:overflowPunct/>
              <w:topLinePunct w:val="0"/>
              <w:autoSpaceDE/>
              <w:autoSpaceDN/>
              <w:bidi w:val="0"/>
              <w:adjustRightInd w:val="0"/>
              <w:snapToGrid w:val="0"/>
              <w:spacing w:line="400" w:lineRule="exact"/>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初审表</w:t>
            </w:r>
          </w:p>
        </w:tc>
      </w:tr>
      <w:tr w14:paraId="3201B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20" w:hRule="atLeast"/>
          <w:jc w:val="center"/>
        </w:trPr>
        <w:tc>
          <w:tcPr>
            <w:tcW w:w="5000" w:type="pct"/>
            <w:gridSpan w:val="4"/>
            <w:tcBorders>
              <w:bottom w:val="single" w:color="auto" w:sz="4" w:space="0"/>
            </w:tcBorders>
            <w:noWrap w:val="0"/>
            <w:vAlign w:val="center"/>
          </w:tcPr>
          <w:p w14:paraId="0C06FE40">
            <w:pPr>
              <w:keepNext w:val="0"/>
              <w:keepLines w:val="0"/>
              <w:pageBreakBefore w:val="0"/>
              <w:widowControl w:val="0"/>
              <w:kinsoku/>
              <w:wordWrap/>
              <w:overflowPunct/>
              <w:topLinePunct w:val="0"/>
              <w:autoSpaceDE/>
              <w:autoSpaceDN/>
              <w:bidi w:val="0"/>
              <w:adjustRightInd w:val="0"/>
              <w:snapToGrid w:val="0"/>
              <w:spacing w:line="400" w:lineRule="exact"/>
              <w:ind w:right="0"/>
              <w:jc w:val="center"/>
              <w:textAlignment w:val="auto"/>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资格审查</w:t>
            </w:r>
          </w:p>
        </w:tc>
      </w:tr>
      <w:tr w14:paraId="6D610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85" w:hRule="atLeast"/>
          <w:jc w:val="center"/>
        </w:trPr>
        <w:tc>
          <w:tcPr>
            <w:tcW w:w="332" w:type="pct"/>
            <w:tcBorders>
              <w:bottom w:val="single" w:color="auto" w:sz="4" w:space="0"/>
            </w:tcBorders>
            <w:noWrap w:val="0"/>
            <w:vAlign w:val="center"/>
          </w:tcPr>
          <w:p w14:paraId="41350449">
            <w:pPr>
              <w:keepNext w:val="0"/>
              <w:keepLines w:val="0"/>
              <w:pageBreakBefore w:val="0"/>
              <w:widowControl w:val="0"/>
              <w:kinsoku/>
              <w:wordWrap/>
              <w:overflowPunct/>
              <w:topLinePunct w:val="0"/>
              <w:autoSpaceDE/>
              <w:autoSpaceDN/>
              <w:bidi w:val="0"/>
              <w:adjustRightInd w:val="0"/>
              <w:snapToGrid w:val="0"/>
              <w:spacing w:line="400" w:lineRule="exact"/>
              <w:ind w:right="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799" w:type="pct"/>
            <w:tcBorders>
              <w:bottom w:val="single" w:color="auto" w:sz="4" w:space="0"/>
            </w:tcBorders>
            <w:noWrap w:val="0"/>
            <w:vAlign w:val="center"/>
          </w:tcPr>
          <w:p w14:paraId="5951CDA3">
            <w:pPr>
              <w:pStyle w:val="21"/>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snapToGrid w:val="0"/>
              <w:spacing w:line="400" w:lineRule="exact"/>
              <w:ind w:right="0"/>
              <w:textAlignment w:val="auto"/>
              <w:rPr>
                <w:rFonts w:hint="eastAsia"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rPr>
              <w:t>审查指标</w:t>
            </w:r>
          </w:p>
        </w:tc>
        <w:tc>
          <w:tcPr>
            <w:tcW w:w="2111" w:type="pct"/>
            <w:tcBorders>
              <w:bottom w:val="single" w:color="auto" w:sz="4" w:space="0"/>
            </w:tcBorders>
            <w:noWrap w:val="0"/>
            <w:vAlign w:val="center"/>
          </w:tcPr>
          <w:p w14:paraId="5767BD16">
            <w:pPr>
              <w:keepNext w:val="0"/>
              <w:keepLines w:val="0"/>
              <w:pageBreakBefore w:val="0"/>
              <w:widowControl w:val="0"/>
              <w:kinsoku/>
              <w:wordWrap/>
              <w:overflowPunct/>
              <w:topLinePunct w:val="0"/>
              <w:autoSpaceDE/>
              <w:autoSpaceDN/>
              <w:bidi w:val="0"/>
              <w:adjustRightInd w:val="0"/>
              <w:snapToGrid w:val="0"/>
              <w:spacing w:line="400" w:lineRule="exact"/>
              <w:ind w:right="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审查标准</w:t>
            </w:r>
          </w:p>
        </w:tc>
        <w:tc>
          <w:tcPr>
            <w:tcW w:w="1756" w:type="pct"/>
            <w:tcBorders>
              <w:bottom w:val="single" w:color="auto" w:sz="4" w:space="0"/>
            </w:tcBorders>
            <w:noWrap w:val="0"/>
            <w:vAlign w:val="center"/>
          </w:tcPr>
          <w:p w14:paraId="6E2552D7">
            <w:pPr>
              <w:keepNext w:val="0"/>
              <w:keepLines w:val="0"/>
              <w:pageBreakBefore w:val="0"/>
              <w:widowControl w:val="0"/>
              <w:kinsoku/>
              <w:wordWrap/>
              <w:overflowPunct/>
              <w:topLinePunct w:val="0"/>
              <w:autoSpaceDE/>
              <w:autoSpaceDN/>
              <w:bidi w:val="0"/>
              <w:adjustRightInd w:val="0"/>
              <w:snapToGrid w:val="0"/>
              <w:spacing w:line="400" w:lineRule="exact"/>
              <w:ind w:right="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格式要求</w:t>
            </w:r>
          </w:p>
        </w:tc>
      </w:tr>
      <w:tr w14:paraId="4F7C7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835" w:hRule="atLeast"/>
          <w:jc w:val="center"/>
        </w:trPr>
        <w:tc>
          <w:tcPr>
            <w:tcW w:w="332" w:type="pct"/>
            <w:tcBorders>
              <w:bottom w:val="single" w:color="auto" w:sz="4" w:space="0"/>
            </w:tcBorders>
            <w:noWrap w:val="0"/>
            <w:vAlign w:val="center"/>
          </w:tcPr>
          <w:p w14:paraId="2E3D7914">
            <w:pPr>
              <w:keepNext w:val="0"/>
              <w:keepLines w:val="0"/>
              <w:pageBreakBefore w:val="0"/>
              <w:widowControl w:val="0"/>
              <w:kinsoku/>
              <w:wordWrap/>
              <w:overflowPunct/>
              <w:topLinePunct w:val="0"/>
              <w:autoSpaceDE/>
              <w:autoSpaceDN/>
              <w:bidi w:val="0"/>
              <w:adjustRightInd w:val="0"/>
              <w:snapToGrid w:val="0"/>
              <w:spacing w:line="400" w:lineRule="exact"/>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799" w:type="pct"/>
            <w:tcBorders>
              <w:bottom w:val="single" w:color="auto" w:sz="4" w:space="0"/>
            </w:tcBorders>
            <w:noWrap w:val="0"/>
            <w:vAlign w:val="center"/>
          </w:tcPr>
          <w:p w14:paraId="18778087">
            <w:pPr>
              <w:keepNext w:val="0"/>
              <w:keepLines w:val="0"/>
              <w:pageBreakBefore w:val="0"/>
              <w:widowControl w:val="0"/>
              <w:kinsoku/>
              <w:wordWrap/>
              <w:overflowPunct/>
              <w:topLinePunct w:val="0"/>
              <w:autoSpaceDE/>
              <w:autoSpaceDN/>
              <w:bidi w:val="0"/>
              <w:spacing w:line="400" w:lineRule="exact"/>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营业执照等证明</w:t>
            </w:r>
            <w:r>
              <w:rPr>
                <w:rFonts w:hint="eastAsia" w:ascii="宋体" w:hAnsi="宋体" w:eastAsia="宋体" w:cs="宋体"/>
                <w:color w:val="auto"/>
                <w:spacing w:val="-3"/>
                <w:sz w:val="24"/>
                <w:szCs w:val="24"/>
                <w:highlight w:val="none"/>
              </w:rPr>
              <w:t>文件</w:t>
            </w:r>
          </w:p>
        </w:tc>
        <w:tc>
          <w:tcPr>
            <w:tcW w:w="2111" w:type="pct"/>
            <w:tcBorders>
              <w:bottom w:val="single" w:color="auto" w:sz="4" w:space="0"/>
            </w:tcBorders>
            <w:noWrap w:val="0"/>
            <w:vAlign w:val="center"/>
          </w:tcPr>
          <w:p w14:paraId="6A09B7A0">
            <w:pPr>
              <w:keepNext w:val="0"/>
              <w:keepLines w:val="0"/>
              <w:pageBreakBefore w:val="0"/>
              <w:widowControl w:val="0"/>
              <w:kinsoku/>
              <w:wordWrap/>
              <w:overflowPunct/>
              <w:topLinePunct w:val="0"/>
              <w:autoSpaceDE/>
              <w:autoSpaceDN/>
              <w:bidi w:val="0"/>
              <w:spacing w:line="40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（1）供应商为企业（包括合伙企业）的，应提供有效的营业执照；</w:t>
            </w:r>
          </w:p>
          <w:p w14:paraId="01333C5E">
            <w:pPr>
              <w:keepNext w:val="0"/>
              <w:keepLines w:val="0"/>
              <w:pageBreakBefore w:val="0"/>
              <w:widowControl w:val="0"/>
              <w:kinsoku/>
              <w:wordWrap/>
              <w:overflowPunct/>
              <w:topLinePunct w:val="0"/>
              <w:autoSpaceDE/>
              <w:autoSpaceDN/>
              <w:bidi w:val="0"/>
              <w:spacing w:line="40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（2）供应商为事业单位的，应提供有效的事业单位法人证书；</w:t>
            </w:r>
          </w:p>
          <w:p w14:paraId="246064FC">
            <w:pPr>
              <w:keepNext w:val="0"/>
              <w:keepLines w:val="0"/>
              <w:pageBreakBefore w:val="0"/>
              <w:widowControl w:val="0"/>
              <w:kinsoku/>
              <w:wordWrap/>
              <w:overflowPunct/>
              <w:topLinePunct w:val="0"/>
              <w:autoSpaceDE/>
              <w:autoSpaceDN/>
              <w:bidi w:val="0"/>
              <w:spacing w:line="40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（3）供应商是非企业机构的，应提供有效的执业许可证或登记证书等证明文件；</w:t>
            </w:r>
          </w:p>
          <w:p w14:paraId="2707F9DF">
            <w:pPr>
              <w:keepNext w:val="0"/>
              <w:keepLines w:val="0"/>
              <w:pageBreakBefore w:val="0"/>
              <w:widowControl w:val="0"/>
              <w:kinsoku/>
              <w:wordWrap/>
              <w:overflowPunct/>
              <w:topLinePunct w:val="0"/>
              <w:autoSpaceDE/>
              <w:autoSpaceDN/>
              <w:bidi w:val="0"/>
              <w:spacing w:line="40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（4）供应商是个体工商户的，应提供有效的个体工商户营业执照；</w:t>
            </w:r>
          </w:p>
          <w:p w14:paraId="23BB77D8">
            <w:pPr>
              <w:keepNext w:val="0"/>
              <w:keepLines w:val="0"/>
              <w:pageBreakBefore w:val="0"/>
              <w:widowControl w:val="0"/>
              <w:kinsoku/>
              <w:wordWrap/>
              <w:overflowPunct/>
              <w:topLinePunct w:val="0"/>
              <w:autoSpaceDE/>
              <w:autoSpaceDN/>
              <w:bidi w:val="0"/>
              <w:spacing w:line="40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（5）供应商是自然人的，应提供有效的自然人身份证明。</w:t>
            </w:r>
          </w:p>
        </w:tc>
        <w:tc>
          <w:tcPr>
            <w:tcW w:w="1756" w:type="pct"/>
            <w:noWrap w:val="0"/>
            <w:vAlign w:val="center"/>
          </w:tcPr>
          <w:p w14:paraId="774FDA9D">
            <w:pPr>
              <w:keepNext w:val="0"/>
              <w:keepLines w:val="0"/>
              <w:pageBreakBefore w:val="0"/>
              <w:widowControl w:val="0"/>
              <w:kinsoku/>
              <w:wordWrap/>
              <w:overflowPunct/>
              <w:topLinePunct w:val="0"/>
              <w:autoSpaceDE/>
              <w:autoSpaceDN/>
              <w:bidi w:val="0"/>
              <w:spacing w:line="400" w:lineRule="exact"/>
              <w:ind w:right="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提供材料或电子证照</w:t>
            </w:r>
            <w:r>
              <w:rPr>
                <w:rFonts w:hint="eastAsia" w:ascii="宋体" w:hAnsi="宋体" w:eastAsia="宋体" w:cs="宋体"/>
                <w:color w:val="auto"/>
                <w:sz w:val="24"/>
                <w:szCs w:val="24"/>
                <w:highlight w:val="none"/>
                <w:lang w:val="en-US" w:eastAsia="zh-CN"/>
              </w:rPr>
              <w:t>复印件</w:t>
            </w:r>
            <w:r>
              <w:rPr>
                <w:rFonts w:hint="eastAsia" w:ascii="宋体" w:hAnsi="宋体" w:eastAsia="宋体" w:cs="宋体"/>
                <w:color w:val="auto"/>
                <w:sz w:val="24"/>
                <w:szCs w:val="24"/>
                <w:highlight w:val="none"/>
              </w:rPr>
              <w:t>，应完整的体现出材料或电子证照全部内容。联合体磋商的联合体各方均须提供。</w:t>
            </w:r>
          </w:p>
        </w:tc>
      </w:tr>
      <w:tr w14:paraId="45C4F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332" w:type="pct"/>
            <w:tcBorders>
              <w:bottom w:val="single" w:color="auto" w:sz="4" w:space="0"/>
            </w:tcBorders>
            <w:noWrap w:val="0"/>
            <w:vAlign w:val="center"/>
          </w:tcPr>
          <w:p w14:paraId="186E5CF0">
            <w:pPr>
              <w:keepNext w:val="0"/>
              <w:keepLines w:val="0"/>
              <w:pageBreakBefore w:val="0"/>
              <w:widowControl w:val="0"/>
              <w:kinsoku/>
              <w:wordWrap/>
              <w:overflowPunct/>
              <w:topLinePunct w:val="0"/>
              <w:autoSpaceDE/>
              <w:autoSpaceDN/>
              <w:bidi w:val="0"/>
              <w:adjustRightInd w:val="0"/>
              <w:snapToGrid w:val="0"/>
              <w:spacing w:line="400" w:lineRule="exact"/>
              <w:ind w:right="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p>
        </w:tc>
        <w:tc>
          <w:tcPr>
            <w:tcW w:w="799" w:type="pct"/>
            <w:tcBorders>
              <w:bottom w:val="single" w:color="auto" w:sz="4" w:space="0"/>
            </w:tcBorders>
            <w:noWrap w:val="0"/>
            <w:vAlign w:val="center"/>
          </w:tcPr>
          <w:p w14:paraId="6A36A90F">
            <w:pPr>
              <w:keepNext w:val="0"/>
              <w:keepLines w:val="0"/>
              <w:pageBreakBefore w:val="0"/>
              <w:widowControl w:val="0"/>
              <w:kinsoku/>
              <w:wordWrap/>
              <w:overflowPunct/>
              <w:topLinePunct w:val="0"/>
              <w:autoSpaceDE/>
              <w:autoSpaceDN/>
              <w:bidi w:val="0"/>
              <w:spacing w:line="400" w:lineRule="exact"/>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供应商信用记录</w:t>
            </w:r>
          </w:p>
        </w:tc>
        <w:tc>
          <w:tcPr>
            <w:tcW w:w="2111" w:type="pct"/>
            <w:tcBorders>
              <w:bottom w:val="single" w:color="auto" w:sz="4" w:space="0"/>
            </w:tcBorders>
            <w:noWrap w:val="0"/>
            <w:vAlign w:val="center"/>
          </w:tcPr>
          <w:p w14:paraId="516AFA70">
            <w:pPr>
              <w:keepNext w:val="0"/>
              <w:keepLines w:val="0"/>
              <w:pageBreakBefore w:val="0"/>
              <w:widowControl w:val="0"/>
              <w:kinsoku/>
              <w:wordWrap/>
              <w:overflowPunct/>
              <w:topLinePunct w:val="0"/>
              <w:autoSpaceDE/>
              <w:autoSpaceDN/>
              <w:bidi w:val="0"/>
              <w:spacing w:line="40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lang w:val="zh-CN"/>
              </w:rPr>
              <w:t>不得存在</w:t>
            </w: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lang w:val="zh-CN"/>
              </w:rPr>
              <w:t>须知正文第1</w:t>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条中的不良信用记录情形</w:t>
            </w:r>
          </w:p>
        </w:tc>
        <w:tc>
          <w:tcPr>
            <w:tcW w:w="1756" w:type="pct"/>
            <w:tcBorders>
              <w:bottom w:val="single" w:color="auto" w:sz="4" w:space="0"/>
            </w:tcBorders>
            <w:noWrap w:val="0"/>
            <w:vAlign w:val="center"/>
          </w:tcPr>
          <w:p w14:paraId="0553B974">
            <w:pPr>
              <w:keepNext w:val="0"/>
              <w:keepLines w:val="0"/>
              <w:pageBreakBefore w:val="0"/>
              <w:widowControl w:val="0"/>
              <w:kinsoku/>
              <w:wordWrap/>
              <w:overflowPunct/>
              <w:topLinePunct w:val="0"/>
              <w:autoSpaceDE/>
              <w:autoSpaceDN/>
              <w:bidi w:val="0"/>
              <w:spacing w:line="40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无需提供证明材料。</w:t>
            </w:r>
            <w:r>
              <w:rPr>
                <w:rFonts w:hint="eastAsia" w:ascii="宋体" w:hAnsi="宋体" w:eastAsia="宋体" w:cs="宋体"/>
                <w:color w:val="auto"/>
                <w:sz w:val="24"/>
                <w:szCs w:val="24"/>
                <w:highlight w:val="none"/>
              </w:rPr>
              <w:t>投标截止时间后至评审结束前</w:t>
            </w:r>
            <w:r>
              <w:rPr>
                <w:rFonts w:hint="eastAsia" w:ascii="宋体" w:hAnsi="宋体" w:eastAsia="宋体" w:cs="宋体"/>
                <w:color w:val="auto"/>
                <w:sz w:val="24"/>
                <w:szCs w:val="24"/>
                <w:highlight w:val="none"/>
                <w:lang w:eastAsia="zh-CN"/>
              </w:rPr>
              <w:t>，通过通过网络对投标人（含联合体成员）进行人工查询，</w:t>
            </w:r>
            <w:r>
              <w:rPr>
                <w:rFonts w:hint="eastAsia" w:ascii="宋体" w:hAnsi="宋体" w:eastAsia="宋体" w:cs="宋体"/>
                <w:color w:val="auto"/>
                <w:sz w:val="24"/>
                <w:szCs w:val="24"/>
                <w:highlight w:val="none"/>
              </w:rPr>
              <w:t>以评标时“信用中国”网站（www.creditchina.gov.cn）、“中国政府采购网”（www.ccgp.gov.cn）的信息平台实时</w:t>
            </w:r>
            <w:r>
              <w:rPr>
                <w:rFonts w:hint="eastAsia" w:ascii="宋体" w:hAnsi="宋体" w:eastAsia="宋体" w:cs="宋体"/>
                <w:color w:val="auto"/>
                <w:sz w:val="24"/>
                <w:szCs w:val="24"/>
                <w:highlight w:val="none"/>
                <w:lang w:val="en-US" w:eastAsia="zh-CN"/>
              </w:rPr>
              <w:t>查询结果</w:t>
            </w:r>
            <w:r>
              <w:rPr>
                <w:rFonts w:hint="eastAsia" w:ascii="宋体" w:hAnsi="宋体" w:eastAsia="宋体" w:cs="宋体"/>
                <w:color w:val="auto"/>
                <w:sz w:val="24"/>
                <w:szCs w:val="24"/>
                <w:highlight w:val="none"/>
              </w:rPr>
              <w:t>为准。</w:t>
            </w:r>
            <w:r>
              <w:rPr>
                <w:rFonts w:hint="eastAsia" w:ascii="宋体" w:hAnsi="宋体" w:eastAsia="宋体" w:cs="宋体"/>
                <w:color w:val="auto"/>
                <w:sz w:val="24"/>
                <w:szCs w:val="24"/>
                <w:highlight w:val="none"/>
                <w:lang w:eastAsia="zh-CN"/>
              </w:rPr>
              <w:t>如</w:t>
            </w:r>
            <w:r>
              <w:rPr>
                <w:rFonts w:hint="eastAsia" w:ascii="宋体" w:hAnsi="宋体" w:eastAsia="宋体" w:cs="宋体"/>
                <w:color w:val="auto"/>
                <w:sz w:val="24"/>
                <w:szCs w:val="24"/>
                <w:highlight w:val="none"/>
              </w:rPr>
              <w:t>遇</w:t>
            </w:r>
            <w:r>
              <w:rPr>
                <w:rFonts w:hint="eastAsia" w:ascii="宋体" w:hAnsi="宋体" w:eastAsia="宋体" w:cs="宋体"/>
                <w:color w:val="auto"/>
                <w:sz w:val="24"/>
                <w:szCs w:val="24"/>
                <w:highlight w:val="none"/>
                <w:lang w:val="en-US" w:eastAsia="zh-CN"/>
              </w:rPr>
              <w:t>网络</w:t>
            </w:r>
            <w:r>
              <w:rPr>
                <w:rFonts w:hint="eastAsia" w:ascii="宋体" w:hAnsi="宋体" w:eastAsia="宋体" w:cs="宋体"/>
                <w:color w:val="auto"/>
                <w:sz w:val="24"/>
                <w:szCs w:val="24"/>
                <w:highlight w:val="none"/>
              </w:rPr>
              <w:t>故障，则此项</w:t>
            </w:r>
            <w:r>
              <w:rPr>
                <w:rFonts w:hint="eastAsia" w:ascii="宋体" w:hAnsi="宋体" w:eastAsia="宋体" w:cs="宋体"/>
                <w:color w:val="auto"/>
                <w:sz w:val="24"/>
                <w:szCs w:val="24"/>
                <w:highlight w:val="none"/>
                <w:lang w:eastAsia="zh-CN"/>
              </w:rPr>
              <w:t>评审</w:t>
            </w:r>
            <w:r>
              <w:rPr>
                <w:rFonts w:hint="eastAsia" w:ascii="宋体" w:hAnsi="宋体" w:eastAsia="宋体" w:cs="宋体"/>
                <w:color w:val="auto"/>
                <w:sz w:val="24"/>
                <w:szCs w:val="24"/>
                <w:highlight w:val="none"/>
              </w:rPr>
              <w:t>时不作要求</w:t>
            </w:r>
            <w:r>
              <w:rPr>
                <w:rFonts w:hint="eastAsia" w:ascii="宋体" w:hAnsi="宋体" w:eastAsia="宋体" w:cs="宋体"/>
                <w:color w:val="auto"/>
                <w:sz w:val="24"/>
                <w:szCs w:val="24"/>
                <w:highlight w:val="none"/>
                <w:lang w:eastAsia="zh-CN"/>
              </w:rPr>
              <w:t>，现场</w:t>
            </w:r>
            <w:r>
              <w:rPr>
                <w:rFonts w:hint="eastAsia" w:ascii="宋体" w:hAnsi="宋体" w:eastAsia="宋体" w:cs="宋体"/>
                <w:color w:val="auto"/>
                <w:sz w:val="24"/>
                <w:szCs w:val="24"/>
                <w:highlight w:val="none"/>
              </w:rPr>
              <w:t>对故障页面证据截图存档</w:t>
            </w:r>
            <w:r>
              <w:rPr>
                <w:rFonts w:hint="eastAsia" w:ascii="宋体" w:hAnsi="宋体" w:eastAsia="宋体" w:cs="宋体"/>
                <w:color w:val="auto"/>
                <w:sz w:val="24"/>
                <w:szCs w:val="24"/>
                <w:highlight w:val="none"/>
                <w:lang w:eastAsia="zh-CN"/>
              </w:rPr>
              <w:t>。</w:t>
            </w:r>
          </w:p>
        </w:tc>
      </w:tr>
      <w:tr w14:paraId="31776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332" w:type="pct"/>
            <w:noWrap w:val="0"/>
            <w:vAlign w:val="center"/>
          </w:tcPr>
          <w:p w14:paraId="00798A69">
            <w:pPr>
              <w:keepNext w:val="0"/>
              <w:keepLines w:val="0"/>
              <w:pageBreakBefore w:val="0"/>
              <w:widowControl w:val="0"/>
              <w:kinsoku/>
              <w:wordWrap/>
              <w:overflowPunct/>
              <w:topLinePunct w:val="0"/>
              <w:autoSpaceDE/>
              <w:autoSpaceDN/>
              <w:bidi w:val="0"/>
              <w:adjustRightInd w:val="0"/>
              <w:snapToGrid w:val="0"/>
              <w:spacing w:line="400" w:lineRule="exact"/>
              <w:ind w:right="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w:t>
            </w:r>
          </w:p>
        </w:tc>
        <w:tc>
          <w:tcPr>
            <w:tcW w:w="799" w:type="pct"/>
            <w:noWrap w:val="0"/>
            <w:vAlign w:val="center"/>
          </w:tcPr>
          <w:p w14:paraId="15EE174C">
            <w:pPr>
              <w:keepNext w:val="0"/>
              <w:keepLines w:val="0"/>
              <w:pageBreakBefore w:val="0"/>
              <w:widowControl w:val="0"/>
              <w:kinsoku/>
              <w:wordWrap/>
              <w:overflowPunct/>
              <w:topLinePunct w:val="0"/>
              <w:autoSpaceDE/>
              <w:autoSpaceDN/>
              <w:bidi w:val="0"/>
              <w:spacing w:line="400" w:lineRule="exact"/>
              <w:ind w:right="0"/>
              <w:jc w:val="center"/>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pacing w:val="10"/>
                <w:sz w:val="24"/>
                <w:szCs w:val="24"/>
                <w:highlight w:val="none"/>
              </w:rPr>
              <w:t>其他特定资格要求</w:t>
            </w:r>
          </w:p>
        </w:tc>
        <w:tc>
          <w:tcPr>
            <w:tcW w:w="2111" w:type="pct"/>
            <w:noWrap w:val="0"/>
            <w:vAlign w:val="center"/>
          </w:tcPr>
          <w:p w14:paraId="5DB5BFDC">
            <w:pPr>
              <w:keepNext w:val="0"/>
              <w:keepLines w:val="0"/>
              <w:pageBreakBefore w:val="0"/>
              <w:widowControl w:val="0"/>
              <w:kinsoku/>
              <w:wordWrap/>
              <w:overflowPunct/>
              <w:topLinePunct w:val="0"/>
              <w:autoSpaceDE/>
              <w:autoSpaceDN/>
              <w:bidi w:val="0"/>
              <w:spacing w:line="400" w:lineRule="exact"/>
              <w:ind w:right="0"/>
              <w:jc w:val="both"/>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pacing w:val="10"/>
                <w:sz w:val="24"/>
                <w:szCs w:val="24"/>
                <w:highlight w:val="none"/>
              </w:rPr>
              <w:t>如有，见第一章《</w:t>
            </w:r>
            <w:r>
              <w:rPr>
                <w:rFonts w:hint="eastAsia" w:ascii="宋体" w:hAnsi="宋体" w:eastAsia="宋体" w:cs="宋体"/>
                <w:color w:val="auto"/>
                <w:spacing w:val="10"/>
                <w:sz w:val="24"/>
                <w:szCs w:val="24"/>
                <w:highlight w:val="none"/>
                <w:lang w:eastAsia="zh-CN"/>
              </w:rPr>
              <w:t>采购邀请</w:t>
            </w:r>
            <w:r>
              <w:rPr>
                <w:rFonts w:hint="eastAsia" w:ascii="宋体" w:hAnsi="宋体" w:eastAsia="宋体" w:cs="宋体"/>
                <w:color w:val="auto"/>
                <w:spacing w:val="10"/>
                <w:sz w:val="24"/>
                <w:szCs w:val="24"/>
                <w:highlight w:val="none"/>
              </w:rPr>
              <w:t>》</w:t>
            </w:r>
          </w:p>
        </w:tc>
        <w:tc>
          <w:tcPr>
            <w:tcW w:w="1756" w:type="pct"/>
            <w:noWrap w:val="0"/>
            <w:vAlign w:val="center"/>
          </w:tcPr>
          <w:p w14:paraId="7E4C538B">
            <w:pPr>
              <w:keepNext w:val="0"/>
              <w:keepLines w:val="0"/>
              <w:pageBreakBefore w:val="0"/>
              <w:widowControl w:val="0"/>
              <w:kinsoku/>
              <w:wordWrap/>
              <w:overflowPunct/>
              <w:topLinePunct w:val="0"/>
              <w:autoSpaceDE/>
              <w:autoSpaceDN/>
              <w:bidi w:val="0"/>
              <w:spacing w:line="400" w:lineRule="exact"/>
              <w:ind w:right="0"/>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z w:val="24"/>
                <w:szCs w:val="24"/>
                <w:highlight w:val="none"/>
              </w:rPr>
              <w:t>提供材料或电子证照</w:t>
            </w:r>
            <w:r>
              <w:rPr>
                <w:rFonts w:hint="eastAsia" w:ascii="宋体" w:hAnsi="宋体" w:eastAsia="宋体" w:cs="宋体"/>
                <w:color w:val="auto"/>
                <w:sz w:val="24"/>
                <w:szCs w:val="24"/>
                <w:highlight w:val="none"/>
                <w:lang w:val="en-US" w:eastAsia="zh-CN"/>
              </w:rPr>
              <w:t>复印件</w:t>
            </w:r>
            <w:r>
              <w:rPr>
                <w:rFonts w:hint="eastAsia" w:ascii="宋体" w:hAnsi="宋体" w:eastAsia="宋体" w:cs="宋体"/>
                <w:color w:val="auto"/>
                <w:sz w:val="24"/>
                <w:szCs w:val="24"/>
                <w:highlight w:val="none"/>
              </w:rPr>
              <w:t>，应完整体现出材料或电子证照全部内容。</w:t>
            </w:r>
          </w:p>
        </w:tc>
      </w:tr>
      <w:tr w14:paraId="093AD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650" w:hRule="atLeast"/>
          <w:jc w:val="center"/>
        </w:trPr>
        <w:tc>
          <w:tcPr>
            <w:tcW w:w="5000" w:type="pct"/>
            <w:gridSpan w:val="4"/>
            <w:noWrap w:val="0"/>
            <w:vAlign w:val="center"/>
          </w:tcPr>
          <w:p w14:paraId="7407B2DB">
            <w:pPr>
              <w:keepNext w:val="0"/>
              <w:keepLines w:val="0"/>
              <w:pageBreakBefore w:val="0"/>
              <w:widowControl w:val="0"/>
              <w:kinsoku/>
              <w:wordWrap/>
              <w:overflowPunct/>
              <w:topLinePunct w:val="0"/>
              <w:autoSpaceDE/>
              <w:autoSpaceDN/>
              <w:bidi w:val="0"/>
              <w:spacing w:line="400" w:lineRule="exact"/>
              <w:ind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符合性评审</w:t>
            </w:r>
          </w:p>
        </w:tc>
      </w:tr>
      <w:tr w14:paraId="1C326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00" w:hRule="atLeast"/>
          <w:jc w:val="center"/>
        </w:trPr>
        <w:tc>
          <w:tcPr>
            <w:tcW w:w="332" w:type="pct"/>
            <w:noWrap w:val="0"/>
            <w:vAlign w:val="center"/>
          </w:tcPr>
          <w:p w14:paraId="009932EC">
            <w:pPr>
              <w:keepNext w:val="0"/>
              <w:keepLines w:val="0"/>
              <w:pageBreakBefore w:val="0"/>
              <w:widowControl w:val="0"/>
              <w:kinsoku/>
              <w:wordWrap/>
              <w:overflowPunct/>
              <w:topLinePunct w:val="0"/>
              <w:autoSpaceDE/>
              <w:autoSpaceDN/>
              <w:bidi w:val="0"/>
              <w:adjustRightInd w:val="0"/>
              <w:snapToGrid w:val="0"/>
              <w:spacing w:line="400" w:lineRule="exact"/>
              <w:ind w:right="0" w:rightChars="0"/>
              <w:jc w:val="center"/>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sz w:val="24"/>
                <w:szCs w:val="24"/>
                <w:highlight w:val="none"/>
              </w:rPr>
              <w:t>序号</w:t>
            </w:r>
          </w:p>
        </w:tc>
        <w:tc>
          <w:tcPr>
            <w:tcW w:w="799" w:type="pct"/>
            <w:noWrap w:val="0"/>
            <w:vAlign w:val="center"/>
          </w:tcPr>
          <w:p w14:paraId="470BECAE">
            <w:pPr>
              <w:pStyle w:val="21"/>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snapToGrid w:val="0"/>
              <w:spacing w:line="400" w:lineRule="exact"/>
              <w:ind w:right="0" w:rightChars="0"/>
              <w:jc w:val="center"/>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rPr>
              <w:t>审查指标</w:t>
            </w:r>
          </w:p>
        </w:tc>
        <w:tc>
          <w:tcPr>
            <w:tcW w:w="2111" w:type="pct"/>
            <w:noWrap w:val="0"/>
            <w:vAlign w:val="center"/>
          </w:tcPr>
          <w:p w14:paraId="3CB27248">
            <w:pPr>
              <w:keepNext w:val="0"/>
              <w:keepLines w:val="0"/>
              <w:pageBreakBefore w:val="0"/>
              <w:widowControl w:val="0"/>
              <w:kinsoku/>
              <w:wordWrap/>
              <w:overflowPunct/>
              <w:topLinePunct w:val="0"/>
              <w:autoSpaceDE/>
              <w:autoSpaceDN/>
              <w:bidi w:val="0"/>
              <w:adjustRightInd w:val="0"/>
              <w:snapToGrid w:val="0"/>
              <w:spacing w:line="400" w:lineRule="exact"/>
              <w:ind w:right="0" w:rightChars="0"/>
              <w:jc w:val="center"/>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sz w:val="24"/>
                <w:szCs w:val="24"/>
                <w:highlight w:val="none"/>
              </w:rPr>
              <w:t>审查标准</w:t>
            </w:r>
          </w:p>
        </w:tc>
        <w:tc>
          <w:tcPr>
            <w:tcW w:w="1756" w:type="pct"/>
            <w:noWrap w:val="0"/>
            <w:vAlign w:val="center"/>
          </w:tcPr>
          <w:p w14:paraId="79C1A2B4">
            <w:pPr>
              <w:keepNext w:val="0"/>
              <w:keepLines w:val="0"/>
              <w:pageBreakBefore w:val="0"/>
              <w:widowControl w:val="0"/>
              <w:kinsoku/>
              <w:wordWrap/>
              <w:overflowPunct/>
              <w:topLinePunct w:val="0"/>
              <w:autoSpaceDE/>
              <w:autoSpaceDN/>
              <w:bidi w:val="0"/>
              <w:adjustRightInd w:val="0"/>
              <w:snapToGrid w:val="0"/>
              <w:spacing w:line="400" w:lineRule="exact"/>
              <w:ind w:right="0" w:rightChars="0"/>
              <w:jc w:val="center"/>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sz w:val="24"/>
                <w:szCs w:val="24"/>
                <w:highlight w:val="none"/>
              </w:rPr>
              <w:t>格式要求</w:t>
            </w:r>
          </w:p>
        </w:tc>
      </w:tr>
      <w:tr w14:paraId="40564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332" w:type="pct"/>
            <w:noWrap w:val="0"/>
            <w:vAlign w:val="center"/>
          </w:tcPr>
          <w:p w14:paraId="173F8F89">
            <w:pPr>
              <w:keepNext w:val="0"/>
              <w:keepLines w:val="0"/>
              <w:pageBreakBefore w:val="0"/>
              <w:widowControl w:val="0"/>
              <w:kinsoku/>
              <w:wordWrap/>
              <w:overflowPunct/>
              <w:topLinePunct w:val="0"/>
              <w:autoSpaceDE/>
              <w:autoSpaceDN/>
              <w:bidi w:val="0"/>
              <w:adjustRightInd w:val="0"/>
              <w:snapToGrid w:val="0"/>
              <w:spacing w:line="400" w:lineRule="exact"/>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799" w:type="pct"/>
            <w:noWrap w:val="0"/>
            <w:vAlign w:val="center"/>
          </w:tcPr>
          <w:p w14:paraId="4C2D97EF">
            <w:pPr>
              <w:keepNext w:val="0"/>
              <w:keepLines w:val="0"/>
              <w:pageBreakBefore w:val="0"/>
              <w:widowControl w:val="0"/>
              <w:kinsoku/>
              <w:wordWrap/>
              <w:overflowPunct/>
              <w:topLinePunct w:val="0"/>
              <w:autoSpaceDE/>
              <w:autoSpaceDN/>
              <w:bidi w:val="0"/>
              <w:spacing w:line="400" w:lineRule="exact"/>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响应函</w:t>
            </w:r>
          </w:p>
        </w:tc>
        <w:tc>
          <w:tcPr>
            <w:tcW w:w="2111" w:type="pct"/>
            <w:noWrap w:val="0"/>
            <w:vAlign w:val="center"/>
          </w:tcPr>
          <w:p w14:paraId="347C8B9A">
            <w:pPr>
              <w:keepNext w:val="0"/>
              <w:keepLines w:val="0"/>
              <w:pageBreakBefore w:val="0"/>
              <w:widowControl w:val="0"/>
              <w:kinsoku/>
              <w:wordWrap/>
              <w:overflowPunct/>
              <w:topLinePunct w:val="0"/>
              <w:autoSpaceDE/>
              <w:autoSpaceDN/>
              <w:bidi w:val="0"/>
              <w:spacing w:line="40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格式、填写要求符合</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文件规定并加盖供应商电子签章</w:t>
            </w:r>
          </w:p>
        </w:tc>
        <w:tc>
          <w:tcPr>
            <w:tcW w:w="1756" w:type="pct"/>
            <w:noWrap w:val="0"/>
            <w:vAlign w:val="center"/>
          </w:tcPr>
          <w:p w14:paraId="65638A7F">
            <w:pPr>
              <w:keepNext w:val="0"/>
              <w:keepLines w:val="0"/>
              <w:pageBreakBefore w:val="0"/>
              <w:widowControl w:val="0"/>
              <w:kinsoku/>
              <w:wordWrap/>
              <w:overflowPunct/>
              <w:topLinePunct w:val="0"/>
              <w:autoSpaceDE/>
              <w:autoSpaceDN/>
              <w:bidi w:val="0"/>
              <w:adjustRightInd w:val="0"/>
              <w:snapToGrid w:val="0"/>
              <w:spacing w:line="40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详见第六章响应文件格式。</w:t>
            </w:r>
          </w:p>
        </w:tc>
      </w:tr>
      <w:tr w14:paraId="2ABC8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332" w:type="pct"/>
            <w:noWrap w:val="0"/>
            <w:vAlign w:val="center"/>
          </w:tcPr>
          <w:p w14:paraId="3BFF0305">
            <w:pPr>
              <w:keepNext w:val="0"/>
              <w:keepLines w:val="0"/>
              <w:pageBreakBefore w:val="0"/>
              <w:widowControl w:val="0"/>
              <w:kinsoku/>
              <w:wordWrap/>
              <w:overflowPunct/>
              <w:topLinePunct w:val="0"/>
              <w:autoSpaceDE/>
              <w:autoSpaceDN/>
              <w:bidi w:val="0"/>
              <w:adjustRightInd w:val="0"/>
              <w:snapToGrid w:val="0"/>
              <w:spacing w:line="400" w:lineRule="exact"/>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799" w:type="pct"/>
            <w:noWrap w:val="0"/>
            <w:vAlign w:val="center"/>
          </w:tcPr>
          <w:p w14:paraId="47AA3DEF">
            <w:pPr>
              <w:keepNext w:val="0"/>
              <w:keepLines w:val="0"/>
              <w:pageBreakBefore w:val="0"/>
              <w:widowControl w:val="0"/>
              <w:kinsoku/>
              <w:wordWrap/>
              <w:overflowPunct/>
              <w:topLinePunct w:val="0"/>
              <w:autoSpaceDE/>
              <w:autoSpaceDN/>
              <w:bidi w:val="0"/>
              <w:spacing w:line="400" w:lineRule="exact"/>
              <w:ind w:right="0"/>
              <w:jc w:val="center"/>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z w:val="24"/>
                <w:szCs w:val="24"/>
                <w:highlight w:val="none"/>
              </w:rPr>
              <w:t>授权书</w:t>
            </w:r>
          </w:p>
        </w:tc>
        <w:tc>
          <w:tcPr>
            <w:tcW w:w="2111" w:type="pct"/>
            <w:noWrap w:val="0"/>
            <w:vAlign w:val="center"/>
          </w:tcPr>
          <w:p w14:paraId="5059A4DC">
            <w:pPr>
              <w:keepNext w:val="0"/>
              <w:keepLines w:val="0"/>
              <w:pageBreakBefore w:val="0"/>
              <w:widowControl w:val="0"/>
              <w:kinsoku/>
              <w:wordWrap/>
              <w:overflowPunct/>
              <w:topLinePunct w:val="0"/>
              <w:autoSpaceDE/>
              <w:autoSpaceDN/>
              <w:bidi w:val="0"/>
              <w:spacing w:line="400" w:lineRule="exact"/>
              <w:ind w:right="0"/>
              <w:jc w:val="both"/>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z w:val="24"/>
                <w:szCs w:val="24"/>
                <w:highlight w:val="none"/>
              </w:rPr>
              <w:t>格式、填写要求符合</w:t>
            </w:r>
            <w:r>
              <w:rPr>
                <w:rFonts w:hint="eastAsia" w:ascii="宋体" w:hAnsi="宋体" w:eastAsia="宋体" w:cs="宋体"/>
                <w:color w:val="auto"/>
                <w:spacing w:val="10"/>
                <w:sz w:val="24"/>
                <w:szCs w:val="24"/>
                <w:highlight w:val="none"/>
                <w:lang w:eastAsia="zh-CN"/>
              </w:rPr>
              <w:t>谈判</w:t>
            </w:r>
            <w:r>
              <w:rPr>
                <w:rFonts w:hint="eastAsia" w:ascii="宋体" w:hAnsi="宋体" w:eastAsia="宋体" w:cs="宋体"/>
                <w:color w:val="auto"/>
                <w:sz w:val="24"/>
                <w:szCs w:val="24"/>
                <w:highlight w:val="none"/>
              </w:rPr>
              <w:t>文件规定并加盖供应商电子签章</w:t>
            </w:r>
          </w:p>
        </w:tc>
        <w:tc>
          <w:tcPr>
            <w:tcW w:w="1756" w:type="pct"/>
            <w:noWrap w:val="0"/>
            <w:vAlign w:val="center"/>
          </w:tcPr>
          <w:p w14:paraId="5BD7F537">
            <w:pPr>
              <w:keepNext w:val="0"/>
              <w:keepLines w:val="0"/>
              <w:pageBreakBefore w:val="0"/>
              <w:widowControl w:val="0"/>
              <w:kinsoku/>
              <w:wordWrap/>
              <w:overflowPunct/>
              <w:topLinePunct w:val="0"/>
              <w:autoSpaceDE/>
              <w:autoSpaceDN/>
              <w:bidi w:val="0"/>
              <w:adjustRightInd w:val="0"/>
              <w:snapToGrid w:val="0"/>
              <w:spacing w:line="40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法定代表人参加</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的无需此件，提供身份证明即可。详见第六章响应文件格式。</w:t>
            </w:r>
          </w:p>
        </w:tc>
      </w:tr>
      <w:tr w14:paraId="5E4D5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332" w:type="pct"/>
            <w:noWrap w:val="0"/>
            <w:vAlign w:val="center"/>
          </w:tcPr>
          <w:p w14:paraId="5D3D9F62">
            <w:pPr>
              <w:keepNext w:val="0"/>
              <w:keepLines w:val="0"/>
              <w:pageBreakBefore w:val="0"/>
              <w:widowControl w:val="0"/>
              <w:kinsoku/>
              <w:wordWrap/>
              <w:overflowPunct/>
              <w:topLinePunct w:val="0"/>
              <w:autoSpaceDE/>
              <w:autoSpaceDN/>
              <w:bidi w:val="0"/>
              <w:adjustRightInd w:val="0"/>
              <w:snapToGrid w:val="0"/>
              <w:spacing w:line="400" w:lineRule="exact"/>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p>
        </w:tc>
        <w:tc>
          <w:tcPr>
            <w:tcW w:w="799" w:type="pct"/>
            <w:noWrap w:val="0"/>
            <w:vAlign w:val="center"/>
          </w:tcPr>
          <w:p w14:paraId="2ABDA042">
            <w:pPr>
              <w:keepNext w:val="0"/>
              <w:keepLines w:val="0"/>
              <w:pageBreakBefore w:val="0"/>
              <w:widowControl w:val="0"/>
              <w:kinsoku/>
              <w:wordWrap/>
              <w:overflowPunct/>
              <w:topLinePunct w:val="0"/>
              <w:autoSpaceDE/>
              <w:autoSpaceDN/>
              <w:bidi w:val="0"/>
              <w:spacing w:line="400" w:lineRule="exact"/>
              <w:ind w:right="0"/>
              <w:jc w:val="center"/>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报价</w:t>
            </w:r>
          </w:p>
        </w:tc>
        <w:tc>
          <w:tcPr>
            <w:tcW w:w="2111" w:type="pct"/>
            <w:noWrap w:val="0"/>
            <w:vAlign w:val="center"/>
          </w:tcPr>
          <w:p w14:paraId="6A2CD082">
            <w:pPr>
              <w:keepNext w:val="0"/>
              <w:keepLines w:val="0"/>
              <w:pageBreakBefore w:val="0"/>
              <w:widowControl w:val="0"/>
              <w:kinsoku/>
              <w:wordWrap/>
              <w:overflowPunct/>
              <w:topLinePunct w:val="0"/>
              <w:autoSpaceDE/>
              <w:autoSpaceDN/>
              <w:bidi w:val="0"/>
              <w:spacing w:line="400" w:lineRule="exact"/>
              <w:ind w:right="0"/>
              <w:jc w:val="both"/>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z w:val="24"/>
                <w:szCs w:val="24"/>
                <w:highlight w:val="none"/>
              </w:rPr>
              <w:t>符合</w:t>
            </w:r>
            <w:r>
              <w:rPr>
                <w:rFonts w:hint="eastAsia" w:ascii="宋体" w:hAnsi="宋体" w:eastAsia="宋体" w:cs="宋体"/>
                <w:color w:val="auto"/>
                <w:spacing w:val="10"/>
                <w:sz w:val="24"/>
                <w:szCs w:val="24"/>
                <w:highlight w:val="none"/>
                <w:lang w:eastAsia="zh-CN"/>
              </w:rPr>
              <w:t>谈判</w:t>
            </w:r>
            <w:r>
              <w:rPr>
                <w:rFonts w:hint="eastAsia" w:ascii="宋体" w:hAnsi="宋体" w:eastAsia="宋体" w:cs="宋体"/>
                <w:color w:val="auto"/>
                <w:sz w:val="24"/>
                <w:szCs w:val="24"/>
                <w:highlight w:val="none"/>
              </w:rPr>
              <w:t>文件供应商须知正文第9条要求</w:t>
            </w:r>
          </w:p>
        </w:tc>
        <w:tc>
          <w:tcPr>
            <w:tcW w:w="1756" w:type="pct"/>
            <w:noWrap w:val="0"/>
            <w:vAlign w:val="center"/>
          </w:tcPr>
          <w:p w14:paraId="3E7B2F97">
            <w:pPr>
              <w:keepNext w:val="0"/>
              <w:keepLines w:val="0"/>
              <w:pageBreakBefore w:val="0"/>
              <w:widowControl w:val="0"/>
              <w:kinsoku/>
              <w:wordWrap/>
              <w:overflowPunct/>
              <w:topLinePunct w:val="0"/>
              <w:autoSpaceDE/>
              <w:autoSpaceDN/>
              <w:bidi w:val="0"/>
              <w:adjustRightInd w:val="0"/>
              <w:snapToGrid w:val="0"/>
              <w:spacing w:line="40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详见第六章响应文件格式。</w:t>
            </w:r>
          </w:p>
        </w:tc>
      </w:tr>
      <w:tr w14:paraId="63F14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332" w:type="pct"/>
            <w:noWrap w:val="0"/>
            <w:vAlign w:val="center"/>
          </w:tcPr>
          <w:p w14:paraId="077F2925">
            <w:pPr>
              <w:keepNext w:val="0"/>
              <w:keepLines w:val="0"/>
              <w:pageBreakBefore w:val="0"/>
              <w:widowControl w:val="0"/>
              <w:kinsoku/>
              <w:wordWrap/>
              <w:overflowPunct/>
              <w:topLinePunct w:val="0"/>
              <w:autoSpaceDE/>
              <w:autoSpaceDN/>
              <w:bidi w:val="0"/>
              <w:adjustRightInd w:val="0"/>
              <w:snapToGrid w:val="0"/>
              <w:spacing w:line="400" w:lineRule="exact"/>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w:t>
            </w:r>
          </w:p>
        </w:tc>
        <w:tc>
          <w:tcPr>
            <w:tcW w:w="799" w:type="pct"/>
            <w:noWrap w:val="0"/>
            <w:vAlign w:val="center"/>
          </w:tcPr>
          <w:p w14:paraId="48E8A6D9">
            <w:pPr>
              <w:keepNext w:val="0"/>
              <w:keepLines w:val="0"/>
              <w:pageBreakBefore w:val="0"/>
              <w:widowControl w:val="0"/>
              <w:kinsoku/>
              <w:wordWrap/>
              <w:overflowPunct/>
              <w:topLinePunct w:val="0"/>
              <w:autoSpaceDE/>
              <w:autoSpaceDN/>
              <w:bidi w:val="0"/>
              <w:spacing w:line="400" w:lineRule="exact"/>
              <w:ind w:right="0"/>
              <w:jc w:val="center"/>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z w:val="24"/>
                <w:szCs w:val="24"/>
                <w:highlight w:val="none"/>
              </w:rPr>
              <w:t>商务响应情况</w:t>
            </w:r>
          </w:p>
        </w:tc>
        <w:tc>
          <w:tcPr>
            <w:tcW w:w="2111" w:type="pct"/>
            <w:noWrap w:val="0"/>
            <w:vAlign w:val="center"/>
          </w:tcPr>
          <w:p w14:paraId="5F9C3F35">
            <w:pPr>
              <w:keepNext w:val="0"/>
              <w:keepLines w:val="0"/>
              <w:pageBreakBefore w:val="0"/>
              <w:widowControl w:val="0"/>
              <w:kinsoku/>
              <w:wordWrap/>
              <w:overflowPunct/>
              <w:topLinePunct w:val="0"/>
              <w:autoSpaceDE/>
              <w:autoSpaceDN/>
              <w:bidi w:val="0"/>
              <w:spacing w:line="400" w:lineRule="exact"/>
              <w:ind w:right="0"/>
              <w:jc w:val="both"/>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z w:val="24"/>
                <w:szCs w:val="24"/>
                <w:highlight w:val="none"/>
              </w:rPr>
              <w:t>符合</w:t>
            </w:r>
            <w:r>
              <w:rPr>
                <w:rFonts w:hint="eastAsia" w:ascii="宋体" w:hAnsi="宋体" w:eastAsia="宋体" w:cs="宋体"/>
                <w:color w:val="auto"/>
                <w:spacing w:val="10"/>
                <w:sz w:val="24"/>
                <w:szCs w:val="24"/>
                <w:highlight w:val="none"/>
                <w:lang w:eastAsia="zh-CN"/>
              </w:rPr>
              <w:t>谈判</w:t>
            </w:r>
            <w:r>
              <w:rPr>
                <w:rFonts w:hint="eastAsia" w:ascii="宋体" w:hAnsi="宋体" w:eastAsia="宋体" w:cs="宋体"/>
                <w:color w:val="auto"/>
                <w:sz w:val="24"/>
                <w:szCs w:val="24"/>
                <w:highlight w:val="none"/>
              </w:rPr>
              <w:t>文件采购需求中对付款方式、供货及安装期限、供货及安装地点、免费质保期等实质性要求</w:t>
            </w:r>
          </w:p>
        </w:tc>
        <w:tc>
          <w:tcPr>
            <w:tcW w:w="1756" w:type="pct"/>
            <w:noWrap w:val="0"/>
            <w:vAlign w:val="center"/>
          </w:tcPr>
          <w:p w14:paraId="7DA239C5">
            <w:pPr>
              <w:keepNext w:val="0"/>
              <w:keepLines w:val="0"/>
              <w:pageBreakBefore w:val="0"/>
              <w:widowControl w:val="0"/>
              <w:kinsoku/>
              <w:wordWrap/>
              <w:overflowPunct/>
              <w:topLinePunct w:val="0"/>
              <w:autoSpaceDE/>
              <w:autoSpaceDN/>
              <w:bidi w:val="0"/>
              <w:adjustRightInd w:val="0"/>
              <w:snapToGrid w:val="0"/>
              <w:spacing w:line="40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详见第六章响应文件格式。</w:t>
            </w:r>
          </w:p>
        </w:tc>
      </w:tr>
      <w:tr w14:paraId="46AFF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833" w:hRule="atLeast"/>
          <w:jc w:val="center"/>
        </w:trPr>
        <w:tc>
          <w:tcPr>
            <w:tcW w:w="332" w:type="pct"/>
            <w:noWrap w:val="0"/>
            <w:vAlign w:val="center"/>
          </w:tcPr>
          <w:p w14:paraId="76300801">
            <w:pPr>
              <w:keepNext w:val="0"/>
              <w:keepLines w:val="0"/>
              <w:pageBreakBefore w:val="0"/>
              <w:widowControl w:val="0"/>
              <w:kinsoku/>
              <w:wordWrap/>
              <w:overflowPunct/>
              <w:topLinePunct w:val="0"/>
              <w:autoSpaceDE/>
              <w:autoSpaceDN/>
              <w:bidi w:val="0"/>
              <w:adjustRightInd w:val="0"/>
              <w:snapToGrid w:val="0"/>
              <w:spacing w:line="400" w:lineRule="exact"/>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w:t>
            </w:r>
          </w:p>
        </w:tc>
        <w:tc>
          <w:tcPr>
            <w:tcW w:w="799" w:type="pct"/>
            <w:noWrap w:val="0"/>
            <w:vAlign w:val="center"/>
          </w:tcPr>
          <w:p w14:paraId="0C1522E4">
            <w:pPr>
              <w:keepNext w:val="0"/>
              <w:keepLines w:val="0"/>
              <w:pageBreakBefore w:val="0"/>
              <w:widowControl w:val="0"/>
              <w:kinsoku/>
              <w:wordWrap/>
              <w:overflowPunct/>
              <w:topLinePunct w:val="0"/>
              <w:autoSpaceDE/>
              <w:autoSpaceDN/>
              <w:bidi w:val="0"/>
              <w:spacing w:line="400" w:lineRule="exact"/>
              <w:ind w:right="0"/>
              <w:jc w:val="center"/>
              <w:textAlignment w:val="auto"/>
              <w:outlineLvl w:val="2"/>
              <w:rPr>
                <w:rFonts w:hint="eastAsia" w:ascii="宋体" w:hAnsi="宋体" w:eastAsia="宋体" w:cs="宋体"/>
                <w:color w:val="auto"/>
                <w:spacing w:val="10"/>
                <w:sz w:val="24"/>
                <w:szCs w:val="24"/>
                <w:highlight w:val="none"/>
              </w:rPr>
            </w:pPr>
            <w:r>
              <w:rPr>
                <w:rFonts w:hint="eastAsia" w:ascii="宋体" w:hAnsi="宋体" w:eastAsia="宋体" w:cs="宋体"/>
                <w:color w:val="auto"/>
                <w:sz w:val="24"/>
                <w:szCs w:val="24"/>
                <w:highlight w:val="none"/>
              </w:rPr>
              <w:t>技术响应情况</w:t>
            </w:r>
          </w:p>
        </w:tc>
        <w:tc>
          <w:tcPr>
            <w:tcW w:w="2111" w:type="pct"/>
            <w:noWrap w:val="0"/>
            <w:vAlign w:val="center"/>
          </w:tcPr>
          <w:p w14:paraId="2758BD7B">
            <w:pPr>
              <w:keepNext w:val="0"/>
              <w:keepLines w:val="0"/>
              <w:pageBreakBefore w:val="0"/>
              <w:widowControl w:val="0"/>
              <w:kinsoku/>
              <w:wordWrap/>
              <w:overflowPunct/>
              <w:topLinePunct w:val="0"/>
              <w:autoSpaceDE/>
              <w:autoSpaceDN/>
              <w:bidi w:val="0"/>
              <w:spacing w:line="400" w:lineRule="exact"/>
              <w:ind w:right="0"/>
              <w:jc w:val="both"/>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pacing w:val="10"/>
                <w:sz w:val="24"/>
                <w:szCs w:val="24"/>
                <w:highlight w:val="none"/>
              </w:rPr>
              <w:t>符合</w:t>
            </w:r>
            <w:r>
              <w:rPr>
                <w:rFonts w:hint="eastAsia" w:ascii="宋体" w:hAnsi="宋体" w:eastAsia="宋体" w:cs="宋体"/>
                <w:color w:val="auto"/>
                <w:spacing w:val="10"/>
                <w:sz w:val="24"/>
                <w:szCs w:val="24"/>
                <w:highlight w:val="none"/>
                <w:lang w:val="en-US" w:eastAsia="zh-CN"/>
              </w:rPr>
              <w:t>谈判</w:t>
            </w:r>
            <w:r>
              <w:rPr>
                <w:rFonts w:hint="eastAsia" w:ascii="宋体" w:hAnsi="宋体" w:eastAsia="宋体" w:cs="宋体"/>
                <w:color w:val="auto"/>
                <w:spacing w:val="10"/>
                <w:sz w:val="24"/>
                <w:szCs w:val="24"/>
                <w:highlight w:val="none"/>
              </w:rPr>
              <w:t>文件采购需求中</w:t>
            </w:r>
            <w:r>
              <w:rPr>
                <w:rFonts w:hint="eastAsia" w:ascii="宋体" w:hAnsi="宋体" w:eastAsia="宋体" w:cs="宋体"/>
                <w:color w:val="auto"/>
                <w:spacing w:val="10"/>
                <w:sz w:val="24"/>
                <w:szCs w:val="24"/>
                <w:highlight w:val="none"/>
                <w:lang w:val="en-US" w:eastAsia="zh-CN"/>
              </w:rPr>
              <w:t>实质性响应技术参数</w:t>
            </w:r>
            <w:r>
              <w:rPr>
                <w:rFonts w:hint="eastAsia" w:ascii="宋体" w:hAnsi="宋体" w:eastAsia="宋体" w:cs="宋体"/>
                <w:color w:val="auto"/>
                <w:spacing w:val="10"/>
                <w:sz w:val="24"/>
                <w:szCs w:val="24"/>
                <w:highlight w:val="none"/>
              </w:rPr>
              <w:t>要求</w:t>
            </w:r>
          </w:p>
        </w:tc>
        <w:tc>
          <w:tcPr>
            <w:tcW w:w="1756" w:type="pct"/>
            <w:noWrap w:val="0"/>
            <w:vAlign w:val="center"/>
          </w:tcPr>
          <w:p w14:paraId="6079A6F5">
            <w:pPr>
              <w:keepNext w:val="0"/>
              <w:keepLines w:val="0"/>
              <w:pageBreakBefore w:val="0"/>
              <w:widowControl w:val="0"/>
              <w:kinsoku/>
              <w:wordWrap/>
              <w:overflowPunct/>
              <w:topLinePunct w:val="0"/>
              <w:autoSpaceDE/>
              <w:autoSpaceDN/>
              <w:bidi w:val="0"/>
              <w:adjustRightInd w:val="0"/>
              <w:snapToGrid w:val="0"/>
              <w:spacing w:line="400" w:lineRule="exact"/>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详见第六章响应文件格式。</w:t>
            </w:r>
          </w:p>
        </w:tc>
      </w:tr>
      <w:tr w14:paraId="42D72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332" w:type="pct"/>
            <w:noWrap w:val="0"/>
            <w:vAlign w:val="center"/>
          </w:tcPr>
          <w:p w14:paraId="762F30A1">
            <w:pPr>
              <w:keepNext w:val="0"/>
              <w:keepLines w:val="0"/>
              <w:pageBreakBefore w:val="0"/>
              <w:widowControl w:val="0"/>
              <w:kinsoku/>
              <w:wordWrap/>
              <w:overflowPunct/>
              <w:topLinePunct w:val="0"/>
              <w:autoSpaceDE/>
              <w:autoSpaceDN/>
              <w:bidi w:val="0"/>
              <w:adjustRightInd w:val="0"/>
              <w:snapToGrid w:val="0"/>
              <w:spacing w:line="400" w:lineRule="exact"/>
              <w:ind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w:t>
            </w:r>
          </w:p>
        </w:tc>
        <w:tc>
          <w:tcPr>
            <w:tcW w:w="799" w:type="pct"/>
            <w:noWrap w:val="0"/>
            <w:vAlign w:val="center"/>
          </w:tcPr>
          <w:p w14:paraId="302EC136">
            <w:pPr>
              <w:keepNext w:val="0"/>
              <w:keepLines w:val="0"/>
              <w:pageBreakBefore w:val="0"/>
              <w:widowControl w:val="0"/>
              <w:kinsoku/>
              <w:wordWrap/>
              <w:overflowPunct/>
              <w:topLinePunct w:val="0"/>
              <w:autoSpaceDE/>
              <w:autoSpaceDN/>
              <w:bidi w:val="0"/>
              <w:spacing w:line="400" w:lineRule="exact"/>
              <w:ind w:right="0"/>
              <w:jc w:val="center"/>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z w:val="24"/>
                <w:szCs w:val="24"/>
                <w:highlight w:val="none"/>
              </w:rPr>
              <w:t>其他要求</w:t>
            </w:r>
          </w:p>
        </w:tc>
        <w:tc>
          <w:tcPr>
            <w:tcW w:w="2111" w:type="pct"/>
            <w:noWrap w:val="0"/>
            <w:vAlign w:val="center"/>
          </w:tcPr>
          <w:p w14:paraId="052BE740">
            <w:pPr>
              <w:keepNext w:val="0"/>
              <w:keepLines w:val="0"/>
              <w:pageBreakBefore w:val="0"/>
              <w:widowControl w:val="0"/>
              <w:kinsoku/>
              <w:wordWrap/>
              <w:overflowPunct/>
              <w:topLinePunct w:val="0"/>
              <w:autoSpaceDE/>
              <w:autoSpaceDN/>
              <w:bidi w:val="0"/>
              <w:spacing w:line="400" w:lineRule="exact"/>
              <w:ind w:right="0"/>
              <w:jc w:val="both"/>
              <w:textAlignment w:val="auto"/>
              <w:rPr>
                <w:rFonts w:hint="eastAsia" w:ascii="宋体" w:hAnsi="宋体" w:eastAsia="宋体" w:cs="宋体"/>
                <w:color w:val="auto"/>
                <w:spacing w:val="10"/>
                <w:sz w:val="24"/>
                <w:szCs w:val="24"/>
                <w:highlight w:val="none"/>
              </w:rPr>
            </w:pPr>
            <w:r>
              <w:rPr>
                <w:rFonts w:hint="eastAsia" w:ascii="宋体" w:hAnsi="宋体" w:eastAsia="宋体" w:cs="宋体"/>
                <w:color w:val="auto"/>
                <w:sz w:val="24"/>
                <w:szCs w:val="24"/>
                <w:highlight w:val="none"/>
              </w:rPr>
              <w:t>符合法律、行政法规规定的其他条件或</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文件列明的其他实质性要求</w:t>
            </w:r>
          </w:p>
        </w:tc>
        <w:tc>
          <w:tcPr>
            <w:tcW w:w="1756" w:type="pct"/>
            <w:noWrap w:val="0"/>
            <w:vAlign w:val="center"/>
          </w:tcPr>
          <w:p w14:paraId="760F1E14">
            <w:pPr>
              <w:keepNext w:val="0"/>
              <w:keepLines w:val="0"/>
              <w:pageBreakBefore w:val="0"/>
              <w:widowControl w:val="0"/>
              <w:kinsoku/>
              <w:wordWrap/>
              <w:overflowPunct/>
              <w:topLinePunct w:val="0"/>
              <w:autoSpaceDE/>
              <w:autoSpaceDN/>
              <w:bidi w:val="0"/>
              <w:adjustRightInd w:val="0"/>
              <w:snapToGrid w:val="0"/>
              <w:spacing w:line="400" w:lineRule="exact"/>
              <w:ind w:right="0"/>
              <w:jc w:val="both"/>
              <w:textAlignment w:val="auto"/>
              <w:rPr>
                <w:rFonts w:hint="eastAsia" w:ascii="宋体" w:hAnsi="宋体" w:eastAsia="宋体" w:cs="宋体"/>
                <w:color w:val="auto"/>
                <w:sz w:val="24"/>
                <w:szCs w:val="24"/>
                <w:highlight w:val="none"/>
              </w:rPr>
            </w:pPr>
          </w:p>
        </w:tc>
      </w:tr>
    </w:tbl>
    <w:p w14:paraId="05D0F54F">
      <w:pPr>
        <w:spacing w:line="360" w:lineRule="auto"/>
        <w:ind w:firstLine="435"/>
        <w:rPr>
          <w:rFonts w:hint="eastAsia" w:ascii="宋体" w:hAnsi="宋体" w:eastAsia="宋体" w:cs="宋体"/>
          <w:b/>
          <w:bCs/>
          <w:color w:val="auto"/>
          <w:sz w:val="24"/>
          <w:highlight w:val="none"/>
        </w:rPr>
      </w:pPr>
    </w:p>
    <w:p w14:paraId="0149871A">
      <w:pPr>
        <w:spacing w:line="360" w:lineRule="auto"/>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初审指标通过标准：</w:t>
      </w:r>
      <w:r>
        <w:rPr>
          <w:rFonts w:hint="eastAsia" w:ascii="宋体" w:hAnsi="宋体" w:eastAsia="宋体" w:cs="宋体"/>
          <w:color w:val="auto"/>
          <w:sz w:val="24"/>
          <w:highlight w:val="none"/>
        </w:rPr>
        <w:t>供应商必须通过初审表中的全部评审指标。</w:t>
      </w:r>
    </w:p>
    <w:p w14:paraId="12A41B56">
      <w:pPr>
        <w:widowControl/>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p>
    <w:p w14:paraId="5ECA7784">
      <w:pPr>
        <w:spacing w:line="360" w:lineRule="auto"/>
        <w:jc w:val="center"/>
        <w:outlineLvl w:val="0"/>
        <w:rPr>
          <w:rFonts w:hint="eastAsia" w:ascii="宋体" w:hAnsi="宋体" w:eastAsia="宋体" w:cs="宋体"/>
          <w:b/>
          <w:color w:val="auto"/>
          <w:sz w:val="28"/>
          <w:highlight w:val="none"/>
          <w:lang w:eastAsia="zh-CN"/>
        </w:rPr>
      </w:pPr>
      <w:bookmarkStart w:id="81" w:name="_Toc6738"/>
      <w:bookmarkStart w:id="82" w:name="_Toc35525217"/>
      <w:r>
        <w:rPr>
          <w:rFonts w:hint="eastAsia" w:ascii="宋体" w:hAnsi="宋体" w:eastAsia="宋体" w:cs="宋体"/>
          <w:b/>
          <w:color w:val="auto"/>
          <w:sz w:val="28"/>
          <w:highlight w:val="none"/>
        </w:rPr>
        <w:t>第五章  采购合同</w:t>
      </w:r>
      <w:bookmarkEnd w:id="81"/>
      <w:bookmarkEnd w:id="82"/>
    </w:p>
    <w:p w14:paraId="5871AC1C">
      <w:pPr>
        <w:rPr>
          <w:rFonts w:hint="eastAsia" w:ascii="宋体" w:hAnsi="宋体" w:eastAsia="宋体" w:cs="宋体"/>
          <w:color w:val="auto"/>
          <w:sz w:val="28"/>
          <w:szCs w:val="28"/>
          <w:highlight w:val="none"/>
        </w:rPr>
      </w:pPr>
      <w:bookmarkStart w:id="83" w:name="_Toc24145"/>
      <w:r>
        <w:rPr>
          <w:rFonts w:hint="eastAsia" w:ascii="宋体" w:hAnsi="宋体" w:eastAsia="宋体" w:cs="宋体"/>
          <w:color w:val="auto"/>
          <w:sz w:val="28"/>
          <w:szCs w:val="28"/>
          <w:highlight w:val="none"/>
        </w:rPr>
        <w:br w:type="page"/>
      </w:r>
    </w:p>
    <w:p w14:paraId="61E6EB80">
      <w:pPr>
        <w:spacing w:line="360" w:lineRule="auto"/>
        <w:jc w:val="center"/>
        <w:outlineLvl w:val="0"/>
        <w:rPr>
          <w:rFonts w:hint="eastAsia" w:ascii="宋体" w:hAnsi="宋体" w:eastAsia="宋体" w:cs="宋体"/>
          <w:b/>
          <w:color w:val="auto"/>
          <w:sz w:val="28"/>
          <w:highlight w:val="none"/>
        </w:rPr>
      </w:pPr>
      <w:r>
        <w:rPr>
          <w:rFonts w:hint="eastAsia" w:ascii="宋体" w:hAnsi="宋体" w:eastAsia="宋体" w:cs="宋体"/>
          <w:b/>
          <w:color w:val="auto"/>
          <w:sz w:val="28"/>
          <w:highlight w:val="none"/>
        </w:rPr>
        <w:t>第六章  响应文件格式</w:t>
      </w:r>
      <w:bookmarkEnd w:id="83"/>
    </w:p>
    <w:p w14:paraId="470E27EE">
      <w:pPr>
        <w:spacing w:line="500" w:lineRule="exact"/>
        <w:jc w:val="center"/>
        <w:outlineLvl w:val="9"/>
        <w:rPr>
          <w:rFonts w:hint="eastAsia" w:ascii="宋体" w:hAnsi="宋体" w:eastAsia="宋体" w:cs="宋体"/>
          <w:b/>
          <w:color w:val="auto"/>
          <w:sz w:val="32"/>
          <w:highlight w:val="none"/>
        </w:rPr>
      </w:pPr>
    </w:p>
    <w:p w14:paraId="742C1102">
      <w:pPr>
        <w:spacing w:line="900" w:lineRule="exact"/>
        <w:jc w:val="center"/>
        <w:rPr>
          <w:rFonts w:hint="eastAsia" w:ascii="宋体" w:hAnsi="宋体" w:eastAsia="宋体" w:cs="宋体"/>
          <w:b/>
          <w:color w:val="auto"/>
          <w:sz w:val="72"/>
          <w:highlight w:val="none"/>
        </w:rPr>
      </w:pPr>
    </w:p>
    <w:p w14:paraId="2D400789">
      <w:pPr>
        <w:spacing w:line="900" w:lineRule="exact"/>
        <w:jc w:val="center"/>
        <w:outlineLvl w:val="9"/>
        <w:rPr>
          <w:rFonts w:hint="eastAsia" w:ascii="宋体" w:hAnsi="宋体" w:eastAsia="宋体" w:cs="宋体"/>
          <w:b/>
          <w:color w:val="auto"/>
          <w:sz w:val="72"/>
          <w:highlight w:val="none"/>
        </w:rPr>
      </w:pPr>
      <w:r>
        <w:rPr>
          <w:rFonts w:hint="eastAsia" w:ascii="宋体" w:hAnsi="宋体" w:eastAsia="宋体" w:cs="宋体"/>
          <w:b/>
          <w:color w:val="auto"/>
          <w:sz w:val="72"/>
          <w:highlight w:val="none"/>
        </w:rPr>
        <w:t>响</w:t>
      </w:r>
    </w:p>
    <w:p w14:paraId="191198B8">
      <w:pPr>
        <w:spacing w:line="900" w:lineRule="exact"/>
        <w:jc w:val="center"/>
        <w:outlineLvl w:val="9"/>
        <w:rPr>
          <w:rFonts w:hint="eastAsia" w:ascii="宋体" w:hAnsi="宋体" w:eastAsia="宋体" w:cs="宋体"/>
          <w:b/>
          <w:color w:val="auto"/>
          <w:sz w:val="72"/>
          <w:highlight w:val="none"/>
        </w:rPr>
      </w:pPr>
    </w:p>
    <w:p w14:paraId="70481F9B">
      <w:pPr>
        <w:spacing w:line="900" w:lineRule="exact"/>
        <w:jc w:val="center"/>
        <w:outlineLvl w:val="9"/>
        <w:rPr>
          <w:rFonts w:hint="eastAsia" w:ascii="宋体" w:hAnsi="宋体" w:eastAsia="宋体" w:cs="宋体"/>
          <w:b/>
          <w:color w:val="auto"/>
          <w:sz w:val="72"/>
          <w:highlight w:val="none"/>
        </w:rPr>
      </w:pPr>
      <w:r>
        <w:rPr>
          <w:rFonts w:hint="eastAsia" w:ascii="宋体" w:hAnsi="宋体" w:eastAsia="宋体" w:cs="宋体"/>
          <w:b/>
          <w:color w:val="auto"/>
          <w:sz w:val="72"/>
          <w:highlight w:val="none"/>
        </w:rPr>
        <w:t>应</w:t>
      </w:r>
    </w:p>
    <w:p w14:paraId="768E02D7">
      <w:pPr>
        <w:spacing w:line="900" w:lineRule="exact"/>
        <w:jc w:val="center"/>
        <w:outlineLvl w:val="9"/>
        <w:rPr>
          <w:rFonts w:hint="eastAsia" w:ascii="宋体" w:hAnsi="宋体" w:eastAsia="宋体" w:cs="宋体"/>
          <w:b/>
          <w:color w:val="auto"/>
          <w:sz w:val="72"/>
          <w:highlight w:val="none"/>
        </w:rPr>
      </w:pPr>
    </w:p>
    <w:p w14:paraId="31CB614B">
      <w:pPr>
        <w:spacing w:line="900" w:lineRule="exact"/>
        <w:jc w:val="center"/>
        <w:outlineLvl w:val="9"/>
        <w:rPr>
          <w:rFonts w:hint="eastAsia" w:ascii="宋体" w:hAnsi="宋体" w:eastAsia="宋体" w:cs="宋体"/>
          <w:b/>
          <w:color w:val="auto"/>
          <w:sz w:val="72"/>
          <w:highlight w:val="none"/>
        </w:rPr>
      </w:pPr>
      <w:r>
        <w:rPr>
          <w:rFonts w:hint="eastAsia" w:ascii="宋体" w:hAnsi="宋体" w:eastAsia="宋体" w:cs="宋体"/>
          <w:b/>
          <w:color w:val="auto"/>
          <w:sz w:val="72"/>
          <w:highlight w:val="none"/>
        </w:rPr>
        <w:t>文</w:t>
      </w:r>
    </w:p>
    <w:p w14:paraId="193CDE6C">
      <w:pPr>
        <w:spacing w:line="900" w:lineRule="exact"/>
        <w:jc w:val="center"/>
        <w:outlineLvl w:val="9"/>
        <w:rPr>
          <w:rFonts w:hint="eastAsia" w:ascii="宋体" w:hAnsi="宋体" w:eastAsia="宋体" w:cs="宋体"/>
          <w:b/>
          <w:color w:val="auto"/>
          <w:sz w:val="72"/>
          <w:highlight w:val="none"/>
        </w:rPr>
      </w:pPr>
    </w:p>
    <w:p w14:paraId="2CCFD963">
      <w:pPr>
        <w:jc w:val="center"/>
        <w:outlineLvl w:val="9"/>
        <w:rPr>
          <w:rFonts w:hint="eastAsia" w:ascii="宋体" w:hAnsi="宋体" w:eastAsia="宋体" w:cs="宋体"/>
          <w:b/>
          <w:color w:val="auto"/>
          <w:sz w:val="72"/>
          <w:highlight w:val="none"/>
        </w:rPr>
      </w:pPr>
      <w:r>
        <w:rPr>
          <w:rFonts w:hint="eastAsia" w:ascii="宋体" w:hAnsi="宋体" w:eastAsia="宋体" w:cs="宋体"/>
          <w:b/>
          <w:color w:val="auto"/>
          <w:sz w:val="72"/>
          <w:highlight w:val="none"/>
        </w:rPr>
        <w:t>件</w:t>
      </w:r>
    </w:p>
    <w:p w14:paraId="60476FEB">
      <w:pPr>
        <w:spacing w:after="156" w:afterLines="50"/>
        <w:jc w:val="center"/>
        <w:outlineLvl w:val="9"/>
        <w:rPr>
          <w:rFonts w:hint="eastAsia" w:ascii="宋体" w:hAnsi="宋体" w:eastAsia="宋体" w:cs="宋体"/>
          <w:b/>
          <w:color w:val="auto"/>
          <w:sz w:val="72"/>
          <w:highlight w:val="none"/>
        </w:rPr>
      </w:pPr>
    </w:p>
    <w:p w14:paraId="66589FC6">
      <w:pPr>
        <w:spacing w:before="156" w:beforeLines="50" w:after="156" w:afterLines="50"/>
        <w:jc w:val="center"/>
        <w:outlineLvl w:val="9"/>
        <w:rPr>
          <w:rFonts w:hint="eastAsia" w:ascii="宋体" w:hAnsi="宋体" w:eastAsia="宋体" w:cs="宋体"/>
          <w:b/>
          <w:color w:val="auto"/>
          <w:sz w:val="32"/>
          <w:szCs w:val="32"/>
          <w:highlight w:val="none"/>
        </w:rPr>
      </w:pPr>
      <w:bookmarkStart w:id="84" w:name="_Toc25043"/>
      <w:bookmarkStart w:id="85" w:name="_Toc20908"/>
      <w:r>
        <w:rPr>
          <w:rFonts w:hint="eastAsia" w:ascii="宋体" w:hAnsi="宋体" w:eastAsia="宋体" w:cs="宋体"/>
          <w:b/>
          <w:color w:val="auto"/>
          <w:sz w:val="32"/>
          <w:szCs w:val="32"/>
          <w:highlight w:val="none"/>
        </w:rPr>
        <w:t>【第</w:t>
      </w:r>
      <w:r>
        <w:rPr>
          <w:rFonts w:hint="eastAsia" w:ascii="宋体" w:hAnsi="宋体" w:eastAsia="宋体" w:cs="宋体"/>
          <w:b/>
          <w:color w:val="auto"/>
          <w:sz w:val="32"/>
          <w:szCs w:val="32"/>
          <w:highlight w:val="none"/>
          <w:u w:val="single"/>
        </w:rPr>
        <w:t xml:space="preserve">   </w:t>
      </w:r>
      <w:r>
        <w:rPr>
          <w:rFonts w:hint="eastAsia" w:ascii="宋体" w:hAnsi="宋体" w:eastAsia="宋体" w:cs="宋体"/>
          <w:b/>
          <w:color w:val="auto"/>
          <w:sz w:val="32"/>
          <w:szCs w:val="32"/>
          <w:highlight w:val="none"/>
        </w:rPr>
        <w:t>包】</w:t>
      </w:r>
      <w:bookmarkEnd w:id="84"/>
      <w:r>
        <w:rPr>
          <w:rFonts w:hint="eastAsia" w:ascii="宋体" w:hAnsi="宋体" w:eastAsia="宋体" w:cs="宋体"/>
          <w:b w:val="0"/>
          <w:bCs w:val="0"/>
          <w:i/>
          <w:iCs/>
          <w:color w:val="auto"/>
          <w:kern w:val="2"/>
          <w:sz w:val="24"/>
          <w:szCs w:val="18"/>
          <w:highlight w:val="none"/>
          <w:lang w:val="en-US" w:eastAsia="zh-CN" w:bidi="ar-SA"/>
        </w:rPr>
        <w:t>（如不分包，请删去本行）</w:t>
      </w:r>
      <w:bookmarkEnd w:id="85"/>
    </w:p>
    <w:p w14:paraId="58A3F50F">
      <w:pPr>
        <w:spacing w:after="156" w:afterLines="50" w:line="500" w:lineRule="exact"/>
        <w:jc w:val="center"/>
        <w:rPr>
          <w:rFonts w:hint="eastAsia" w:ascii="宋体" w:hAnsi="宋体" w:eastAsia="宋体" w:cs="宋体"/>
          <w:b/>
          <w:color w:val="auto"/>
          <w:sz w:val="28"/>
          <w:szCs w:val="28"/>
          <w:highlight w:val="none"/>
        </w:rPr>
      </w:pPr>
    </w:p>
    <w:p w14:paraId="45692779">
      <w:pPr>
        <w:keepNext w:val="0"/>
        <w:keepLines w:val="0"/>
        <w:pageBreakBefore w:val="0"/>
        <w:widowControl w:val="0"/>
        <w:tabs>
          <w:tab w:val="left" w:pos="2410"/>
        </w:tabs>
        <w:kinsoku/>
        <w:wordWrap/>
        <w:overflowPunct/>
        <w:topLinePunct w:val="0"/>
        <w:autoSpaceDE w:val="0"/>
        <w:autoSpaceDN w:val="0"/>
        <w:bidi w:val="0"/>
        <w:adjustRightInd w:val="0"/>
        <w:snapToGrid w:val="0"/>
        <w:spacing w:line="360" w:lineRule="auto"/>
        <w:ind w:firstLine="1928" w:firstLineChars="600"/>
        <w:jc w:val="both"/>
        <w:textAlignment w:val="auto"/>
        <w:outlineLvl w:val="9"/>
        <w:rPr>
          <w:rFonts w:hint="eastAsia" w:ascii="宋体" w:hAnsi="宋体" w:eastAsia="宋体" w:cs="宋体"/>
          <w:b/>
          <w:color w:val="auto"/>
          <w:spacing w:val="20"/>
          <w:kern w:val="0"/>
          <w:sz w:val="32"/>
          <w:szCs w:val="32"/>
          <w:highlight w:val="none"/>
          <w:lang w:val="en-US" w:eastAsia="zh-CN"/>
        </w:rPr>
      </w:pPr>
      <w:r>
        <w:rPr>
          <w:rFonts w:hint="eastAsia" w:ascii="宋体" w:hAnsi="宋体" w:eastAsia="宋体" w:cs="宋体"/>
          <w:b/>
          <w:color w:val="auto"/>
          <w:sz w:val="32"/>
          <w:highlight w:val="none"/>
        </w:rPr>
        <w:t>项目名称：</w:t>
      </w:r>
      <w:r>
        <w:rPr>
          <w:rFonts w:hint="eastAsia" w:ascii="宋体" w:hAnsi="宋体" w:eastAsia="宋体" w:cs="宋体"/>
          <w:b/>
          <w:color w:val="auto"/>
          <w:sz w:val="32"/>
          <w:highlight w:val="none"/>
          <w:u w:val="single"/>
        </w:rPr>
        <w:t xml:space="preserve">           </w:t>
      </w:r>
      <w:r>
        <w:rPr>
          <w:rFonts w:hint="eastAsia" w:ascii="宋体" w:hAnsi="宋体" w:eastAsia="宋体" w:cs="宋体"/>
          <w:b/>
          <w:color w:val="auto"/>
          <w:sz w:val="32"/>
          <w:highlight w:val="none"/>
          <w:u w:val="single"/>
          <w:lang w:val="en-US" w:eastAsia="zh-CN"/>
        </w:rPr>
        <w:t xml:space="preserve">   </w:t>
      </w:r>
      <w:r>
        <w:rPr>
          <w:rFonts w:hint="eastAsia" w:ascii="宋体" w:hAnsi="宋体" w:eastAsia="宋体" w:cs="宋体"/>
          <w:b/>
          <w:color w:val="auto"/>
          <w:sz w:val="32"/>
          <w:highlight w:val="none"/>
          <w:u w:val="single"/>
        </w:rPr>
        <w:t xml:space="preserve">    </w:t>
      </w:r>
    </w:p>
    <w:p w14:paraId="3FC893F9">
      <w:pPr>
        <w:keepNext w:val="0"/>
        <w:keepLines w:val="0"/>
        <w:pageBreakBefore w:val="0"/>
        <w:widowControl w:val="0"/>
        <w:tabs>
          <w:tab w:val="left" w:pos="2410"/>
        </w:tabs>
        <w:kinsoku/>
        <w:wordWrap/>
        <w:overflowPunct/>
        <w:topLinePunct w:val="0"/>
        <w:autoSpaceDE w:val="0"/>
        <w:autoSpaceDN w:val="0"/>
        <w:bidi w:val="0"/>
        <w:adjustRightInd w:val="0"/>
        <w:snapToGrid w:val="0"/>
        <w:spacing w:line="360" w:lineRule="auto"/>
        <w:ind w:firstLine="1928" w:firstLineChars="600"/>
        <w:jc w:val="both"/>
        <w:textAlignment w:val="auto"/>
        <w:outlineLvl w:val="9"/>
        <w:rPr>
          <w:rFonts w:hint="eastAsia" w:ascii="宋体" w:hAnsi="宋体" w:eastAsia="宋体" w:cs="宋体"/>
          <w:b/>
          <w:color w:val="auto"/>
          <w:sz w:val="32"/>
          <w:highlight w:val="none"/>
        </w:rPr>
      </w:pPr>
      <w:r>
        <w:rPr>
          <w:rFonts w:hint="eastAsia" w:ascii="宋体" w:hAnsi="宋体" w:eastAsia="宋体" w:cs="宋体"/>
          <w:b/>
          <w:color w:val="auto"/>
          <w:sz w:val="32"/>
          <w:highlight w:val="none"/>
        </w:rPr>
        <w:t>项目编号：</w:t>
      </w:r>
      <w:r>
        <w:rPr>
          <w:rFonts w:hint="eastAsia" w:ascii="宋体" w:hAnsi="宋体" w:eastAsia="宋体" w:cs="宋体"/>
          <w:b/>
          <w:color w:val="auto"/>
          <w:sz w:val="32"/>
          <w:highlight w:val="none"/>
          <w:u w:val="single"/>
        </w:rPr>
        <w:t xml:space="preserve">           </w:t>
      </w:r>
      <w:r>
        <w:rPr>
          <w:rFonts w:hint="eastAsia" w:ascii="宋体" w:hAnsi="宋体" w:eastAsia="宋体" w:cs="宋体"/>
          <w:b/>
          <w:color w:val="auto"/>
          <w:sz w:val="32"/>
          <w:highlight w:val="none"/>
          <w:u w:val="single"/>
          <w:lang w:val="en-US" w:eastAsia="zh-CN"/>
        </w:rPr>
        <w:t xml:space="preserve">   </w:t>
      </w:r>
      <w:r>
        <w:rPr>
          <w:rFonts w:hint="eastAsia" w:ascii="宋体" w:hAnsi="宋体" w:eastAsia="宋体" w:cs="宋体"/>
          <w:b/>
          <w:color w:val="auto"/>
          <w:sz w:val="32"/>
          <w:highlight w:val="none"/>
          <w:u w:val="single"/>
        </w:rPr>
        <w:t xml:space="preserve">    </w:t>
      </w:r>
    </w:p>
    <w:p w14:paraId="2DE9D24D">
      <w:pPr>
        <w:keepNext w:val="0"/>
        <w:keepLines w:val="0"/>
        <w:pageBreakBefore w:val="0"/>
        <w:widowControl w:val="0"/>
        <w:tabs>
          <w:tab w:val="left" w:pos="2410"/>
        </w:tabs>
        <w:kinsoku/>
        <w:wordWrap/>
        <w:overflowPunct/>
        <w:topLinePunct w:val="0"/>
        <w:autoSpaceDE w:val="0"/>
        <w:autoSpaceDN w:val="0"/>
        <w:bidi w:val="0"/>
        <w:adjustRightInd w:val="0"/>
        <w:snapToGrid w:val="0"/>
        <w:spacing w:line="360" w:lineRule="auto"/>
        <w:ind w:firstLine="1928" w:firstLineChars="600"/>
        <w:jc w:val="both"/>
        <w:textAlignment w:val="auto"/>
        <w:outlineLvl w:val="9"/>
        <w:rPr>
          <w:rFonts w:hint="eastAsia" w:ascii="宋体" w:hAnsi="宋体" w:eastAsia="宋体" w:cs="宋体"/>
          <w:b/>
          <w:color w:val="auto"/>
          <w:sz w:val="32"/>
          <w:highlight w:val="none"/>
          <w:u w:val="single"/>
          <w:lang w:val="en-US" w:eastAsia="zh-CN"/>
        </w:rPr>
      </w:pPr>
      <w:r>
        <w:rPr>
          <w:rFonts w:hint="eastAsia" w:ascii="宋体" w:hAnsi="宋体" w:eastAsia="宋体" w:cs="宋体"/>
          <w:b/>
          <w:color w:val="auto"/>
          <w:sz w:val="32"/>
          <w:highlight w:val="none"/>
        </w:rPr>
        <w:t>供</w:t>
      </w:r>
      <w:r>
        <w:rPr>
          <w:rFonts w:hint="eastAsia" w:ascii="宋体" w:hAnsi="宋体" w:eastAsia="宋体" w:cs="宋体"/>
          <w:b/>
          <w:color w:val="auto"/>
          <w:sz w:val="32"/>
          <w:highlight w:val="none"/>
          <w:lang w:val="en-US" w:eastAsia="zh-CN"/>
        </w:rPr>
        <w:t xml:space="preserve"> </w:t>
      </w:r>
      <w:r>
        <w:rPr>
          <w:rFonts w:hint="eastAsia" w:ascii="宋体" w:hAnsi="宋体" w:eastAsia="宋体" w:cs="宋体"/>
          <w:b/>
          <w:color w:val="auto"/>
          <w:sz w:val="32"/>
          <w:highlight w:val="none"/>
        </w:rPr>
        <w:t>应</w:t>
      </w:r>
      <w:r>
        <w:rPr>
          <w:rFonts w:hint="eastAsia" w:ascii="宋体" w:hAnsi="宋体" w:eastAsia="宋体" w:cs="宋体"/>
          <w:b/>
          <w:color w:val="auto"/>
          <w:sz w:val="32"/>
          <w:highlight w:val="none"/>
          <w:lang w:val="en-US" w:eastAsia="zh-CN"/>
        </w:rPr>
        <w:t xml:space="preserve"> </w:t>
      </w:r>
      <w:r>
        <w:rPr>
          <w:rFonts w:hint="eastAsia" w:ascii="宋体" w:hAnsi="宋体" w:eastAsia="宋体" w:cs="宋体"/>
          <w:b/>
          <w:color w:val="auto"/>
          <w:sz w:val="32"/>
          <w:highlight w:val="none"/>
        </w:rPr>
        <w:t>商：</w:t>
      </w:r>
      <w:r>
        <w:rPr>
          <w:rFonts w:hint="eastAsia" w:ascii="宋体" w:hAnsi="宋体" w:eastAsia="宋体" w:cs="宋体"/>
          <w:b/>
          <w:color w:val="auto"/>
          <w:sz w:val="32"/>
          <w:highlight w:val="none"/>
          <w:u w:val="single"/>
        </w:rPr>
        <w:t xml:space="preserve">   </w:t>
      </w:r>
      <w:r>
        <w:rPr>
          <w:rFonts w:hint="eastAsia" w:ascii="宋体" w:hAnsi="宋体" w:eastAsia="宋体" w:cs="宋体"/>
          <w:b/>
          <w:color w:val="auto"/>
          <w:sz w:val="32"/>
          <w:highlight w:val="none"/>
          <w:u w:val="single"/>
          <w:lang w:eastAsia="zh-CN"/>
        </w:rPr>
        <w:t>（签电子章）</w:t>
      </w:r>
      <w:r>
        <w:rPr>
          <w:rFonts w:hint="eastAsia" w:ascii="宋体" w:hAnsi="宋体" w:eastAsia="宋体" w:cs="宋体"/>
          <w:b/>
          <w:color w:val="auto"/>
          <w:sz w:val="32"/>
          <w:highlight w:val="none"/>
          <w:u w:val="single"/>
          <w:lang w:val="en-US" w:eastAsia="zh-CN"/>
        </w:rPr>
        <w:t xml:space="preserve">   </w:t>
      </w:r>
    </w:p>
    <w:p w14:paraId="10CA4649">
      <w:pPr>
        <w:keepNext w:val="0"/>
        <w:keepLines w:val="0"/>
        <w:pageBreakBefore w:val="0"/>
        <w:widowControl w:val="0"/>
        <w:tabs>
          <w:tab w:val="left" w:pos="2410"/>
        </w:tabs>
        <w:kinsoku/>
        <w:wordWrap/>
        <w:overflowPunct/>
        <w:topLinePunct w:val="0"/>
        <w:autoSpaceDE w:val="0"/>
        <w:autoSpaceDN w:val="0"/>
        <w:bidi w:val="0"/>
        <w:adjustRightInd w:val="0"/>
        <w:snapToGrid w:val="0"/>
        <w:spacing w:line="360" w:lineRule="auto"/>
        <w:ind w:firstLine="1928" w:firstLineChars="600"/>
        <w:jc w:val="both"/>
        <w:textAlignment w:val="auto"/>
        <w:outlineLvl w:val="9"/>
        <w:rPr>
          <w:rFonts w:hint="eastAsia" w:ascii="宋体" w:hAnsi="宋体" w:eastAsia="宋体" w:cs="宋体"/>
          <w:b/>
          <w:color w:val="auto"/>
          <w:sz w:val="32"/>
          <w:highlight w:val="none"/>
          <w:u w:val="single"/>
          <w:lang w:eastAsia="zh-CN"/>
        </w:rPr>
      </w:pPr>
    </w:p>
    <w:p w14:paraId="0B45C740">
      <w:pPr>
        <w:spacing w:after="156" w:afterLines="50" w:line="500" w:lineRule="exact"/>
        <w:jc w:val="center"/>
        <w:outlineLvl w:val="9"/>
        <w:rPr>
          <w:rFonts w:hint="eastAsia" w:ascii="宋体" w:hAnsi="宋体" w:eastAsia="宋体" w:cs="宋体"/>
          <w:b/>
          <w:color w:val="auto"/>
          <w:sz w:val="32"/>
          <w:highlight w:val="none"/>
        </w:rPr>
      </w:pPr>
      <w:r>
        <w:rPr>
          <w:rFonts w:hint="eastAsia" w:ascii="宋体" w:hAnsi="宋体" w:eastAsia="宋体" w:cs="宋体"/>
          <w:b/>
          <w:color w:val="auto"/>
          <w:sz w:val="32"/>
          <w:highlight w:val="none"/>
          <w:u w:val="single"/>
        </w:rPr>
        <w:t xml:space="preserve">    </w:t>
      </w:r>
      <w:bookmarkStart w:id="86" w:name="_Toc12150"/>
      <w:bookmarkStart w:id="87" w:name="_Toc12430"/>
      <w:r>
        <w:rPr>
          <w:rFonts w:hint="eastAsia" w:ascii="宋体" w:hAnsi="宋体" w:eastAsia="宋体" w:cs="宋体"/>
          <w:b/>
          <w:color w:val="auto"/>
          <w:sz w:val="32"/>
          <w:highlight w:val="none"/>
        </w:rPr>
        <w:t>年</w:t>
      </w:r>
      <w:r>
        <w:rPr>
          <w:rFonts w:hint="eastAsia" w:ascii="宋体" w:hAnsi="宋体" w:eastAsia="宋体" w:cs="宋体"/>
          <w:b/>
          <w:color w:val="auto"/>
          <w:sz w:val="32"/>
          <w:highlight w:val="none"/>
          <w:u w:val="single"/>
        </w:rPr>
        <w:t xml:space="preserve"> </w:t>
      </w:r>
      <w:r>
        <w:rPr>
          <w:rFonts w:hint="eastAsia" w:ascii="宋体" w:hAnsi="宋体" w:eastAsia="宋体" w:cs="宋体"/>
          <w:b/>
          <w:color w:val="auto"/>
          <w:sz w:val="32"/>
          <w:highlight w:val="none"/>
          <w:u w:val="single"/>
          <w:lang w:val="en-US" w:eastAsia="zh-CN"/>
        </w:rPr>
        <w:t xml:space="preserve">  </w:t>
      </w:r>
      <w:r>
        <w:rPr>
          <w:rFonts w:hint="eastAsia" w:ascii="宋体" w:hAnsi="宋体" w:eastAsia="宋体" w:cs="宋体"/>
          <w:b/>
          <w:color w:val="auto"/>
          <w:sz w:val="32"/>
          <w:highlight w:val="none"/>
          <w:u w:val="single"/>
        </w:rPr>
        <w:t xml:space="preserve"> </w:t>
      </w:r>
      <w:r>
        <w:rPr>
          <w:rFonts w:hint="eastAsia" w:ascii="宋体" w:hAnsi="宋体" w:eastAsia="宋体" w:cs="宋体"/>
          <w:b/>
          <w:color w:val="auto"/>
          <w:sz w:val="32"/>
          <w:highlight w:val="none"/>
        </w:rPr>
        <w:t>月</w:t>
      </w:r>
      <w:r>
        <w:rPr>
          <w:rFonts w:hint="eastAsia" w:ascii="宋体" w:hAnsi="宋体" w:eastAsia="宋体" w:cs="宋体"/>
          <w:b/>
          <w:color w:val="auto"/>
          <w:sz w:val="32"/>
          <w:highlight w:val="none"/>
          <w:u w:val="single"/>
        </w:rPr>
        <w:t xml:space="preserve"> </w:t>
      </w:r>
      <w:r>
        <w:rPr>
          <w:rFonts w:hint="eastAsia" w:ascii="宋体" w:hAnsi="宋体" w:eastAsia="宋体" w:cs="宋体"/>
          <w:b/>
          <w:color w:val="auto"/>
          <w:sz w:val="32"/>
          <w:highlight w:val="none"/>
          <w:u w:val="single"/>
          <w:lang w:val="en-US" w:eastAsia="zh-CN"/>
        </w:rPr>
        <w:t xml:space="preserve">  </w:t>
      </w:r>
      <w:r>
        <w:rPr>
          <w:rFonts w:hint="eastAsia" w:ascii="宋体" w:hAnsi="宋体" w:eastAsia="宋体" w:cs="宋体"/>
          <w:b/>
          <w:color w:val="auto"/>
          <w:sz w:val="32"/>
          <w:highlight w:val="none"/>
          <w:u w:val="single"/>
        </w:rPr>
        <w:t xml:space="preserve"> </w:t>
      </w:r>
      <w:r>
        <w:rPr>
          <w:rFonts w:hint="eastAsia" w:ascii="宋体" w:hAnsi="宋体" w:eastAsia="宋体" w:cs="宋体"/>
          <w:b/>
          <w:color w:val="auto"/>
          <w:sz w:val="32"/>
          <w:highlight w:val="none"/>
        </w:rPr>
        <w:t>日</w:t>
      </w:r>
      <w:bookmarkEnd w:id="86"/>
      <w:bookmarkEnd w:id="87"/>
    </w:p>
    <w:p w14:paraId="550A36D6">
      <w:pPr>
        <w:widowControl/>
        <w:jc w:val="left"/>
        <w:rPr>
          <w:rFonts w:hint="eastAsia" w:ascii="宋体" w:hAnsi="宋体" w:eastAsia="宋体" w:cs="宋体"/>
          <w:b/>
          <w:color w:val="auto"/>
          <w:sz w:val="28"/>
          <w:highlight w:val="none"/>
        </w:rPr>
      </w:pPr>
      <w:r>
        <w:rPr>
          <w:rFonts w:hint="eastAsia" w:ascii="宋体" w:hAnsi="宋体" w:eastAsia="宋体" w:cs="宋体"/>
          <w:b/>
          <w:color w:val="auto"/>
          <w:sz w:val="28"/>
          <w:highlight w:val="none"/>
        </w:rPr>
        <w:br w:type="page"/>
      </w:r>
    </w:p>
    <w:p w14:paraId="1B56D33B">
      <w:pPr>
        <w:spacing w:line="360" w:lineRule="auto"/>
        <w:jc w:val="center"/>
        <w:outlineLvl w:val="1"/>
        <w:rPr>
          <w:rFonts w:hint="eastAsia" w:ascii="宋体" w:hAnsi="宋体" w:eastAsia="宋体" w:cs="宋体"/>
          <w:b/>
          <w:color w:val="auto"/>
          <w:sz w:val="24"/>
          <w:highlight w:val="none"/>
          <w:lang w:eastAsia="zh-CN"/>
        </w:rPr>
      </w:pPr>
      <w:bookmarkStart w:id="88" w:name="_Toc28960"/>
      <w:bookmarkStart w:id="89" w:name="_Toc17986"/>
      <w:r>
        <w:rPr>
          <w:rFonts w:hint="eastAsia" w:ascii="宋体" w:hAnsi="宋体" w:eastAsia="宋体" w:cs="宋体"/>
          <w:b/>
          <w:color w:val="auto"/>
          <w:sz w:val="24"/>
          <w:highlight w:val="none"/>
          <w:lang w:val="en-US" w:eastAsia="zh-CN"/>
        </w:rPr>
        <w:t>一、</w:t>
      </w:r>
      <w:bookmarkStart w:id="90" w:name="_Toc6120"/>
      <w:bookmarkStart w:id="91" w:name="_Toc6441"/>
      <w:r>
        <w:rPr>
          <w:rFonts w:hint="eastAsia" w:ascii="宋体" w:hAnsi="宋体" w:eastAsia="宋体" w:cs="宋体"/>
          <w:b/>
          <w:color w:val="auto"/>
          <w:sz w:val="24"/>
          <w:highlight w:val="none"/>
          <w:lang w:val="en-US" w:eastAsia="zh-CN"/>
        </w:rPr>
        <w:t>供应商基本情况</w:t>
      </w:r>
    </w:p>
    <w:p w14:paraId="5D0266B8">
      <w:pPr>
        <w:spacing w:line="360" w:lineRule="auto"/>
        <w:jc w:val="center"/>
        <w:outlineLvl w:val="9"/>
        <w:rPr>
          <w:rFonts w:hint="eastAsia" w:ascii="宋体" w:hAnsi="宋体" w:eastAsia="宋体" w:cs="宋体"/>
          <w:b/>
          <w:color w:val="auto"/>
          <w:sz w:val="24"/>
          <w:highlight w:val="none"/>
        </w:rPr>
      </w:pPr>
      <w:r>
        <w:rPr>
          <w:rFonts w:hint="eastAsia" w:ascii="宋体" w:hAnsi="宋体" w:eastAsia="宋体" w:cs="宋体"/>
          <w:b w:val="0"/>
          <w:bCs/>
          <w:color w:val="auto"/>
          <w:sz w:val="24"/>
          <w:highlight w:val="none"/>
          <w:lang w:eastAsia="zh-CN"/>
        </w:rPr>
        <w:t>（</w:t>
      </w:r>
      <w:r>
        <w:rPr>
          <w:rFonts w:hint="eastAsia" w:ascii="宋体" w:hAnsi="宋体" w:eastAsia="宋体" w:cs="宋体"/>
          <w:b w:val="0"/>
          <w:bCs/>
          <w:color w:val="auto"/>
          <w:sz w:val="24"/>
          <w:highlight w:val="none"/>
          <w:lang w:val="en-US" w:eastAsia="zh-CN"/>
        </w:rPr>
        <w:t>上传营业执照，供应商可根据自身情况另行提供单位简介等相关材料</w:t>
      </w:r>
      <w:r>
        <w:rPr>
          <w:rFonts w:hint="eastAsia" w:ascii="宋体" w:hAnsi="宋体" w:eastAsia="宋体" w:cs="宋体"/>
          <w:b w:val="0"/>
          <w:bCs/>
          <w:color w:val="auto"/>
          <w:sz w:val="24"/>
          <w:highlight w:val="none"/>
          <w:lang w:eastAsia="zh-CN"/>
        </w:rPr>
        <w:t>）</w:t>
      </w:r>
    </w:p>
    <w:p w14:paraId="5420C48B">
      <w:pPr>
        <w:rPr>
          <w:rFonts w:hint="eastAsia" w:ascii="宋体" w:hAnsi="宋体" w:eastAsia="宋体" w:cs="宋体"/>
          <w:b/>
          <w:color w:val="auto"/>
          <w:sz w:val="24"/>
          <w:highlight w:val="none"/>
        </w:rPr>
      </w:pPr>
    </w:p>
    <w:p w14:paraId="34F33495">
      <w:pPr>
        <w:spacing w:line="360" w:lineRule="auto"/>
        <w:jc w:val="center"/>
        <w:outlineLvl w:val="1"/>
        <w:rPr>
          <w:rFonts w:hint="eastAsia" w:ascii="宋体" w:hAnsi="宋体" w:eastAsia="宋体" w:cs="宋体"/>
          <w:b/>
          <w:color w:val="auto"/>
          <w:sz w:val="24"/>
          <w:highlight w:val="none"/>
        </w:rPr>
      </w:pPr>
      <w:r>
        <w:rPr>
          <w:rFonts w:hint="eastAsia" w:ascii="宋体" w:hAnsi="宋体" w:eastAsia="宋体" w:cs="宋体"/>
          <w:b/>
          <w:color w:val="auto"/>
          <w:sz w:val="24"/>
          <w:highlight w:val="none"/>
        </w:rPr>
        <w:br w:type="page"/>
      </w:r>
      <w:r>
        <w:rPr>
          <w:rFonts w:hint="eastAsia" w:ascii="宋体" w:hAnsi="宋体" w:eastAsia="宋体" w:cs="宋体"/>
          <w:b/>
          <w:color w:val="auto"/>
          <w:sz w:val="24"/>
          <w:highlight w:val="none"/>
        </w:rPr>
        <w:t>二、</w:t>
      </w:r>
      <w:bookmarkEnd w:id="90"/>
      <w:bookmarkEnd w:id="91"/>
      <w:r>
        <w:rPr>
          <w:rFonts w:hint="eastAsia" w:ascii="宋体" w:hAnsi="宋体" w:eastAsia="宋体" w:cs="宋体"/>
          <w:b/>
          <w:color w:val="auto"/>
          <w:sz w:val="24"/>
          <w:highlight w:val="none"/>
          <w:lang w:eastAsia="zh-CN"/>
        </w:rPr>
        <w:t>谈判</w:t>
      </w:r>
      <w:r>
        <w:rPr>
          <w:rFonts w:hint="eastAsia" w:ascii="宋体" w:hAnsi="宋体" w:eastAsia="宋体" w:cs="宋体"/>
          <w:b/>
          <w:color w:val="auto"/>
          <w:sz w:val="24"/>
          <w:highlight w:val="none"/>
        </w:rPr>
        <w:t>响应函</w:t>
      </w:r>
    </w:p>
    <w:p w14:paraId="19310DAE">
      <w:pPr>
        <w:pStyle w:val="7"/>
        <w:spacing w:line="360" w:lineRule="auto"/>
        <w:rPr>
          <w:rFonts w:hint="eastAsia" w:ascii="宋体" w:hAnsi="宋体" w:eastAsia="宋体" w:cs="宋体"/>
          <w:color w:val="auto"/>
          <w:sz w:val="24"/>
          <w:highlight w:val="none"/>
        </w:rPr>
      </w:pPr>
    </w:p>
    <w:p w14:paraId="285D76F4">
      <w:pPr>
        <w:pStyle w:val="7"/>
        <w:spacing w:line="360" w:lineRule="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采购人</w:t>
      </w:r>
      <w:r>
        <w:rPr>
          <w:rFonts w:hint="eastAsia" w:ascii="宋体" w:hAnsi="宋体" w:eastAsia="宋体" w:cs="宋体"/>
          <w:color w:val="auto"/>
          <w:sz w:val="24"/>
          <w:highlight w:val="none"/>
          <w:u w:val="single"/>
          <w:lang w:val="en-US" w:eastAsia="zh-CN"/>
        </w:rPr>
        <w:t>名称</w:t>
      </w:r>
    </w:p>
    <w:p w14:paraId="653014CC">
      <w:pPr>
        <w:spacing w:line="360" w:lineRule="auto"/>
        <w:ind w:firstLine="480" w:firstLineChars="200"/>
        <w:rPr>
          <w:rFonts w:hint="eastAsia" w:ascii="宋体" w:hAnsi="宋体" w:eastAsia="宋体" w:cs="宋体"/>
          <w:dstrike/>
          <w:color w:val="auto"/>
          <w:sz w:val="24"/>
          <w:highlight w:val="none"/>
        </w:rPr>
      </w:pPr>
      <w:r>
        <w:rPr>
          <w:rFonts w:hint="eastAsia" w:ascii="宋体" w:hAnsi="宋体" w:eastAsia="宋体" w:cs="宋体"/>
          <w:color w:val="auto"/>
          <w:sz w:val="24"/>
          <w:highlight w:val="none"/>
        </w:rPr>
        <w:t>根据贵方的</w:t>
      </w:r>
      <w:r>
        <w:rPr>
          <w:rFonts w:hint="eastAsia" w:ascii="宋体" w:hAnsi="宋体" w:eastAsia="宋体" w:cs="宋体"/>
          <w:color w:val="auto"/>
          <w:sz w:val="24"/>
          <w:highlight w:val="none"/>
          <w:lang w:eastAsia="zh-CN"/>
        </w:rPr>
        <w:t>采购邀请</w:t>
      </w:r>
      <w:r>
        <w:rPr>
          <w:rFonts w:hint="eastAsia" w:ascii="宋体" w:hAnsi="宋体" w:eastAsia="宋体" w:cs="宋体"/>
          <w:color w:val="auto"/>
          <w:sz w:val="24"/>
          <w:highlight w:val="none"/>
        </w:rPr>
        <w:t>和</w:t>
      </w:r>
      <w:r>
        <w:rPr>
          <w:rFonts w:hint="eastAsia" w:ascii="宋体" w:hAnsi="宋体" w:eastAsia="宋体" w:cs="宋体"/>
          <w:color w:val="auto"/>
          <w:sz w:val="24"/>
          <w:highlight w:val="none"/>
          <w:lang w:eastAsia="zh-CN"/>
        </w:rPr>
        <w:t>谈判</w:t>
      </w:r>
      <w:r>
        <w:rPr>
          <w:rFonts w:hint="eastAsia" w:ascii="宋体" w:hAnsi="宋体" w:eastAsia="宋体" w:cs="宋体"/>
          <w:color w:val="auto"/>
          <w:sz w:val="24"/>
          <w:highlight w:val="none"/>
          <w:lang w:val="en-US" w:eastAsia="zh-CN"/>
        </w:rPr>
        <w:t>文件</w:t>
      </w:r>
      <w:r>
        <w:rPr>
          <w:rFonts w:hint="eastAsia" w:ascii="宋体" w:hAnsi="宋体" w:eastAsia="宋体" w:cs="宋体"/>
          <w:color w:val="auto"/>
          <w:sz w:val="24"/>
          <w:highlight w:val="none"/>
        </w:rPr>
        <w:t>，我方兹宣布同意如下：</w:t>
      </w:r>
    </w:p>
    <w:p w14:paraId="16E0B1F9">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szCs w:val="24"/>
          <w:highlight w:val="none"/>
        </w:rPr>
        <w:t>我方根据</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文件的规定，严格履行合同的责任和义务,并保证于买方要求的日期内完成，并通过买方验收。</w:t>
      </w:r>
    </w:p>
    <w:p w14:paraId="2703416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2.我方已详细审核全部</w:t>
      </w:r>
      <w:r>
        <w:rPr>
          <w:rFonts w:hint="eastAsia" w:ascii="宋体" w:hAnsi="宋体" w:eastAsia="宋体" w:cs="宋体"/>
          <w:color w:val="auto"/>
          <w:sz w:val="24"/>
          <w:highlight w:val="none"/>
          <w:lang w:eastAsia="zh-CN"/>
        </w:rPr>
        <w:t>谈判</w:t>
      </w:r>
      <w:r>
        <w:rPr>
          <w:rFonts w:hint="eastAsia" w:ascii="宋体" w:hAnsi="宋体" w:eastAsia="宋体" w:cs="宋体"/>
          <w:color w:val="auto"/>
          <w:sz w:val="24"/>
          <w:highlight w:val="none"/>
        </w:rPr>
        <w:t>文件，包括</w:t>
      </w:r>
      <w:r>
        <w:rPr>
          <w:rFonts w:hint="eastAsia" w:ascii="宋体" w:hAnsi="宋体" w:eastAsia="宋体" w:cs="宋体"/>
          <w:color w:val="auto"/>
          <w:sz w:val="24"/>
          <w:highlight w:val="none"/>
          <w:lang w:eastAsia="zh-CN"/>
        </w:rPr>
        <w:t>谈判</w:t>
      </w:r>
      <w:r>
        <w:rPr>
          <w:rFonts w:hint="eastAsia" w:ascii="宋体" w:hAnsi="宋体" w:eastAsia="宋体" w:cs="宋体"/>
          <w:color w:val="auto"/>
          <w:sz w:val="24"/>
          <w:highlight w:val="none"/>
        </w:rPr>
        <w:t>文件附件及更正公告（如有），我方正式认可并遵守本次</w:t>
      </w:r>
      <w:r>
        <w:rPr>
          <w:rFonts w:hint="eastAsia" w:ascii="宋体" w:hAnsi="宋体" w:eastAsia="宋体" w:cs="宋体"/>
          <w:color w:val="auto"/>
          <w:sz w:val="24"/>
          <w:highlight w:val="none"/>
          <w:lang w:eastAsia="zh-CN"/>
        </w:rPr>
        <w:t>谈判</w:t>
      </w:r>
      <w:r>
        <w:rPr>
          <w:rFonts w:hint="eastAsia" w:ascii="宋体" w:hAnsi="宋体" w:eastAsia="宋体" w:cs="宋体"/>
          <w:color w:val="auto"/>
          <w:sz w:val="24"/>
          <w:highlight w:val="none"/>
        </w:rPr>
        <w:t>文件，并对</w:t>
      </w:r>
      <w:r>
        <w:rPr>
          <w:rFonts w:hint="eastAsia" w:ascii="宋体" w:hAnsi="宋体" w:eastAsia="宋体" w:cs="宋体"/>
          <w:color w:val="auto"/>
          <w:sz w:val="24"/>
          <w:highlight w:val="none"/>
          <w:lang w:eastAsia="zh-CN"/>
        </w:rPr>
        <w:t>谈判</w:t>
      </w:r>
      <w:r>
        <w:rPr>
          <w:rFonts w:hint="eastAsia" w:ascii="宋体" w:hAnsi="宋体" w:eastAsia="宋体" w:cs="宋体"/>
          <w:color w:val="auto"/>
          <w:sz w:val="24"/>
          <w:highlight w:val="none"/>
        </w:rPr>
        <w:t>文件各项条款、规定及要求均无异议。</w:t>
      </w:r>
    </w:p>
    <w:p w14:paraId="2030A7AF">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3.我方同意从</w:t>
      </w:r>
      <w:r>
        <w:rPr>
          <w:rFonts w:hint="eastAsia" w:ascii="宋体" w:hAnsi="宋体" w:eastAsia="宋体" w:cs="宋体"/>
          <w:color w:val="auto"/>
          <w:sz w:val="24"/>
          <w:highlight w:val="none"/>
          <w:lang w:eastAsia="zh-CN"/>
        </w:rPr>
        <w:t>谈判</w:t>
      </w:r>
      <w:r>
        <w:rPr>
          <w:rFonts w:hint="eastAsia" w:ascii="宋体" w:hAnsi="宋体" w:eastAsia="宋体" w:cs="宋体"/>
          <w:color w:val="auto"/>
          <w:sz w:val="24"/>
          <w:highlight w:val="none"/>
        </w:rPr>
        <w:t>文件规定的</w:t>
      </w:r>
      <w:r>
        <w:rPr>
          <w:rFonts w:hint="eastAsia" w:ascii="宋体" w:hAnsi="宋体" w:eastAsia="宋体" w:cs="宋体"/>
          <w:color w:val="auto"/>
          <w:sz w:val="24"/>
          <w:highlight w:val="none"/>
          <w:lang w:eastAsia="zh-CN"/>
        </w:rPr>
        <w:t>谈判</w:t>
      </w:r>
      <w:r>
        <w:rPr>
          <w:rFonts w:hint="eastAsia" w:ascii="宋体" w:hAnsi="宋体" w:eastAsia="宋体" w:cs="宋体"/>
          <w:color w:val="auto"/>
          <w:sz w:val="24"/>
          <w:highlight w:val="none"/>
        </w:rPr>
        <w:t>日期起遵循本</w:t>
      </w:r>
      <w:r>
        <w:rPr>
          <w:rFonts w:hint="eastAsia" w:ascii="宋体" w:hAnsi="宋体" w:eastAsia="宋体" w:cs="宋体"/>
          <w:color w:val="auto"/>
          <w:sz w:val="24"/>
          <w:highlight w:val="none"/>
          <w:lang w:eastAsia="zh-CN"/>
        </w:rPr>
        <w:t>谈判</w:t>
      </w:r>
      <w:r>
        <w:rPr>
          <w:rFonts w:hint="eastAsia" w:ascii="宋体" w:hAnsi="宋体" w:eastAsia="宋体" w:cs="宋体"/>
          <w:color w:val="auto"/>
          <w:sz w:val="24"/>
          <w:highlight w:val="none"/>
        </w:rPr>
        <w:t>文件，并在</w:t>
      </w:r>
      <w:r>
        <w:rPr>
          <w:rFonts w:hint="eastAsia" w:ascii="宋体" w:hAnsi="宋体" w:eastAsia="宋体" w:cs="宋体"/>
          <w:color w:val="auto"/>
          <w:sz w:val="24"/>
          <w:highlight w:val="none"/>
          <w:lang w:eastAsia="zh-CN"/>
        </w:rPr>
        <w:t>谈判</w:t>
      </w:r>
      <w:r>
        <w:rPr>
          <w:rFonts w:hint="eastAsia" w:ascii="宋体" w:hAnsi="宋体" w:eastAsia="宋体" w:cs="宋体"/>
          <w:color w:val="auto"/>
          <w:sz w:val="24"/>
          <w:highlight w:val="none"/>
        </w:rPr>
        <w:t>文件规定的</w:t>
      </w:r>
      <w:r>
        <w:rPr>
          <w:rFonts w:hint="eastAsia" w:ascii="宋体" w:hAnsi="宋体" w:eastAsia="宋体" w:cs="宋体"/>
          <w:color w:val="auto"/>
          <w:sz w:val="24"/>
          <w:highlight w:val="none"/>
          <w:lang w:eastAsia="zh-CN"/>
        </w:rPr>
        <w:t>谈判</w:t>
      </w:r>
      <w:r>
        <w:rPr>
          <w:rFonts w:hint="eastAsia" w:ascii="宋体" w:hAnsi="宋体" w:eastAsia="宋体" w:cs="宋体"/>
          <w:color w:val="auto"/>
          <w:sz w:val="24"/>
          <w:highlight w:val="none"/>
        </w:rPr>
        <w:t>有效期之前均具有约束力。</w:t>
      </w:r>
    </w:p>
    <w:p w14:paraId="44B606E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4.我方声明响应文件所提供的一切资料均真实无误、及时、有效，企业运营正常。由于我方提供资料不实而造成的责任和后果由我方承担。我方同意按照贵方提出的要求，提供与</w:t>
      </w:r>
      <w:r>
        <w:rPr>
          <w:rFonts w:hint="eastAsia" w:ascii="宋体" w:hAnsi="宋体" w:eastAsia="宋体" w:cs="宋体"/>
          <w:color w:val="auto"/>
          <w:sz w:val="24"/>
          <w:highlight w:val="none"/>
          <w:lang w:eastAsia="zh-CN"/>
        </w:rPr>
        <w:t>谈判</w:t>
      </w:r>
      <w:r>
        <w:rPr>
          <w:rFonts w:hint="eastAsia" w:ascii="宋体" w:hAnsi="宋体" w:eastAsia="宋体" w:cs="宋体"/>
          <w:color w:val="auto"/>
          <w:sz w:val="24"/>
          <w:highlight w:val="none"/>
        </w:rPr>
        <w:t>有关的任何证据、数据或资料。</w:t>
      </w:r>
    </w:p>
    <w:p w14:paraId="48AF9830">
      <w:pPr>
        <w:spacing w:line="360" w:lineRule="auto"/>
        <w:ind w:firstLine="480" w:firstLineChars="200"/>
        <w:rPr>
          <w:rFonts w:hint="eastAsia" w:ascii="宋体" w:hAnsi="宋体" w:eastAsia="宋体" w:cs="宋体"/>
          <w:color w:val="auto"/>
          <w:sz w:val="24"/>
          <w:highlight w:val="none"/>
        </w:rPr>
      </w:pPr>
    </w:p>
    <w:p w14:paraId="247B201F">
      <w:pPr>
        <w:spacing w:line="360" w:lineRule="auto"/>
        <w:ind w:firstLine="4800" w:firstLineChars="2000"/>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供应商电子签章：</w:t>
      </w:r>
      <w:r>
        <w:rPr>
          <w:rFonts w:hint="eastAsia" w:ascii="宋体" w:hAnsi="宋体" w:eastAsia="宋体" w:cs="宋体"/>
          <w:color w:val="auto"/>
          <w:sz w:val="24"/>
          <w:highlight w:val="none"/>
          <w:u w:val="single"/>
        </w:rPr>
        <w:t xml:space="preserve">             </w:t>
      </w:r>
    </w:p>
    <w:p w14:paraId="7B96DFE9">
      <w:pPr>
        <w:spacing w:line="360" w:lineRule="auto"/>
        <w:ind w:firstLine="4800" w:firstLineChars="20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p>
    <w:p w14:paraId="3A0D8D55">
      <w:pPr>
        <w:spacing w:line="360" w:lineRule="auto"/>
        <w:ind w:firstLine="4800" w:firstLineChars="2000"/>
        <w:rPr>
          <w:rFonts w:hint="eastAsia" w:ascii="宋体" w:hAnsi="宋体" w:eastAsia="宋体" w:cs="宋体"/>
          <w:color w:val="auto"/>
          <w:sz w:val="24"/>
          <w:highlight w:val="none"/>
          <w:u w:val="single"/>
        </w:rPr>
      </w:pPr>
    </w:p>
    <w:p w14:paraId="6A847968">
      <w:pPr>
        <w:spacing w:line="360" w:lineRule="auto"/>
        <w:jc w:val="center"/>
        <w:outlineLvl w:val="1"/>
        <w:rPr>
          <w:rFonts w:hint="eastAsia" w:ascii="宋体" w:hAnsi="宋体" w:eastAsia="宋体" w:cs="宋体"/>
          <w:b/>
          <w:color w:val="auto"/>
          <w:sz w:val="24"/>
          <w:highlight w:val="none"/>
        </w:rPr>
      </w:pPr>
      <w:r>
        <w:rPr>
          <w:rFonts w:hint="eastAsia" w:ascii="宋体" w:hAnsi="宋体" w:eastAsia="宋体" w:cs="宋体"/>
          <w:color w:val="auto"/>
          <w:sz w:val="24"/>
          <w:highlight w:val="none"/>
          <w:u w:val="single"/>
        </w:rPr>
        <w:br w:type="page"/>
      </w:r>
      <w:bookmarkStart w:id="92" w:name="_Toc18881"/>
      <w:r>
        <w:rPr>
          <w:rFonts w:hint="eastAsia" w:ascii="宋体" w:hAnsi="宋体" w:eastAsia="宋体" w:cs="宋体"/>
          <w:b/>
          <w:color w:val="auto"/>
          <w:sz w:val="24"/>
          <w:highlight w:val="none"/>
          <w:lang w:val="en-US" w:eastAsia="zh-CN"/>
        </w:rPr>
        <w:t>三</w:t>
      </w:r>
      <w:r>
        <w:rPr>
          <w:rFonts w:hint="eastAsia" w:ascii="宋体" w:hAnsi="宋体" w:eastAsia="宋体" w:cs="宋体"/>
          <w:b/>
          <w:color w:val="auto"/>
          <w:sz w:val="24"/>
          <w:highlight w:val="none"/>
        </w:rPr>
        <w:t>、授权书</w:t>
      </w:r>
    </w:p>
    <w:p w14:paraId="638CAD9F">
      <w:pPr>
        <w:spacing w:line="360" w:lineRule="auto"/>
        <w:jc w:val="center"/>
        <w:rPr>
          <w:rFonts w:hint="eastAsia" w:ascii="宋体" w:hAnsi="宋体" w:eastAsia="宋体" w:cs="宋体"/>
          <w:b/>
          <w:color w:val="auto"/>
          <w:sz w:val="24"/>
          <w:highlight w:val="none"/>
        </w:rPr>
      </w:pPr>
    </w:p>
    <w:p w14:paraId="0E120895">
      <w:pPr>
        <w:pStyle w:val="6"/>
        <w:snapToGrid w:val="0"/>
        <w:spacing w:line="360" w:lineRule="auto"/>
        <w:ind w:firstLine="480" w:firstLineChars="200"/>
        <w:jc w:val="both"/>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本授权书声明：</w:t>
      </w:r>
      <w:r>
        <w:rPr>
          <w:rFonts w:hint="eastAsia" w:ascii="宋体" w:hAnsi="宋体" w:eastAsia="宋体" w:cs="宋体"/>
          <w:color w:val="auto"/>
          <w:sz w:val="24"/>
          <w:szCs w:val="28"/>
          <w:highlight w:val="none"/>
          <w:u w:val="single"/>
        </w:rPr>
        <w:t xml:space="preserve">           </w:t>
      </w:r>
      <w:r>
        <w:rPr>
          <w:rFonts w:hint="eastAsia" w:ascii="宋体" w:hAnsi="宋体" w:eastAsia="宋体" w:cs="宋体"/>
          <w:color w:val="auto"/>
          <w:sz w:val="24"/>
          <w:szCs w:val="28"/>
          <w:highlight w:val="none"/>
        </w:rPr>
        <w:t>（供应商名称）授权</w:t>
      </w:r>
      <w:r>
        <w:rPr>
          <w:rFonts w:hint="eastAsia" w:ascii="宋体" w:hAnsi="宋体" w:eastAsia="宋体" w:cs="宋体"/>
          <w:color w:val="auto"/>
          <w:sz w:val="24"/>
          <w:szCs w:val="28"/>
          <w:highlight w:val="none"/>
          <w:u w:val="single"/>
        </w:rPr>
        <w:t xml:space="preserve">       </w:t>
      </w:r>
      <w:r>
        <w:rPr>
          <w:rFonts w:hint="eastAsia" w:ascii="宋体" w:hAnsi="宋体" w:eastAsia="宋体" w:cs="宋体"/>
          <w:color w:val="auto"/>
          <w:sz w:val="24"/>
          <w:szCs w:val="28"/>
          <w:highlight w:val="none"/>
        </w:rPr>
        <w:t>（供应商授权代表姓名）代表我方参加本项目</w:t>
      </w:r>
      <w:r>
        <w:rPr>
          <w:rFonts w:hint="eastAsia" w:ascii="宋体" w:hAnsi="宋体" w:eastAsia="宋体" w:cs="宋体"/>
          <w:bCs/>
          <w:color w:val="auto"/>
          <w:sz w:val="24"/>
          <w:szCs w:val="28"/>
          <w:highlight w:val="none"/>
        </w:rPr>
        <w:t>采购活动</w:t>
      </w:r>
      <w:r>
        <w:rPr>
          <w:rFonts w:hint="eastAsia" w:ascii="宋体" w:hAnsi="宋体" w:eastAsia="宋体" w:cs="宋体"/>
          <w:color w:val="auto"/>
          <w:sz w:val="24"/>
          <w:szCs w:val="28"/>
          <w:highlight w:val="none"/>
        </w:rPr>
        <w:t>，全权代表我方处理</w:t>
      </w:r>
      <w:r>
        <w:rPr>
          <w:rFonts w:hint="eastAsia" w:ascii="宋体" w:hAnsi="宋体" w:eastAsia="宋体" w:cs="宋体"/>
          <w:color w:val="auto"/>
          <w:sz w:val="24"/>
          <w:szCs w:val="28"/>
          <w:highlight w:val="none"/>
          <w:lang w:eastAsia="zh-CN"/>
        </w:rPr>
        <w:t>谈判</w:t>
      </w:r>
      <w:r>
        <w:rPr>
          <w:rFonts w:hint="eastAsia" w:ascii="宋体" w:hAnsi="宋体" w:eastAsia="宋体" w:cs="宋体"/>
          <w:color w:val="auto"/>
          <w:sz w:val="24"/>
          <w:szCs w:val="28"/>
          <w:highlight w:val="none"/>
        </w:rPr>
        <w:t>过程的一切事宜，包括但不限于：提交响应文件、参与</w:t>
      </w:r>
      <w:r>
        <w:rPr>
          <w:rFonts w:hint="eastAsia" w:ascii="宋体" w:hAnsi="宋体" w:eastAsia="宋体" w:cs="宋体"/>
          <w:color w:val="auto"/>
          <w:sz w:val="24"/>
          <w:szCs w:val="28"/>
          <w:highlight w:val="none"/>
          <w:lang w:eastAsia="zh-CN"/>
        </w:rPr>
        <w:t>谈判</w:t>
      </w:r>
      <w:r>
        <w:rPr>
          <w:rFonts w:hint="eastAsia" w:ascii="宋体" w:hAnsi="宋体" w:eastAsia="宋体" w:cs="宋体"/>
          <w:color w:val="auto"/>
          <w:sz w:val="24"/>
          <w:szCs w:val="28"/>
          <w:highlight w:val="none"/>
        </w:rPr>
        <w:t>、签约等。供应商授权代表在采购活动过程中所签署的一切文件和处理与之有关的一切事务，本公司均予以认可并对此承担责任。供应商授权代表无转委托权。特此授权。</w:t>
      </w:r>
    </w:p>
    <w:p w14:paraId="007734A3">
      <w:pPr>
        <w:pStyle w:val="6"/>
        <w:snapToGrid w:val="0"/>
        <w:spacing w:line="360" w:lineRule="auto"/>
        <w:ind w:firstLine="480" w:firstLineChars="200"/>
        <w:jc w:val="both"/>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本授权书自出具之日起生效。</w:t>
      </w:r>
    </w:p>
    <w:p w14:paraId="0046BE97">
      <w:pPr>
        <w:pStyle w:val="6"/>
        <w:snapToGrid w:val="0"/>
        <w:spacing w:line="360" w:lineRule="auto"/>
        <w:ind w:firstLine="480" w:firstLineChars="200"/>
        <w:jc w:val="left"/>
        <w:rPr>
          <w:rFonts w:hint="eastAsia" w:ascii="宋体" w:hAnsi="宋体" w:eastAsia="宋体" w:cs="宋体"/>
          <w:color w:val="auto"/>
          <w:sz w:val="24"/>
          <w:szCs w:val="28"/>
          <w:highlight w:val="none"/>
        </w:rPr>
      </w:pPr>
    </w:p>
    <w:p w14:paraId="62970A51">
      <w:pPr>
        <w:pStyle w:val="6"/>
        <w:snapToGrid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szCs w:val="28"/>
          <w:highlight w:val="none"/>
        </w:rPr>
        <w:t>授权代表</w:t>
      </w:r>
      <w:r>
        <w:rPr>
          <w:rFonts w:hint="eastAsia" w:ascii="宋体" w:hAnsi="宋体" w:eastAsia="宋体" w:cs="宋体"/>
          <w:color w:val="auto"/>
          <w:sz w:val="24"/>
          <w:highlight w:val="none"/>
        </w:rPr>
        <w:t>身份证明扫描件：</w:t>
      </w:r>
    </w:p>
    <w:p w14:paraId="36DA9A07">
      <w:pPr>
        <w:pStyle w:val="6"/>
        <w:snapToGrid w:val="0"/>
        <w:spacing w:line="360" w:lineRule="auto"/>
        <w:ind w:firstLine="480" w:firstLineChars="200"/>
        <w:jc w:val="left"/>
        <w:rPr>
          <w:rFonts w:hint="eastAsia" w:ascii="宋体" w:hAnsi="宋体" w:eastAsia="宋体" w:cs="宋体"/>
          <w:color w:val="auto"/>
          <w:sz w:val="24"/>
          <w:highlight w:val="none"/>
        </w:rPr>
      </w:pPr>
    </w:p>
    <w:p w14:paraId="7A0F8E4B">
      <w:pPr>
        <w:pStyle w:val="6"/>
        <w:snapToGrid w:val="0"/>
        <w:spacing w:line="360" w:lineRule="auto"/>
        <w:ind w:firstLine="480" w:firstLineChars="200"/>
        <w:jc w:val="left"/>
        <w:rPr>
          <w:rFonts w:hint="eastAsia" w:ascii="宋体" w:hAnsi="宋体" w:eastAsia="宋体" w:cs="宋体"/>
          <w:color w:val="auto"/>
          <w:sz w:val="24"/>
          <w:highlight w:val="none"/>
        </w:rPr>
      </w:pPr>
    </w:p>
    <w:p w14:paraId="63D828A0">
      <w:pPr>
        <w:pStyle w:val="6"/>
        <w:snapToGrid w:val="0"/>
        <w:spacing w:line="360" w:lineRule="auto"/>
        <w:ind w:firstLine="480" w:firstLineChars="200"/>
        <w:jc w:val="left"/>
        <w:rPr>
          <w:rFonts w:hint="eastAsia" w:ascii="宋体" w:hAnsi="宋体" w:eastAsia="宋体" w:cs="宋体"/>
          <w:color w:val="auto"/>
          <w:sz w:val="24"/>
          <w:highlight w:val="none"/>
        </w:rPr>
      </w:pPr>
    </w:p>
    <w:p w14:paraId="11FD811A">
      <w:pPr>
        <w:pStyle w:val="6"/>
        <w:snapToGrid w:val="0"/>
        <w:spacing w:line="360" w:lineRule="auto"/>
        <w:ind w:firstLine="480" w:firstLineChars="200"/>
        <w:jc w:val="left"/>
        <w:rPr>
          <w:rFonts w:hint="eastAsia" w:ascii="宋体" w:hAnsi="宋体" w:eastAsia="宋体" w:cs="宋体"/>
          <w:color w:val="auto"/>
          <w:sz w:val="24"/>
          <w:highlight w:val="none"/>
        </w:rPr>
      </w:pPr>
    </w:p>
    <w:p w14:paraId="3D551D62">
      <w:pPr>
        <w:pStyle w:val="6"/>
        <w:snapToGrid w:val="0"/>
        <w:spacing w:line="360" w:lineRule="auto"/>
        <w:ind w:firstLine="480" w:firstLineChars="200"/>
        <w:jc w:val="left"/>
        <w:rPr>
          <w:rFonts w:hint="eastAsia" w:ascii="宋体" w:hAnsi="宋体" w:eastAsia="宋体" w:cs="宋体"/>
          <w:color w:val="auto"/>
          <w:sz w:val="24"/>
          <w:szCs w:val="28"/>
          <w:highlight w:val="none"/>
          <w:u w:val="single"/>
        </w:rPr>
      </w:pPr>
      <w:r>
        <w:rPr>
          <w:rFonts w:hint="eastAsia" w:ascii="宋体" w:hAnsi="宋体" w:eastAsia="宋体" w:cs="宋体"/>
          <w:color w:val="auto"/>
          <w:sz w:val="24"/>
          <w:szCs w:val="28"/>
          <w:highlight w:val="none"/>
        </w:rPr>
        <w:t>授权代表联系方式：</w:t>
      </w:r>
      <w:r>
        <w:rPr>
          <w:rFonts w:hint="eastAsia" w:ascii="宋体" w:hAnsi="宋体" w:eastAsia="宋体" w:cs="宋体"/>
          <w:color w:val="auto"/>
          <w:sz w:val="24"/>
          <w:szCs w:val="28"/>
          <w:highlight w:val="none"/>
          <w:u w:val="single"/>
        </w:rPr>
        <w:t xml:space="preserve">          </w:t>
      </w:r>
      <w:r>
        <w:rPr>
          <w:rFonts w:hint="eastAsia" w:ascii="宋体" w:hAnsi="宋体" w:eastAsia="宋体" w:cs="宋体"/>
          <w:color w:val="auto"/>
          <w:sz w:val="24"/>
          <w:szCs w:val="28"/>
          <w:highlight w:val="none"/>
          <w:u w:val="none"/>
        </w:rPr>
        <w:t>（请填写手机号码）</w:t>
      </w:r>
    </w:p>
    <w:p w14:paraId="2674210D">
      <w:pPr>
        <w:pStyle w:val="6"/>
        <w:snapToGrid w:val="0"/>
        <w:spacing w:line="360" w:lineRule="auto"/>
        <w:ind w:firstLine="480" w:firstLineChars="200"/>
        <w:jc w:val="left"/>
        <w:rPr>
          <w:rFonts w:hint="eastAsia" w:ascii="宋体" w:hAnsi="宋体" w:eastAsia="宋体" w:cs="宋体"/>
          <w:color w:val="auto"/>
          <w:sz w:val="24"/>
          <w:szCs w:val="28"/>
          <w:highlight w:val="none"/>
        </w:rPr>
      </w:pPr>
    </w:p>
    <w:p w14:paraId="6069E546">
      <w:pPr>
        <w:spacing w:line="360" w:lineRule="auto"/>
        <w:ind w:firstLine="480" w:firstLineChars="200"/>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特此声明。</w:t>
      </w:r>
    </w:p>
    <w:p w14:paraId="42535070">
      <w:pPr>
        <w:spacing w:line="360" w:lineRule="auto"/>
        <w:rPr>
          <w:rFonts w:hint="eastAsia" w:ascii="宋体" w:hAnsi="宋体" w:eastAsia="宋体" w:cs="宋体"/>
          <w:color w:val="auto"/>
          <w:sz w:val="24"/>
          <w:szCs w:val="28"/>
          <w:highlight w:val="none"/>
        </w:rPr>
      </w:pPr>
    </w:p>
    <w:p w14:paraId="78F4B14C">
      <w:pPr>
        <w:spacing w:line="360" w:lineRule="auto"/>
        <w:ind w:firstLine="4800" w:firstLineChars="20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供应商电子签章：</w:t>
      </w:r>
      <w:r>
        <w:rPr>
          <w:rFonts w:hint="eastAsia" w:ascii="宋体" w:hAnsi="宋体" w:eastAsia="宋体" w:cs="宋体"/>
          <w:color w:val="auto"/>
          <w:sz w:val="24"/>
          <w:highlight w:val="none"/>
          <w:u w:val="single"/>
        </w:rPr>
        <w:t xml:space="preserve">             </w:t>
      </w:r>
    </w:p>
    <w:p w14:paraId="41B8972B">
      <w:pPr>
        <w:tabs>
          <w:tab w:val="left" w:pos="630"/>
        </w:tabs>
        <w:spacing w:line="360" w:lineRule="auto"/>
        <w:ind w:firstLine="4800" w:firstLineChars="2000"/>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p>
    <w:p w14:paraId="48490A7C">
      <w:pPr>
        <w:spacing w:line="360" w:lineRule="auto"/>
        <w:rPr>
          <w:rFonts w:hint="eastAsia" w:ascii="宋体" w:hAnsi="宋体" w:eastAsia="宋体" w:cs="宋体"/>
          <w:color w:val="auto"/>
          <w:sz w:val="24"/>
          <w:szCs w:val="28"/>
          <w:highlight w:val="none"/>
        </w:rPr>
      </w:pPr>
    </w:p>
    <w:p w14:paraId="0BDC119A">
      <w:pPr>
        <w:spacing w:line="360" w:lineRule="auto"/>
        <w:rPr>
          <w:rFonts w:hint="eastAsia" w:ascii="宋体" w:hAnsi="宋体" w:eastAsia="宋体" w:cs="宋体"/>
          <w:color w:val="auto"/>
          <w:sz w:val="24"/>
          <w:szCs w:val="28"/>
          <w:highlight w:val="none"/>
        </w:rPr>
      </w:pPr>
    </w:p>
    <w:p w14:paraId="5DE8430D">
      <w:pPr>
        <w:pStyle w:val="6"/>
        <w:snapToGrid w:val="0"/>
        <w:spacing w:line="360" w:lineRule="auto"/>
        <w:jc w:val="left"/>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注：</w:t>
      </w:r>
    </w:p>
    <w:p w14:paraId="5B92B8FC">
      <w:pPr>
        <w:pStyle w:val="6"/>
        <w:snapToGrid w:val="0"/>
        <w:spacing w:line="360" w:lineRule="auto"/>
        <w:jc w:val="left"/>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1.本项目只允许有唯一的供应商授权代表，提供身份证明扫描件；</w:t>
      </w:r>
    </w:p>
    <w:p w14:paraId="3A0AF20B">
      <w:pPr>
        <w:spacing w:line="360" w:lineRule="auto"/>
        <w:jc w:val="left"/>
        <w:rPr>
          <w:rFonts w:hint="eastAsia" w:ascii="宋体" w:hAnsi="宋体" w:eastAsia="宋体" w:cs="宋体"/>
          <w:b/>
          <w:color w:val="auto"/>
          <w:sz w:val="24"/>
          <w:highlight w:val="none"/>
          <w:lang w:val="en-US" w:eastAsia="zh-CN"/>
        </w:rPr>
      </w:pPr>
      <w:r>
        <w:rPr>
          <w:rFonts w:hint="eastAsia" w:ascii="宋体" w:hAnsi="宋体" w:eastAsia="宋体" w:cs="宋体"/>
          <w:color w:val="auto"/>
          <w:sz w:val="24"/>
          <w:highlight w:val="none"/>
        </w:rPr>
        <w:t>2.法定代表人参加</w:t>
      </w:r>
      <w:r>
        <w:rPr>
          <w:rFonts w:hint="eastAsia" w:ascii="宋体" w:hAnsi="宋体" w:eastAsia="宋体" w:cs="宋体"/>
          <w:color w:val="auto"/>
          <w:sz w:val="24"/>
          <w:highlight w:val="none"/>
          <w:lang w:eastAsia="zh-CN"/>
        </w:rPr>
        <w:t>谈判</w:t>
      </w:r>
      <w:r>
        <w:rPr>
          <w:rFonts w:hint="eastAsia" w:ascii="宋体" w:hAnsi="宋体" w:eastAsia="宋体" w:cs="宋体"/>
          <w:color w:val="auto"/>
          <w:sz w:val="24"/>
          <w:highlight w:val="none"/>
        </w:rPr>
        <w:t>的无需提供授权书，仅提供身份证明扫描件。</w:t>
      </w:r>
    </w:p>
    <w:p w14:paraId="40BF4FF8">
      <w:pPr>
        <w:spacing w:line="360" w:lineRule="auto"/>
        <w:jc w:val="center"/>
        <w:outlineLvl w:val="1"/>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br w:type="page"/>
      </w:r>
      <w:bookmarkEnd w:id="92"/>
      <w:bookmarkStart w:id="93" w:name="_Toc15154"/>
      <w:r>
        <w:rPr>
          <w:rFonts w:hint="eastAsia" w:ascii="宋体" w:hAnsi="宋体" w:eastAsia="宋体" w:cs="宋体"/>
          <w:b/>
          <w:color w:val="auto"/>
          <w:sz w:val="24"/>
          <w:highlight w:val="none"/>
          <w:lang w:val="en-US" w:eastAsia="zh-CN"/>
        </w:rPr>
        <w:t>四、其他资格</w:t>
      </w:r>
      <w:bookmarkEnd w:id="93"/>
      <w:r>
        <w:rPr>
          <w:rFonts w:hint="eastAsia" w:ascii="宋体" w:hAnsi="宋体" w:eastAsia="宋体" w:cs="宋体"/>
          <w:b/>
          <w:color w:val="auto"/>
          <w:sz w:val="24"/>
          <w:highlight w:val="none"/>
          <w:lang w:val="en-US" w:eastAsia="zh-CN"/>
        </w:rPr>
        <w:t>证明材料</w:t>
      </w:r>
    </w:p>
    <w:p w14:paraId="234D81B8">
      <w:pPr>
        <w:keepNext/>
        <w:keepLines/>
        <w:pageBreakBefore w:val="0"/>
        <w:widowControl w:val="0"/>
        <w:kinsoku/>
        <w:wordWrap/>
        <w:overflowPunct/>
        <w:topLinePunct w:val="0"/>
        <w:autoSpaceDE/>
        <w:autoSpaceDN/>
        <w:bidi w:val="0"/>
        <w:adjustRightInd/>
        <w:snapToGrid/>
        <w:spacing w:before="140" w:after="140" w:line="416" w:lineRule="auto"/>
        <w:jc w:val="center"/>
        <w:textAlignment w:val="auto"/>
        <w:outlineLvl w:val="9"/>
        <w:rPr>
          <w:rFonts w:hint="eastAsia" w:ascii="宋体" w:hAnsi="宋体" w:eastAsia="宋体" w:cs="宋体"/>
          <w:color w:val="auto"/>
          <w:sz w:val="24"/>
          <w:szCs w:val="24"/>
          <w:highlight w:val="none"/>
        </w:rPr>
      </w:pPr>
      <w:bookmarkStart w:id="94" w:name="_Toc31168"/>
      <w:bookmarkStart w:id="95" w:name="_Toc2753"/>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lang w:val="en-US" w:eastAsia="zh-CN"/>
        </w:rPr>
        <w:t>如有，</w:t>
      </w:r>
      <w:r>
        <w:rPr>
          <w:rFonts w:hint="eastAsia" w:ascii="宋体" w:hAnsi="宋体" w:eastAsia="宋体" w:cs="宋体"/>
          <w:b w:val="0"/>
          <w:bCs w:val="0"/>
          <w:color w:val="auto"/>
          <w:sz w:val="24"/>
          <w:szCs w:val="24"/>
          <w:highlight w:val="none"/>
        </w:rPr>
        <w:t>提供符合</w:t>
      </w:r>
      <w:r>
        <w:rPr>
          <w:rFonts w:hint="eastAsia" w:ascii="宋体" w:hAnsi="宋体" w:eastAsia="宋体" w:cs="宋体"/>
          <w:b w:val="0"/>
          <w:bCs w:val="0"/>
          <w:color w:val="auto"/>
          <w:sz w:val="24"/>
          <w:szCs w:val="24"/>
          <w:highlight w:val="none"/>
          <w:lang w:val="en-US" w:eastAsia="zh-CN"/>
        </w:rPr>
        <w:t>谈判文件要求的其他资格</w:t>
      </w:r>
      <w:r>
        <w:rPr>
          <w:rFonts w:hint="eastAsia" w:ascii="宋体" w:hAnsi="宋体" w:eastAsia="宋体" w:cs="宋体"/>
          <w:b w:val="0"/>
          <w:bCs w:val="0"/>
          <w:color w:val="auto"/>
          <w:sz w:val="24"/>
          <w:szCs w:val="24"/>
          <w:highlight w:val="none"/>
        </w:rPr>
        <w:t>证明</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w:t>
      </w:r>
      <w:bookmarkEnd w:id="94"/>
      <w:bookmarkEnd w:id="95"/>
    </w:p>
    <w:p w14:paraId="173D2EBC">
      <w:pPr>
        <w:rPr>
          <w:rFonts w:hint="eastAsia" w:ascii="宋体" w:hAnsi="宋体" w:eastAsia="宋体" w:cs="宋体"/>
          <w:b/>
          <w:color w:val="auto"/>
          <w:sz w:val="24"/>
          <w:highlight w:val="none"/>
        </w:rPr>
      </w:pPr>
    </w:p>
    <w:p w14:paraId="3F9532AA">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eastAsia" w:ascii="宋体" w:hAnsi="宋体" w:eastAsia="宋体" w:cs="宋体"/>
          <w:b w:val="0"/>
          <w:bCs/>
          <w:color w:val="auto"/>
          <w:kern w:val="2"/>
          <w:sz w:val="24"/>
          <w:highlight w:val="none"/>
          <w:lang w:val="en-US" w:eastAsia="zh-CN" w:bidi="ar-SA"/>
        </w:rPr>
      </w:pPr>
      <w:r>
        <w:rPr>
          <w:rFonts w:hint="eastAsia" w:ascii="宋体" w:hAnsi="宋体" w:eastAsia="宋体" w:cs="宋体"/>
          <w:b/>
          <w:color w:val="auto"/>
          <w:sz w:val="24"/>
          <w:highlight w:val="none"/>
          <w:lang w:val="en-US" w:eastAsia="zh-CN"/>
        </w:rPr>
        <w:br w:type="page"/>
      </w:r>
    </w:p>
    <w:p w14:paraId="2226FD4F">
      <w:pPr>
        <w:spacing w:line="360" w:lineRule="auto"/>
        <w:jc w:val="center"/>
        <w:outlineLvl w:val="1"/>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五、其他技术响应证明材料</w:t>
      </w:r>
    </w:p>
    <w:p w14:paraId="7FB0A574">
      <w:pPr>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如有，</w:t>
      </w:r>
      <w:r>
        <w:rPr>
          <w:rFonts w:hint="eastAsia" w:ascii="宋体" w:hAnsi="宋体" w:eastAsia="宋体" w:cs="宋体"/>
          <w:color w:val="auto"/>
          <w:sz w:val="24"/>
          <w:highlight w:val="none"/>
        </w:rPr>
        <w:t>提供符合</w:t>
      </w:r>
      <w:r>
        <w:rPr>
          <w:rFonts w:hint="eastAsia" w:ascii="宋体" w:hAnsi="宋体" w:eastAsia="宋体" w:cs="宋体"/>
          <w:color w:val="auto"/>
          <w:sz w:val="24"/>
          <w:highlight w:val="none"/>
          <w:lang w:val="en-US" w:eastAsia="zh-CN"/>
        </w:rPr>
        <w:t>谈判文件要求的其他技术响应</w:t>
      </w:r>
      <w:r>
        <w:rPr>
          <w:rFonts w:hint="eastAsia" w:ascii="宋体" w:hAnsi="宋体" w:eastAsia="宋体" w:cs="宋体"/>
          <w:color w:val="auto"/>
          <w:sz w:val="24"/>
          <w:highlight w:val="none"/>
        </w:rPr>
        <w:t>证明</w:t>
      </w:r>
      <w:r>
        <w:rPr>
          <w:rFonts w:hint="eastAsia" w:ascii="宋体" w:hAnsi="宋体" w:eastAsia="宋体" w:cs="宋体"/>
          <w:color w:val="auto"/>
          <w:sz w:val="24"/>
          <w:highlight w:val="none"/>
          <w:lang w:val="en-US" w:eastAsia="zh-CN"/>
        </w:rPr>
        <w:t>材料</w:t>
      </w:r>
      <w:r>
        <w:rPr>
          <w:rFonts w:hint="eastAsia" w:ascii="宋体" w:hAnsi="宋体" w:eastAsia="宋体" w:cs="宋体"/>
          <w:color w:val="auto"/>
          <w:sz w:val="24"/>
          <w:highlight w:val="none"/>
          <w:lang w:eastAsia="zh-CN"/>
        </w:rPr>
        <w:t>）</w:t>
      </w:r>
    </w:p>
    <w:p w14:paraId="1C168E4F">
      <w:pPr>
        <w:rPr>
          <w:rFonts w:hint="eastAsia" w:ascii="宋体" w:hAnsi="宋体" w:eastAsia="宋体" w:cs="宋体"/>
          <w:b/>
          <w:color w:val="auto"/>
          <w:sz w:val="24"/>
          <w:highlight w:val="none"/>
        </w:rPr>
      </w:pPr>
    </w:p>
    <w:p w14:paraId="65543C3E">
      <w:pPr>
        <w:spacing w:line="360" w:lineRule="auto"/>
        <w:jc w:val="center"/>
        <w:outlineLvl w:val="1"/>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br w:type="page"/>
      </w:r>
      <w:bookmarkEnd w:id="88"/>
      <w:bookmarkEnd w:id="89"/>
      <w:r>
        <w:rPr>
          <w:rFonts w:hint="eastAsia" w:ascii="宋体" w:hAnsi="宋体" w:eastAsia="宋体" w:cs="宋体"/>
          <w:b/>
          <w:color w:val="auto"/>
          <w:sz w:val="24"/>
          <w:highlight w:val="none"/>
          <w:lang w:val="en-US" w:eastAsia="zh-CN"/>
        </w:rPr>
        <w:t>六、报价表</w:t>
      </w:r>
    </w:p>
    <w:p w14:paraId="74192942">
      <w:pPr>
        <w:numPr>
          <w:ilvl w:val="0"/>
          <w:numId w:val="0"/>
        </w:numPr>
        <w:spacing w:line="360" w:lineRule="auto"/>
        <w:jc w:val="both"/>
        <w:outlineLvl w:val="9"/>
        <w:rPr>
          <w:rFonts w:hint="eastAsia" w:ascii="宋体" w:hAnsi="宋体" w:eastAsia="宋体" w:cs="宋体"/>
          <w:b/>
          <w:color w:val="auto"/>
          <w:sz w:val="24"/>
          <w:highlight w:val="none"/>
          <w:lang w:val="en-US" w:eastAsia="zh-CN"/>
        </w:rPr>
      </w:pP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9"/>
        <w:gridCol w:w="6063"/>
      </w:tblGrid>
      <w:tr w14:paraId="409AF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noWrap w:val="0"/>
            <w:vAlign w:val="center"/>
          </w:tcPr>
          <w:p w14:paraId="610A976F">
            <w:pPr>
              <w:keepNext w:val="0"/>
              <w:keepLines w:val="0"/>
              <w:pageBreakBefore w:val="0"/>
              <w:kinsoku/>
              <w:wordWrap/>
              <w:overflowPunct/>
              <w:topLinePunct w:val="0"/>
              <w:autoSpaceDE/>
              <w:autoSpaceDN/>
              <w:bidi w:val="0"/>
              <w:adjustRightInd/>
              <w:spacing w:line="480" w:lineRule="exact"/>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供应商名称</w:t>
            </w:r>
          </w:p>
        </w:tc>
        <w:tc>
          <w:tcPr>
            <w:tcW w:w="3557" w:type="pct"/>
            <w:tcBorders>
              <w:left w:val="single" w:color="auto" w:sz="4" w:space="0"/>
            </w:tcBorders>
            <w:noWrap w:val="0"/>
            <w:vAlign w:val="center"/>
          </w:tcPr>
          <w:p w14:paraId="025A5C61">
            <w:pPr>
              <w:keepNext w:val="0"/>
              <w:keepLines w:val="0"/>
              <w:pageBreakBefore w:val="0"/>
              <w:kinsoku/>
              <w:wordWrap/>
              <w:overflowPunct/>
              <w:topLinePunct w:val="0"/>
              <w:autoSpaceDE/>
              <w:autoSpaceDN/>
              <w:bidi w:val="0"/>
              <w:adjustRightInd/>
              <w:spacing w:line="480" w:lineRule="exact"/>
              <w:textAlignment w:val="auto"/>
              <w:rPr>
                <w:rFonts w:hint="eastAsia" w:ascii="宋体" w:hAnsi="宋体" w:eastAsia="宋体" w:cs="宋体"/>
                <w:b/>
                <w:color w:val="auto"/>
                <w:sz w:val="24"/>
                <w:highlight w:val="none"/>
              </w:rPr>
            </w:pPr>
          </w:p>
        </w:tc>
      </w:tr>
      <w:tr w14:paraId="7E801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noWrap w:val="0"/>
            <w:vAlign w:val="center"/>
          </w:tcPr>
          <w:p w14:paraId="26B0EB2A">
            <w:pPr>
              <w:keepNext w:val="0"/>
              <w:keepLines w:val="0"/>
              <w:pageBreakBefore w:val="0"/>
              <w:kinsoku/>
              <w:wordWrap/>
              <w:overflowPunct/>
              <w:topLinePunct w:val="0"/>
              <w:autoSpaceDE/>
              <w:autoSpaceDN/>
              <w:bidi w:val="0"/>
              <w:adjustRightInd/>
              <w:spacing w:line="480" w:lineRule="exact"/>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lang w:eastAsia="zh-CN"/>
              </w:rPr>
              <w:t>谈判</w:t>
            </w:r>
            <w:r>
              <w:rPr>
                <w:rFonts w:hint="eastAsia" w:ascii="宋体" w:hAnsi="宋体" w:eastAsia="宋体" w:cs="宋体"/>
                <w:b/>
                <w:color w:val="auto"/>
                <w:sz w:val="24"/>
                <w:highlight w:val="none"/>
              </w:rPr>
              <w:t>范围</w:t>
            </w:r>
          </w:p>
        </w:tc>
        <w:tc>
          <w:tcPr>
            <w:tcW w:w="3557" w:type="pct"/>
            <w:tcBorders>
              <w:left w:val="single" w:color="auto" w:sz="4" w:space="0"/>
            </w:tcBorders>
            <w:noWrap w:val="0"/>
            <w:vAlign w:val="center"/>
          </w:tcPr>
          <w:p w14:paraId="393CFD24">
            <w:pPr>
              <w:keepNext w:val="0"/>
              <w:keepLines w:val="0"/>
              <w:pageBreakBefore w:val="0"/>
              <w:widowControl/>
              <w:kinsoku/>
              <w:wordWrap/>
              <w:overflowPunct/>
              <w:topLinePunct w:val="0"/>
              <w:autoSpaceDE/>
              <w:autoSpaceDN/>
              <w:bidi w:val="0"/>
              <w:adjustRightInd/>
              <w:spacing w:line="480" w:lineRule="exact"/>
              <w:textAlignment w:val="auto"/>
              <w:rPr>
                <w:rFonts w:hint="eastAsia" w:ascii="宋体" w:hAnsi="宋体" w:eastAsia="宋体" w:cs="宋体"/>
                <w:b/>
                <w:color w:val="auto"/>
                <w:sz w:val="24"/>
                <w:highlight w:val="none"/>
              </w:rPr>
            </w:pPr>
            <w:r>
              <w:rPr>
                <w:rFonts w:hint="eastAsia" w:ascii="宋体" w:hAnsi="宋体" w:eastAsia="宋体" w:cs="宋体"/>
                <w:color w:val="auto"/>
                <w:sz w:val="24"/>
                <w:szCs w:val="28"/>
                <w:highlight w:val="none"/>
              </w:rPr>
              <w:t>全部 / 第</w:t>
            </w:r>
            <w:r>
              <w:rPr>
                <w:rFonts w:hint="eastAsia" w:ascii="宋体" w:hAnsi="宋体" w:eastAsia="宋体" w:cs="宋体"/>
                <w:color w:val="auto"/>
                <w:sz w:val="24"/>
                <w:szCs w:val="28"/>
                <w:highlight w:val="none"/>
                <w:u w:val="single"/>
              </w:rPr>
              <w:t xml:space="preserve">   </w:t>
            </w:r>
            <w:r>
              <w:rPr>
                <w:rFonts w:hint="eastAsia" w:ascii="宋体" w:hAnsi="宋体" w:eastAsia="宋体" w:cs="宋体"/>
                <w:color w:val="auto"/>
                <w:sz w:val="24"/>
                <w:szCs w:val="28"/>
                <w:highlight w:val="none"/>
              </w:rPr>
              <w:t>包</w:t>
            </w:r>
          </w:p>
        </w:tc>
      </w:tr>
      <w:tr w14:paraId="66150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noWrap w:val="0"/>
            <w:vAlign w:val="center"/>
          </w:tcPr>
          <w:p w14:paraId="1577B16C">
            <w:pPr>
              <w:keepNext w:val="0"/>
              <w:keepLines w:val="0"/>
              <w:pageBreakBefore w:val="0"/>
              <w:kinsoku/>
              <w:wordWrap/>
              <w:overflowPunct/>
              <w:topLinePunct w:val="0"/>
              <w:autoSpaceDE/>
              <w:autoSpaceDN/>
              <w:bidi w:val="0"/>
              <w:adjustRightInd/>
              <w:spacing w:line="480" w:lineRule="exact"/>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报价</w:t>
            </w:r>
          </w:p>
          <w:p w14:paraId="26F1DA54">
            <w:pPr>
              <w:keepNext w:val="0"/>
              <w:keepLines w:val="0"/>
              <w:pageBreakBefore w:val="0"/>
              <w:kinsoku/>
              <w:wordWrap/>
              <w:overflowPunct/>
              <w:topLinePunct w:val="0"/>
              <w:autoSpaceDE/>
              <w:autoSpaceDN/>
              <w:bidi w:val="0"/>
              <w:adjustRightInd/>
              <w:spacing w:line="480" w:lineRule="exact"/>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（详见备注说明）</w:t>
            </w:r>
          </w:p>
        </w:tc>
        <w:tc>
          <w:tcPr>
            <w:tcW w:w="3557" w:type="pct"/>
            <w:noWrap w:val="0"/>
            <w:vAlign w:val="center"/>
          </w:tcPr>
          <w:p w14:paraId="575B94AB">
            <w:pPr>
              <w:keepNext w:val="0"/>
              <w:keepLines w:val="0"/>
              <w:pageBreakBefore w:val="0"/>
              <w:kinsoku/>
              <w:wordWrap/>
              <w:overflowPunct/>
              <w:topLinePunct w:val="0"/>
              <w:autoSpaceDE/>
              <w:autoSpaceDN/>
              <w:bidi w:val="0"/>
              <w:adjustRightInd/>
              <w:snapToGrid w:val="0"/>
              <w:spacing w:line="480" w:lineRule="exact"/>
              <w:textAlignment w:val="auto"/>
              <w:rPr>
                <w:rFonts w:hint="eastAsia" w:ascii="宋体" w:hAnsi="宋体" w:eastAsia="宋体" w:cs="宋体"/>
                <w:color w:val="auto"/>
                <w:sz w:val="24"/>
                <w:szCs w:val="28"/>
                <w:highlight w:val="none"/>
              </w:rPr>
            </w:pPr>
          </w:p>
          <w:p w14:paraId="41147360">
            <w:pPr>
              <w:keepNext w:val="0"/>
              <w:keepLines w:val="0"/>
              <w:pageBreakBefore w:val="0"/>
              <w:kinsoku/>
              <w:wordWrap/>
              <w:overflowPunct/>
              <w:topLinePunct w:val="0"/>
              <w:autoSpaceDE/>
              <w:autoSpaceDN/>
              <w:bidi w:val="0"/>
              <w:adjustRightInd/>
              <w:snapToGrid w:val="0"/>
              <w:spacing w:line="480" w:lineRule="exact"/>
              <w:jc w:val="left"/>
              <w:textAlignment w:val="auto"/>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u w:val="single"/>
              </w:rPr>
              <w:t xml:space="preserve">                     </w:t>
            </w:r>
          </w:p>
          <w:p w14:paraId="6E0B3BFD">
            <w:pPr>
              <w:keepNext w:val="0"/>
              <w:keepLines w:val="0"/>
              <w:pageBreakBefore w:val="0"/>
              <w:kinsoku/>
              <w:wordWrap/>
              <w:overflowPunct/>
              <w:topLinePunct w:val="0"/>
              <w:autoSpaceDE/>
              <w:autoSpaceDN/>
              <w:bidi w:val="0"/>
              <w:adjustRightInd/>
              <w:spacing w:line="480" w:lineRule="exact"/>
              <w:ind w:right="-670"/>
              <w:textAlignment w:val="auto"/>
              <w:rPr>
                <w:rFonts w:hint="eastAsia" w:ascii="宋体" w:hAnsi="宋体" w:eastAsia="宋体" w:cs="宋体"/>
                <w:color w:val="auto"/>
                <w:sz w:val="24"/>
                <w:highlight w:val="none"/>
              </w:rPr>
            </w:pP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                     </w:t>
            </w:r>
          </w:p>
          <w:p w14:paraId="633136C2">
            <w:pPr>
              <w:keepNext w:val="0"/>
              <w:keepLines w:val="0"/>
              <w:pageBreakBefore w:val="0"/>
              <w:kinsoku/>
              <w:wordWrap/>
              <w:overflowPunct/>
              <w:topLinePunct w:val="0"/>
              <w:autoSpaceDE/>
              <w:autoSpaceDN/>
              <w:bidi w:val="0"/>
              <w:adjustRightInd/>
              <w:snapToGrid w:val="0"/>
              <w:spacing w:line="480" w:lineRule="exact"/>
              <w:textAlignment w:val="auto"/>
              <w:rPr>
                <w:rFonts w:hint="eastAsia" w:ascii="宋体" w:hAnsi="宋体" w:eastAsia="宋体" w:cs="宋体"/>
                <w:b/>
                <w:color w:val="auto"/>
                <w:sz w:val="24"/>
                <w:highlight w:val="none"/>
              </w:rPr>
            </w:pPr>
          </w:p>
        </w:tc>
      </w:tr>
      <w:tr w14:paraId="23BAB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7" w:hRule="atLeast"/>
          <w:jc w:val="center"/>
        </w:trPr>
        <w:tc>
          <w:tcPr>
            <w:tcW w:w="1443" w:type="pct"/>
            <w:noWrap w:val="0"/>
            <w:vAlign w:val="center"/>
          </w:tcPr>
          <w:p w14:paraId="684F4AAB">
            <w:pPr>
              <w:keepNext w:val="0"/>
              <w:keepLines w:val="0"/>
              <w:pageBreakBefore w:val="0"/>
              <w:kinsoku/>
              <w:wordWrap/>
              <w:overflowPunct/>
              <w:topLinePunct w:val="0"/>
              <w:autoSpaceDE/>
              <w:autoSpaceDN/>
              <w:bidi w:val="0"/>
              <w:adjustRightInd/>
              <w:spacing w:line="480" w:lineRule="exact"/>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备注说明</w:t>
            </w:r>
          </w:p>
        </w:tc>
        <w:tc>
          <w:tcPr>
            <w:tcW w:w="3557" w:type="pct"/>
            <w:noWrap w:val="0"/>
            <w:vAlign w:val="center"/>
          </w:tcPr>
          <w:p w14:paraId="4F349730">
            <w:pPr>
              <w:keepNext w:val="0"/>
              <w:keepLines w:val="0"/>
              <w:pageBreakBefore w:val="0"/>
              <w:kinsoku/>
              <w:wordWrap/>
              <w:overflowPunct/>
              <w:topLinePunct w:val="0"/>
              <w:autoSpaceDE/>
              <w:autoSpaceDN/>
              <w:bidi w:val="0"/>
              <w:adjustRightInd/>
              <w:spacing w:line="480" w:lineRule="exact"/>
              <w:textAlignment w:val="auto"/>
              <w:rPr>
                <w:rFonts w:hint="eastAsia" w:ascii="宋体" w:hAnsi="宋体" w:eastAsia="宋体" w:cs="宋体"/>
                <w:b/>
                <w:color w:val="auto"/>
                <w:sz w:val="24"/>
                <w:highlight w:val="none"/>
              </w:rPr>
            </w:pPr>
          </w:p>
        </w:tc>
      </w:tr>
    </w:tbl>
    <w:p w14:paraId="32E3A6D8">
      <w:pPr>
        <w:spacing w:line="360" w:lineRule="auto"/>
        <w:ind w:firstLine="4800" w:firstLineChars="2000"/>
        <w:rPr>
          <w:rFonts w:hint="eastAsia" w:ascii="宋体" w:hAnsi="宋体" w:eastAsia="宋体" w:cs="宋体"/>
          <w:color w:val="auto"/>
          <w:sz w:val="24"/>
          <w:highlight w:val="none"/>
        </w:rPr>
      </w:pPr>
    </w:p>
    <w:p w14:paraId="6E8588FB">
      <w:pPr>
        <w:spacing w:line="360" w:lineRule="auto"/>
        <w:ind w:firstLine="4800" w:firstLineChars="2000"/>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供应商电子签章：</w:t>
      </w:r>
      <w:r>
        <w:rPr>
          <w:rFonts w:hint="eastAsia" w:ascii="宋体" w:hAnsi="宋体" w:eastAsia="宋体" w:cs="宋体"/>
          <w:color w:val="auto"/>
          <w:sz w:val="24"/>
          <w:highlight w:val="none"/>
          <w:u w:val="single"/>
        </w:rPr>
        <w:t xml:space="preserve">             </w:t>
      </w:r>
    </w:p>
    <w:p w14:paraId="16F71345">
      <w:pPr>
        <w:spacing w:line="360" w:lineRule="auto"/>
        <w:ind w:firstLine="4800" w:firstLineChars="20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p>
    <w:p w14:paraId="7428156A">
      <w:pPr>
        <w:adjustRightInd w:val="0"/>
        <w:snapToGrid w:val="0"/>
        <w:spacing w:line="360" w:lineRule="auto"/>
        <w:rPr>
          <w:rFonts w:hint="eastAsia" w:ascii="宋体" w:hAnsi="宋体" w:eastAsia="宋体" w:cs="宋体"/>
          <w:b/>
          <w:bCs/>
          <w:color w:val="auto"/>
          <w:sz w:val="24"/>
          <w:szCs w:val="28"/>
          <w:highlight w:val="none"/>
        </w:rPr>
      </w:pPr>
    </w:p>
    <w:p w14:paraId="7AE31993">
      <w:pPr>
        <w:adjustRightInd w:val="0"/>
        <w:snapToGrid w:val="0"/>
        <w:spacing w:line="360" w:lineRule="auto"/>
        <w:rPr>
          <w:rFonts w:hint="eastAsia" w:ascii="宋体" w:hAnsi="宋体" w:eastAsia="宋体" w:cs="宋体"/>
          <w:b/>
          <w:bCs/>
          <w:color w:val="auto"/>
          <w:sz w:val="24"/>
          <w:szCs w:val="28"/>
          <w:highlight w:val="none"/>
        </w:rPr>
      </w:pPr>
      <w:r>
        <w:rPr>
          <w:rFonts w:hint="eastAsia" w:ascii="宋体" w:hAnsi="宋体" w:eastAsia="宋体" w:cs="宋体"/>
          <w:b/>
          <w:bCs/>
          <w:color w:val="auto"/>
          <w:sz w:val="24"/>
          <w:szCs w:val="28"/>
          <w:highlight w:val="none"/>
        </w:rPr>
        <w:t>注：</w:t>
      </w:r>
    </w:p>
    <w:p w14:paraId="15FD2895">
      <w:pPr>
        <w:adjustRightInd w:val="0"/>
        <w:snapToGrid w:val="0"/>
        <w:spacing w:line="360" w:lineRule="auto"/>
        <w:ind w:firstLine="480" w:firstLineChars="200"/>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szCs w:val="28"/>
          <w:highlight w:val="none"/>
        </w:rPr>
        <w:t>1.本表内容根据</w:t>
      </w:r>
      <w:r>
        <w:rPr>
          <w:rFonts w:hint="eastAsia" w:ascii="宋体" w:hAnsi="宋体" w:eastAsia="宋体" w:cs="宋体"/>
          <w:b w:val="0"/>
          <w:bCs w:val="0"/>
          <w:color w:val="auto"/>
          <w:sz w:val="24"/>
          <w:szCs w:val="28"/>
          <w:highlight w:val="none"/>
          <w:lang w:eastAsia="zh-CN"/>
        </w:rPr>
        <w:t>谈判</w:t>
      </w:r>
      <w:r>
        <w:rPr>
          <w:rFonts w:hint="eastAsia" w:ascii="宋体" w:hAnsi="宋体" w:eastAsia="宋体" w:cs="宋体"/>
          <w:b w:val="0"/>
          <w:bCs w:val="0"/>
          <w:color w:val="auto"/>
          <w:sz w:val="24"/>
          <w:szCs w:val="28"/>
          <w:highlight w:val="none"/>
        </w:rPr>
        <w:t>文件要求包括了</w:t>
      </w:r>
      <w:r>
        <w:rPr>
          <w:rFonts w:hint="eastAsia" w:ascii="宋体" w:hAnsi="宋体" w:eastAsia="宋体" w:cs="宋体"/>
          <w:b w:val="0"/>
          <w:bCs w:val="0"/>
          <w:color w:val="auto"/>
          <w:sz w:val="24"/>
          <w:szCs w:val="28"/>
          <w:highlight w:val="none"/>
          <w:lang w:val="en-US" w:eastAsia="zh-CN"/>
        </w:rPr>
        <w:t>货物</w:t>
      </w:r>
      <w:r>
        <w:rPr>
          <w:rFonts w:hint="eastAsia" w:ascii="宋体" w:hAnsi="宋体" w:eastAsia="宋体" w:cs="宋体"/>
          <w:b w:val="0"/>
          <w:bCs w:val="0"/>
          <w:color w:val="auto"/>
          <w:sz w:val="24"/>
          <w:szCs w:val="28"/>
          <w:highlight w:val="none"/>
        </w:rPr>
        <w:t>及其配套的设计、采购、制造、试验、运输、保险、仓储、税费以及现场落地、安装及安装耗损、调试、培训、技术服务（包括技术资料、图纸的提供）质保期内的售后服务保障等所有费用。</w:t>
      </w:r>
    </w:p>
    <w:p w14:paraId="426BEB73">
      <w:pPr>
        <w:adjustRightInd w:val="0"/>
        <w:snapToGrid w:val="0"/>
        <w:spacing w:line="360" w:lineRule="auto"/>
        <w:ind w:firstLine="480" w:firstLineChars="200"/>
        <w:rPr>
          <w:rFonts w:hint="eastAsia" w:ascii="宋体" w:hAnsi="宋体" w:eastAsia="宋体" w:cs="宋体"/>
          <w:b w:val="0"/>
          <w:bCs w:val="0"/>
          <w:color w:val="auto"/>
          <w:sz w:val="24"/>
          <w:szCs w:val="28"/>
          <w:highlight w:val="none"/>
        </w:rPr>
      </w:pPr>
      <w:r>
        <w:rPr>
          <w:rFonts w:hint="eastAsia" w:ascii="宋体" w:hAnsi="宋体" w:eastAsia="宋体" w:cs="宋体"/>
          <w:b w:val="0"/>
          <w:bCs w:val="0"/>
          <w:color w:val="auto"/>
          <w:sz w:val="24"/>
          <w:szCs w:val="28"/>
          <w:highlight w:val="none"/>
        </w:rPr>
        <w:t>2.特殊事项在备注中注明。</w:t>
      </w:r>
    </w:p>
    <w:p w14:paraId="0899C2E2">
      <w:pPr>
        <w:adjustRightInd w:val="0"/>
        <w:snapToGrid w:val="0"/>
        <w:spacing w:line="360" w:lineRule="auto"/>
        <w:ind w:firstLine="480" w:firstLineChars="200"/>
        <w:rPr>
          <w:rFonts w:hint="eastAsia" w:ascii="宋体" w:hAnsi="宋体" w:eastAsia="宋体" w:cs="宋体"/>
          <w:b w:val="0"/>
          <w:bCs w:val="0"/>
          <w:color w:val="auto"/>
          <w:sz w:val="24"/>
          <w:szCs w:val="28"/>
          <w:highlight w:val="none"/>
        </w:rPr>
      </w:pPr>
      <w:r>
        <w:rPr>
          <w:rFonts w:hint="eastAsia" w:ascii="宋体" w:hAnsi="宋体" w:eastAsia="宋体" w:cs="宋体"/>
          <w:b w:val="0"/>
          <w:bCs w:val="0"/>
          <w:color w:val="auto"/>
          <w:sz w:val="24"/>
          <w:szCs w:val="28"/>
          <w:highlight w:val="none"/>
        </w:rPr>
        <w:t>3.表中大写金额与小写金额不一致的，以大写金额为准。</w:t>
      </w:r>
    </w:p>
    <w:p w14:paraId="7EF9EC91">
      <w:pPr>
        <w:spacing w:line="360" w:lineRule="auto"/>
        <w:jc w:val="center"/>
        <w:outlineLvl w:val="1"/>
        <w:rPr>
          <w:rFonts w:hint="eastAsia" w:ascii="宋体" w:hAnsi="宋体" w:eastAsia="宋体" w:cs="宋体"/>
          <w:b/>
          <w:color w:val="auto"/>
          <w:sz w:val="24"/>
          <w:highlight w:val="none"/>
          <w:lang w:val="en-US" w:eastAsia="zh-CN"/>
        </w:rPr>
      </w:pPr>
      <w:r>
        <w:rPr>
          <w:rFonts w:hint="eastAsia" w:ascii="宋体" w:hAnsi="宋体" w:eastAsia="宋体" w:cs="宋体"/>
          <w:color w:val="auto"/>
          <w:sz w:val="24"/>
          <w:highlight w:val="none"/>
        </w:rPr>
        <w:br w:type="page"/>
      </w:r>
      <w:bookmarkStart w:id="96" w:name="_Toc31027"/>
      <w:bookmarkStart w:id="97" w:name="_Toc32226"/>
      <w:r>
        <w:rPr>
          <w:rFonts w:hint="eastAsia" w:ascii="宋体" w:hAnsi="宋体" w:eastAsia="宋体" w:cs="宋体"/>
          <w:b/>
          <w:color w:val="auto"/>
          <w:sz w:val="24"/>
          <w:highlight w:val="none"/>
          <w:lang w:val="en-US" w:eastAsia="zh-CN"/>
        </w:rPr>
        <w:t>七、</w:t>
      </w:r>
      <w:bookmarkEnd w:id="96"/>
      <w:bookmarkEnd w:id="97"/>
      <w:r>
        <w:rPr>
          <w:rFonts w:hint="eastAsia" w:ascii="宋体" w:hAnsi="宋体" w:eastAsia="宋体" w:cs="宋体"/>
          <w:b/>
          <w:color w:val="auto"/>
          <w:sz w:val="24"/>
          <w:highlight w:val="none"/>
          <w:lang w:val="en-US" w:eastAsia="zh-CN"/>
        </w:rPr>
        <w:t>分项报价明细表</w:t>
      </w:r>
    </w:p>
    <w:tbl>
      <w:tblPr>
        <w:tblStyle w:val="15"/>
        <w:tblW w:w="516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
        <w:gridCol w:w="1248"/>
        <w:gridCol w:w="1130"/>
        <w:gridCol w:w="1529"/>
        <w:gridCol w:w="646"/>
        <w:gridCol w:w="757"/>
        <w:gridCol w:w="839"/>
        <w:gridCol w:w="938"/>
        <w:gridCol w:w="814"/>
      </w:tblGrid>
      <w:tr w14:paraId="431E9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23" w:hRule="atLeast"/>
          <w:jc w:val="center"/>
        </w:trPr>
        <w:tc>
          <w:tcPr>
            <w:tcW w:w="508" w:type="pct"/>
            <w:vAlign w:val="center"/>
          </w:tcPr>
          <w:p w14:paraId="28A8C3A4">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textAlignment w:val="auto"/>
              <w:rPr>
                <w:rFonts w:hint="eastAsia" w:ascii="宋体" w:hAnsi="宋体" w:eastAsia="宋体" w:cs="宋体"/>
                <w:bCs w:val="0"/>
                <w:color w:val="auto"/>
                <w:kern w:val="2"/>
                <w:sz w:val="24"/>
                <w:szCs w:val="20"/>
                <w:highlight w:val="none"/>
              </w:rPr>
            </w:pPr>
            <w:r>
              <w:rPr>
                <w:rFonts w:hint="eastAsia" w:ascii="宋体" w:hAnsi="宋体" w:eastAsia="宋体" w:cs="宋体"/>
                <w:bCs w:val="0"/>
                <w:color w:val="auto"/>
                <w:kern w:val="2"/>
                <w:sz w:val="24"/>
                <w:szCs w:val="20"/>
                <w:highlight w:val="none"/>
              </w:rPr>
              <w:t>序号</w:t>
            </w:r>
          </w:p>
        </w:tc>
        <w:tc>
          <w:tcPr>
            <w:tcW w:w="709" w:type="pct"/>
            <w:vAlign w:val="center"/>
          </w:tcPr>
          <w:p w14:paraId="43B0DB2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货物名称</w:t>
            </w:r>
          </w:p>
        </w:tc>
        <w:tc>
          <w:tcPr>
            <w:tcW w:w="642" w:type="pct"/>
            <w:vAlign w:val="center"/>
          </w:tcPr>
          <w:p w14:paraId="25250C9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品牌、型</w:t>
            </w:r>
          </w:p>
          <w:p w14:paraId="3262E0F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号</w:t>
            </w:r>
          </w:p>
        </w:tc>
        <w:tc>
          <w:tcPr>
            <w:tcW w:w="869" w:type="pct"/>
            <w:vAlign w:val="center"/>
          </w:tcPr>
          <w:p w14:paraId="5B8D2F6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原产地及</w:t>
            </w:r>
          </w:p>
          <w:p w14:paraId="71CB54D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生产厂商</w:t>
            </w:r>
          </w:p>
        </w:tc>
        <w:tc>
          <w:tcPr>
            <w:tcW w:w="367" w:type="pct"/>
            <w:vAlign w:val="center"/>
          </w:tcPr>
          <w:p w14:paraId="2DC6F82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单位</w:t>
            </w:r>
          </w:p>
        </w:tc>
        <w:tc>
          <w:tcPr>
            <w:tcW w:w="430" w:type="pct"/>
            <w:vAlign w:val="center"/>
          </w:tcPr>
          <w:p w14:paraId="1CD3045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数量</w:t>
            </w:r>
          </w:p>
        </w:tc>
        <w:tc>
          <w:tcPr>
            <w:tcW w:w="476" w:type="pct"/>
            <w:vAlign w:val="center"/>
          </w:tcPr>
          <w:p w14:paraId="54D793B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单价</w:t>
            </w:r>
          </w:p>
          <w:p w14:paraId="4DF57C9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（元）</w:t>
            </w:r>
          </w:p>
        </w:tc>
        <w:tc>
          <w:tcPr>
            <w:tcW w:w="533" w:type="pct"/>
            <w:vAlign w:val="center"/>
          </w:tcPr>
          <w:p w14:paraId="037537F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小计</w:t>
            </w:r>
          </w:p>
          <w:p w14:paraId="588EE99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（元）</w:t>
            </w:r>
          </w:p>
        </w:tc>
        <w:tc>
          <w:tcPr>
            <w:tcW w:w="462" w:type="pct"/>
            <w:vAlign w:val="center"/>
          </w:tcPr>
          <w:p w14:paraId="4B11748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备注</w:t>
            </w:r>
          </w:p>
        </w:tc>
      </w:tr>
      <w:tr w14:paraId="44586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508" w:type="pct"/>
            <w:tcBorders>
              <w:bottom w:val="single" w:color="auto" w:sz="4" w:space="0"/>
            </w:tcBorders>
            <w:vAlign w:val="center"/>
          </w:tcPr>
          <w:p w14:paraId="74B9552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709" w:type="pct"/>
            <w:vAlign w:val="center"/>
          </w:tcPr>
          <w:p w14:paraId="4DCAD76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642" w:type="pct"/>
            <w:vAlign w:val="center"/>
          </w:tcPr>
          <w:p w14:paraId="149CFEA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869" w:type="pct"/>
            <w:vAlign w:val="center"/>
          </w:tcPr>
          <w:p w14:paraId="4B5B3C9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367" w:type="pct"/>
            <w:vAlign w:val="center"/>
          </w:tcPr>
          <w:p w14:paraId="282825F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430" w:type="pct"/>
            <w:vAlign w:val="center"/>
          </w:tcPr>
          <w:p w14:paraId="7DE529B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476" w:type="pct"/>
            <w:vAlign w:val="center"/>
          </w:tcPr>
          <w:p w14:paraId="09CE1BA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533" w:type="pct"/>
            <w:vAlign w:val="center"/>
          </w:tcPr>
          <w:p w14:paraId="36E37BF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462" w:type="pct"/>
            <w:vAlign w:val="center"/>
          </w:tcPr>
          <w:p w14:paraId="6FBEBC4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r>
      <w:tr w14:paraId="58F12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508" w:type="pct"/>
            <w:vAlign w:val="center"/>
          </w:tcPr>
          <w:p w14:paraId="56EBE7D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p>
        </w:tc>
        <w:tc>
          <w:tcPr>
            <w:tcW w:w="709" w:type="pct"/>
            <w:vAlign w:val="center"/>
          </w:tcPr>
          <w:p w14:paraId="43F8E49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642" w:type="pct"/>
            <w:vAlign w:val="center"/>
          </w:tcPr>
          <w:p w14:paraId="70C5B68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869" w:type="pct"/>
            <w:vAlign w:val="center"/>
          </w:tcPr>
          <w:p w14:paraId="4AC5F38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367" w:type="pct"/>
            <w:vAlign w:val="center"/>
          </w:tcPr>
          <w:p w14:paraId="6B8FA44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430" w:type="pct"/>
            <w:vAlign w:val="center"/>
          </w:tcPr>
          <w:p w14:paraId="0329F32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476" w:type="pct"/>
            <w:vAlign w:val="center"/>
          </w:tcPr>
          <w:p w14:paraId="68BBB51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533" w:type="pct"/>
            <w:vAlign w:val="center"/>
          </w:tcPr>
          <w:p w14:paraId="6C76A8C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462" w:type="pct"/>
            <w:vAlign w:val="center"/>
          </w:tcPr>
          <w:p w14:paraId="60A0C15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r>
      <w:tr w14:paraId="7875C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508" w:type="pct"/>
            <w:vAlign w:val="center"/>
          </w:tcPr>
          <w:p w14:paraId="718489B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p>
        </w:tc>
        <w:tc>
          <w:tcPr>
            <w:tcW w:w="709" w:type="pct"/>
            <w:vAlign w:val="center"/>
          </w:tcPr>
          <w:p w14:paraId="7C39DE9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642" w:type="pct"/>
            <w:vAlign w:val="center"/>
          </w:tcPr>
          <w:p w14:paraId="2E8CD8F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869" w:type="pct"/>
            <w:vAlign w:val="center"/>
          </w:tcPr>
          <w:p w14:paraId="34C8743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367" w:type="pct"/>
            <w:vAlign w:val="center"/>
          </w:tcPr>
          <w:p w14:paraId="4AFFFA2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430" w:type="pct"/>
            <w:vAlign w:val="center"/>
          </w:tcPr>
          <w:p w14:paraId="15CE35A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476" w:type="pct"/>
            <w:vAlign w:val="center"/>
          </w:tcPr>
          <w:p w14:paraId="1FB2A62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533" w:type="pct"/>
            <w:vAlign w:val="center"/>
          </w:tcPr>
          <w:p w14:paraId="490696F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462" w:type="pct"/>
            <w:vAlign w:val="center"/>
          </w:tcPr>
          <w:p w14:paraId="4294A64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r>
      <w:tr w14:paraId="7E90A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508" w:type="pct"/>
            <w:vAlign w:val="center"/>
          </w:tcPr>
          <w:p w14:paraId="2878B46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w:t>
            </w:r>
          </w:p>
        </w:tc>
        <w:tc>
          <w:tcPr>
            <w:tcW w:w="709" w:type="pct"/>
            <w:vAlign w:val="center"/>
          </w:tcPr>
          <w:p w14:paraId="00673BD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642" w:type="pct"/>
            <w:vAlign w:val="center"/>
          </w:tcPr>
          <w:p w14:paraId="17791C3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869" w:type="pct"/>
            <w:vAlign w:val="center"/>
          </w:tcPr>
          <w:p w14:paraId="58C241F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367" w:type="pct"/>
            <w:vAlign w:val="center"/>
          </w:tcPr>
          <w:p w14:paraId="3CCF026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430" w:type="pct"/>
            <w:vAlign w:val="center"/>
          </w:tcPr>
          <w:p w14:paraId="0B0D2F8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476" w:type="pct"/>
            <w:vAlign w:val="center"/>
          </w:tcPr>
          <w:p w14:paraId="52F3B83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533" w:type="pct"/>
            <w:vAlign w:val="center"/>
          </w:tcPr>
          <w:p w14:paraId="6A08D77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462" w:type="pct"/>
            <w:vAlign w:val="center"/>
          </w:tcPr>
          <w:p w14:paraId="21370F1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r>
      <w:tr w14:paraId="4BA4D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5000" w:type="pct"/>
            <w:gridSpan w:val="9"/>
            <w:vAlign w:val="center"/>
          </w:tcPr>
          <w:p w14:paraId="2D3FF6D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highlight w:val="none"/>
                <w:lang w:eastAsia="zh-CN"/>
              </w:rPr>
            </w:pPr>
            <w:r>
              <w:rPr>
                <w:rFonts w:hint="eastAsia" w:ascii="宋体" w:hAnsi="宋体" w:eastAsia="宋体" w:cs="宋体"/>
                <w:b/>
                <w:bCs/>
                <w:color w:val="auto"/>
                <w:sz w:val="24"/>
                <w:szCs w:val="22"/>
                <w:highlight w:val="none"/>
              </w:rPr>
              <w:t>其他费用</w:t>
            </w:r>
            <w:r>
              <w:rPr>
                <w:rFonts w:hint="eastAsia" w:ascii="宋体" w:hAnsi="宋体" w:eastAsia="宋体" w:cs="宋体"/>
                <w:b w:val="0"/>
                <w:bCs w:val="0"/>
                <w:color w:val="auto"/>
                <w:sz w:val="24"/>
                <w:szCs w:val="22"/>
                <w:highlight w:val="none"/>
                <w:lang w:eastAsia="zh-CN"/>
              </w:rPr>
              <w:t>（</w:t>
            </w:r>
            <w:r>
              <w:rPr>
                <w:rFonts w:hint="eastAsia" w:ascii="宋体" w:hAnsi="宋体" w:eastAsia="宋体" w:cs="宋体"/>
                <w:b w:val="0"/>
                <w:bCs w:val="0"/>
                <w:color w:val="auto"/>
                <w:sz w:val="24"/>
                <w:szCs w:val="22"/>
                <w:highlight w:val="none"/>
                <w:lang w:val="en-US" w:eastAsia="zh-CN"/>
              </w:rPr>
              <w:t>与货物配套有关服务等，供应商可自行制作格式，如无需可删除</w:t>
            </w:r>
            <w:r>
              <w:rPr>
                <w:rFonts w:hint="eastAsia" w:ascii="宋体" w:hAnsi="宋体" w:eastAsia="宋体" w:cs="宋体"/>
                <w:b w:val="0"/>
                <w:bCs w:val="0"/>
                <w:color w:val="auto"/>
                <w:sz w:val="24"/>
                <w:szCs w:val="22"/>
                <w:highlight w:val="none"/>
                <w:lang w:eastAsia="zh-CN"/>
              </w:rPr>
              <w:t>）</w:t>
            </w:r>
          </w:p>
        </w:tc>
      </w:tr>
      <w:tr w14:paraId="5EB60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508" w:type="pct"/>
            <w:shd w:val="clear" w:color="auto" w:fill="auto"/>
            <w:vAlign w:val="center"/>
          </w:tcPr>
          <w:p w14:paraId="371A7B3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kern w:val="2"/>
                <w:sz w:val="24"/>
                <w:highlight w:val="none"/>
                <w:lang w:val="en-US" w:eastAsia="zh-CN" w:bidi="ar-SA"/>
              </w:rPr>
            </w:pPr>
            <w:r>
              <w:rPr>
                <w:rFonts w:hint="eastAsia" w:ascii="宋体" w:hAnsi="宋体" w:eastAsia="宋体" w:cs="宋体"/>
                <w:b/>
                <w:color w:val="auto"/>
                <w:sz w:val="24"/>
                <w:highlight w:val="none"/>
              </w:rPr>
              <w:t>序号</w:t>
            </w:r>
          </w:p>
        </w:tc>
        <w:tc>
          <w:tcPr>
            <w:tcW w:w="1351" w:type="pct"/>
            <w:gridSpan w:val="2"/>
            <w:shd w:val="clear" w:color="auto" w:fill="auto"/>
            <w:vAlign w:val="center"/>
          </w:tcPr>
          <w:p w14:paraId="4EC7ACB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kern w:val="2"/>
                <w:sz w:val="24"/>
                <w:highlight w:val="none"/>
                <w:lang w:val="en-US" w:eastAsia="zh-CN" w:bidi="ar-SA"/>
              </w:rPr>
            </w:pPr>
            <w:r>
              <w:rPr>
                <w:rFonts w:hint="eastAsia" w:ascii="宋体" w:hAnsi="宋体" w:eastAsia="宋体" w:cs="宋体"/>
                <w:b/>
                <w:color w:val="auto"/>
                <w:sz w:val="24"/>
                <w:highlight w:val="none"/>
                <w:lang w:val="en-US" w:eastAsia="zh-CN"/>
              </w:rPr>
              <w:t>名称</w:t>
            </w:r>
          </w:p>
        </w:tc>
        <w:tc>
          <w:tcPr>
            <w:tcW w:w="869" w:type="pct"/>
            <w:shd w:val="clear" w:color="auto" w:fill="auto"/>
            <w:vAlign w:val="center"/>
          </w:tcPr>
          <w:p w14:paraId="3CC5AE6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kern w:val="2"/>
                <w:sz w:val="24"/>
                <w:highlight w:val="none"/>
                <w:lang w:val="en-US" w:eastAsia="zh-CN" w:bidi="ar-SA"/>
              </w:rPr>
            </w:pPr>
            <w:r>
              <w:rPr>
                <w:rFonts w:hint="eastAsia" w:ascii="宋体" w:hAnsi="宋体" w:eastAsia="宋体" w:cs="宋体"/>
                <w:b/>
                <w:color w:val="auto"/>
                <w:sz w:val="24"/>
                <w:highlight w:val="none"/>
                <w:lang w:val="en-US" w:eastAsia="zh-CN"/>
              </w:rPr>
              <w:t>数量/</w:t>
            </w:r>
            <w:r>
              <w:rPr>
                <w:rFonts w:hint="eastAsia" w:ascii="宋体" w:hAnsi="宋体" w:eastAsia="宋体" w:cs="宋体"/>
                <w:b/>
                <w:color w:val="auto"/>
                <w:sz w:val="24"/>
                <w:highlight w:val="none"/>
              </w:rPr>
              <w:t>项</w:t>
            </w:r>
          </w:p>
        </w:tc>
        <w:tc>
          <w:tcPr>
            <w:tcW w:w="797" w:type="pct"/>
            <w:gridSpan w:val="2"/>
            <w:shd w:val="clear" w:color="auto" w:fill="auto"/>
            <w:vAlign w:val="center"/>
          </w:tcPr>
          <w:p w14:paraId="60C35DB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kern w:val="2"/>
                <w:sz w:val="24"/>
                <w:highlight w:val="none"/>
                <w:lang w:val="en-US" w:eastAsia="zh-CN" w:bidi="ar-SA"/>
              </w:rPr>
            </w:pPr>
            <w:r>
              <w:rPr>
                <w:rFonts w:hint="eastAsia" w:ascii="宋体" w:hAnsi="宋体" w:eastAsia="宋体" w:cs="宋体"/>
                <w:b/>
                <w:color w:val="auto"/>
                <w:sz w:val="24"/>
                <w:highlight w:val="none"/>
              </w:rPr>
              <w:t>单价</w:t>
            </w:r>
            <w:r>
              <w:rPr>
                <w:rFonts w:hint="eastAsia" w:ascii="宋体" w:hAnsi="宋体" w:eastAsia="宋体" w:cs="宋体"/>
                <w:b/>
                <w:color w:val="auto"/>
                <w:sz w:val="24"/>
                <w:highlight w:val="none"/>
                <w:lang w:eastAsia="zh-CN"/>
              </w:rPr>
              <w:t>（</w:t>
            </w:r>
            <w:r>
              <w:rPr>
                <w:rFonts w:hint="eastAsia" w:ascii="宋体" w:hAnsi="宋体" w:eastAsia="宋体" w:cs="宋体"/>
                <w:b/>
                <w:color w:val="auto"/>
                <w:sz w:val="24"/>
                <w:highlight w:val="none"/>
                <w:lang w:val="en-US" w:eastAsia="zh-CN"/>
              </w:rPr>
              <w:t>元</w:t>
            </w:r>
            <w:r>
              <w:rPr>
                <w:rFonts w:hint="eastAsia" w:ascii="宋体" w:hAnsi="宋体" w:eastAsia="宋体" w:cs="宋体"/>
                <w:b/>
                <w:color w:val="auto"/>
                <w:sz w:val="24"/>
                <w:highlight w:val="none"/>
                <w:lang w:eastAsia="zh-CN"/>
              </w:rPr>
              <w:t>）</w:t>
            </w:r>
          </w:p>
        </w:tc>
        <w:tc>
          <w:tcPr>
            <w:tcW w:w="1472" w:type="pct"/>
            <w:gridSpan w:val="3"/>
            <w:shd w:val="clear" w:color="auto" w:fill="auto"/>
            <w:vAlign w:val="center"/>
          </w:tcPr>
          <w:p w14:paraId="07EE3CD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kern w:val="2"/>
                <w:sz w:val="24"/>
                <w:highlight w:val="none"/>
                <w:lang w:val="en-US" w:eastAsia="zh-CN" w:bidi="ar-SA"/>
              </w:rPr>
            </w:pPr>
            <w:r>
              <w:rPr>
                <w:rFonts w:hint="eastAsia" w:ascii="宋体" w:hAnsi="宋体" w:eastAsia="宋体" w:cs="宋体"/>
                <w:b/>
                <w:color w:val="auto"/>
                <w:sz w:val="24"/>
                <w:highlight w:val="none"/>
              </w:rPr>
              <w:t>小计（元）</w:t>
            </w:r>
          </w:p>
        </w:tc>
      </w:tr>
      <w:tr w14:paraId="5839C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508" w:type="pct"/>
            <w:vAlign w:val="center"/>
          </w:tcPr>
          <w:p w14:paraId="6564522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w:t>
            </w:r>
          </w:p>
        </w:tc>
        <w:tc>
          <w:tcPr>
            <w:tcW w:w="1351" w:type="pct"/>
            <w:gridSpan w:val="2"/>
            <w:vAlign w:val="center"/>
          </w:tcPr>
          <w:p w14:paraId="2BE06A4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869" w:type="pct"/>
            <w:vAlign w:val="center"/>
          </w:tcPr>
          <w:p w14:paraId="72BDD2E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797" w:type="pct"/>
            <w:gridSpan w:val="2"/>
            <w:vAlign w:val="center"/>
          </w:tcPr>
          <w:p w14:paraId="544609B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1472" w:type="pct"/>
            <w:gridSpan w:val="3"/>
            <w:vAlign w:val="center"/>
          </w:tcPr>
          <w:p w14:paraId="6213EC9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r>
      <w:tr w14:paraId="3918A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508" w:type="pct"/>
            <w:vAlign w:val="center"/>
          </w:tcPr>
          <w:p w14:paraId="1CB322E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w:t>
            </w:r>
          </w:p>
        </w:tc>
        <w:tc>
          <w:tcPr>
            <w:tcW w:w="1351" w:type="pct"/>
            <w:gridSpan w:val="2"/>
            <w:vAlign w:val="center"/>
          </w:tcPr>
          <w:p w14:paraId="1DCEE66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869" w:type="pct"/>
            <w:vAlign w:val="center"/>
          </w:tcPr>
          <w:p w14:paraId="2EA1862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797" w:type="pct"/>
            <w:gridSpan w:val="2"/>
            <w:vAlign w:val="center"/>
          </w:tcPr>
          <w:p w14:paraId="35D8736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1472" w:type="pct"/>
            <w:gridSpan w:val="3"/>
            <w:vAlign w:val="center"/>
          </w:tcPr>
          <w:p w14:paraId="0C36024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r>
      <w:tr w14:paraId="1C3E7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508" w:type="pct"/>
            <w:vAlign w:val="center"/>
          </w:tcPr>
          <w:p w14:paraId="3A82D80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w:t>
            </w:r>
          </w:p>
        </w:tc>
        <w:tc>
          <w:tcPr>
            <w:tcW w:w="1351" w:type="pct"/>
            <w:gridSpan w:val="2"/>
            <w:vAlign w:val="center"/>
          </w:tcPr>
          <w:p w14:paraId="6A22FF5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869" w:type="pct"/>
            <w:vAlign w:val="center"/>
          </w:tcPr>
          <w:p w14:paraId="6487C6F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797" w:type="pct"/>
            <w:gridSpan w:val="2"/>
            <w:vAlign w:val="center"/>
          </w:tcPr>
          <w:p w14:paraId="4F10DC8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c>
          <w:tcPr>
            <w:tcW w:w="1472" w:type="pct"/>
            <w:gridSpan w:val="3"/>
            <w:vAlign w:val="center"/>
          </w:tcPr>
          <w:p w14:paraId="5385B6F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r>
      <w:tr w14:paraId="3838D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1860" w:type="pct"/>
            <w:gridSpan w:val="3"/>
            <w:vAlign w:val="center"/>
          </w:tcPr>
          <w:p w14:paraId="54167FD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val="en-US" w:eastAsia="zh-CN"/>
              </w:rPr>
              <w:t>总</w:t>
            </w:r>
            <w:r>
              <w:rPr>
                <w:rFonts w:hint="eastAsia" w:ascii="宋体" w:hAnsi="宋体" w:eastAsia="宋体" w:cs="宋体"/>
                <w:b/>
                <w:bCs/>
                <w:color w:val="auto"/>
                <w:sz w:val="24"/>
                <w:highlight w:val="none"/>
              </w:rPr>
              <w:t>计（元）</w:t>
            </w:r>
          </w:p>
        </w:tc>
        <w:tc>
          <w:tcPr>
            <w:tcW w:w="3139" w:type="pct"/>
            <w:gridSpan w:val="6"/>
            <w:vAlign w:val="center"/>
          </w:tcPr>
          <w:p w14:paraId="43BA243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p>
        </w:tc>
      </w:tr>
    </w:tbl>
    <w:p w14:paraId="4645BA4E">
      <w:pPr>
        <w:spacing w:line="360" w:lineRule="auto"/>
        <w:ind w:firstLine="4800" w:firstLineChars="2000"/>
        <w:rPr>
          <w:rFonts w:hint="eastAsia" w:ascii="宋体" w:hAnsi="宋体" w:eastAsia="宋体" w:cs="宋体"/>
          <w:color w:val="auto"/>
          <w:sz w:val="24"/>
          <w:highlight w:val="none"/>
        </w:rPr>
      </w:pPr>
    </w:p>
    <w:p w14:paraId="207123DF">
      <w:pPr>
        <w:spacing w:line="360" w:lineRule="auto"/>
        <w:ind w:firstLine="4800" w:firstLineChars="20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lang w:val="en-US" w:eastAsia="zh-CN"/>
        </w:rPr>
        <w:t>供应商</w:t>
      </w:r>
      <w:r>
        <w:rPr>
          <w:rFonts w:hint="eastAsia" w:ascii="宋体" w:hAnsi="宋体" w:eastAsia="宋体" w:cs="宋体"/>
          <w:color w:val="auto"/>
          <w:sz w:val="24"/>
          <w:highlight w:val="none"/>
        </w:rPr>
        <w:t>电子签章：</w:t>
      </w:r>
      <w:r>
        <w:rPr>
          <w:rFonts w:hint="eastAsia" w:ascii="宋体" w:hAnsi="宋体" w:eastAsia="宋体" w:cs="宋体"/>
          <w:color w:val="auto"/>
          <w:sz w:val="24"/>
          <w:highlight w:val="none"/>
          <w:u w:val="single"/>
        </w:rPr>
        <w:t xml:space="preserve">             </w:t>
      </w:r>
    </w:p>
    <w:p w14:paraId="443BABCA">
      <w:pPr>
        <w:tabs>
          <w:tab w:val="left" w:pos="630"/>
        </w:tabs>
        <w:spacing w:line="360" w:lineRule="auto"/>
        <w:ind w:firstLine="4800" w:firstLineChars="2000"/>
        <w:rPr>
          <w:rFonts w:hint="eastAsia" w:ascii="宋体" w:hAnsi="宋体" w:eastAsia="宋体" w:cs="宋体"/>
          <w:b/>
          <w:bCs/>
          <w:color w:val="auto"/>
          <w:sz w:val="24"/>
          <w:szCs w:val="28"/>
          <w:highlight w:val="non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p>
    <w:p w14:paraId="29020E40">
      <w:pPr>
        <w:adjustRightInd w:val="0"/>
        <w:snapToGrid w:val="0"/>
        <w:spacing w:line="360" w:lineRule="auto"/>
        <w:rPr>
          <w:rFonts w:hint="eastAsia" w:ascii="宋体" w:hAnsi="宋体" w:eastAsia="宋体" w:cs="宋体"/>
          <w:b/>
          <w:bCs/>
          <w:color w:val="auto"/>
          <w:sz w:val="24"/>
          <w:szCs w:val="28"/>
          <w:highlight w:val="none"/>
          <w:lang w:eastAsia="zh-CN"/>
        </w:rPr>
      </w:pPr>
      <w:r>
        <w:rPr>
          <w:rFonts w:hint="eastAsia" w:ascii="宋体" w:hAnsi="宋体" w:eastAsia="宋体" w:cs="宋体"/>
          <w:b/>
          <w:bCs/>
          <w:color w:val="auto"/>
          <w:sz w:val="24"/>
          <w:szCs w:val="28"/>
          <w:highlight w:val="none"/>
          <w:lang w:eastAsia="zh-CN"/>
        </w:rPr>
        <w:t>注：</w:t>
      </w:r>
    </w:p>
    <w:p w14:paraId="11B4869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表中所列货物为对应本项目需求的全部货物及所需附件购置费、包装费、运输费、人工费、保险费、安装调试费、各种税费、资料费、售后服务费及完成项目应有的全部费用。如有漏项或缺项，供应商承担全部责任。</w:t>
      </w:r>
    </w:p>
    <w:p w14:paraId="6E594BB1">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2.表中须明确列出所投产品的货物名称、品牌、型号、原产地及生产厂商，否则可能导致</w:t>
      </w:r>
      <w:r>
        <w:rPr>
          <w:rFonts w:hint="eastAsia" w:ascii="宋体" w:hAnsi="宋体" w:eastAsia="宋体" w:cs="宋体"/>
          <w:b/>
          <w:bCs/>
          <w:color w:val="auto"/>
          <w:sz w:val="24"/>
          <w:highlight w:val="none"/>
        </w:rPr>
        <w:t>响应无效</w:t>
      </w:r>
      <w:r>
        <w:rPr>
          <w:rFonts w:hint="eastAsia" w:ascii="宋体" w:hAnsi="宋体" w:eastAsia="宋体" w:cs="宋体"/>
          <w:color w:val="auto"/>
          <w:sz w:val="24"/>
          <w:highlight w:val="none"/>
        </w:rPr>
        <w:t>。</w:t>
      </w:r>
    </w:p>
    <w:p w14:paraId="6C92856D">
      <w:pPr>
        <w:spacing w:line="360" w:lineRule="auto"/>
        <w:ind w:firstLine="435"/>
        <w:rPr>
          <w:rFonts w:hint="eastAsia" w:ascii="宋体" w:hAnsi="宋体" w:eastAsia="宋体" w:cs="宋体"/>
          <w:b/>
          <w:color w:val="auto"/>
          <w:sz w:val="24"/>
          <w:highlight w:val="none"/>
        </w:rPr>
      </w:pPr>
      <w:r>
        <w:rPr>
          <w:rFonts w:hint="eastAsia" w:ascii="宋体" w:hAnsi="宋体" w:eastAsia="宋体" w:cs="宋体"/>
          <w:b w:val="0"/>
          <w:bCs w:val="0"/>
          <w:color w:val="auto"/>
          <w:sz w:val="24"/>
          <w:highlight w:val="none"/>
          <w:lang w:val="en-US" w:eastAsia="zh-CN"/>
        </w:rPr>
        <w:t>3.考虑谈判报价的方便，若采购文件无特殊规定，供应商在填写最后报价后，根据（第一次报价-最后报价）除以第一次报价后得出的优惠率视同为分项报价明细表中全部分项设备、工程量或服务的优惠浮动值（特定分项优惠除外），而不考虑措施项目清单和规费税金清单的金额改变。此优惠率调整原则适用于合同内价格的计算及项目增减、变更时价格的计算。</w:t>
      </w:r>
      <w:bookmarkStart w:id="98" w:name="_Toc20329"/>
    </w:p>
    <w:bookmarkEnd w:id="98"/>
    <w:p w14:paraId="449FDE0D">
      <w:pPr>
        <w:spacing w:line="360" w:lineRule="auto"/>
        <w:jc w:val="center"/>
        <w:outlineLvl w:val="1"/>
        <w:rPr>
          <w:rFonts w:hint="eastAsia" w:ascii="宋体" w:hAnsi="宋体" w:eastAsia="宋体" w:cs="宋体"/>
          <w:b/>
          <w:color w:val="auto"/>
          <w:sz w:val="24"/>
          <w:highlight w:val="none"/>
          <w:lang w:val="en-US" w:eastAsia="zh-CN"/>
        </w:rPr>
      </w:pPr>
      <w:bookmarkStart w:id="99" w:name="_Toc26536"/>
      <w:bookmarkStart w:id="100" w:name="_Toc457768004"/>
      <w:bookmarkStart w:id="101" w:name="_Hlk11701496"/>
      <w:bookmarkStart w:id="102" w:name="_Toc300210382"/>
      <w:bookmarkStart w:id="103" w:name="_Toc23860"/>
      <w:bookmarkStart w:id="104" w:name="_Toc520299348"/>
      <w:r>
        <w:rPr>
          <w:rFonts w:hint="eastAsia" w:ascii="宋体" w:hAnsi="宋体" w:eastAsia="宋体" w:cs="宋体"/>
          <w:b/>
          <w:bCs w:val="0"/>
          <w:color w:val="auto"/>
          <w:sz w:val="24"/>
          <w:highlight w:val="none"/>
          <w:lang w:val="en-US" w:eastAsia="zh-CN"/>
        </w:rPr>
        <w:br w:type="page"/>
      </w:r>
      <w:bookmarkEnd w:id="99"/>
      <w:bookmarkEnd w:id="100"/>
      <w:bookmarkEnd w:id="101"/>
      <w:bookmarkEnd w:id="102"/>
      <w:bookmarkEnd w:id="103"/>
      <w:bookmarkEnd w:id="104"/>
      <w:r>
        <w:rPr>
          <w:rFonts w:hint="eastAsia" w:ascii="宋体" w:hAnsi="宋体" w:eastAsia="宋体" w:cs="宋体"/>
          <w:b/>
          <w:color w:val="auto"/>
          <w:sz w:val="24"/>
          <w:highlight w:val="none"/>
          <w:lang w:val="en-US" w:eastAsia="zh-CN"/>
        </w:rPr>
        <w:t>八、其他报价响应证明材料</w:t>
      </w:r>
    </w:p>
    <w:p w14:paraId="2761C067">
      <w:pPr>
        <w:widowControl/>
        <w:jc w:val="center"/>
        <w:rPr>
          <w:rFonts w:hint="eastAsia" w:ascii="宋体" w:hAnsi="宋体" w:eastAsia="宋体"/>
          <w:color w:val="auto"/>
          <w:sz w:val="24"/>
          <w:highlight w:val="none"/>
          <w:lang w:eastAsia="zh-CN"/>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如有，</w:t>
      </w:r>
      <w:r>
        <w:rPr>
          <w:rFonts w:hint="eastAsia" w:ascii="宋体" w:hAnsi="宋体" w:eastAsia="宋体" w:cs="宋体"/>
          <w:color w:val="auto"/>
          <w:sz w:val="24"/>
          <w:highlight w:val="none"/>
        </w:rPr>
        <w:t>提供符合</w:t>
      </w:r>
      <w:r>
        <w:rPr>
          <w:rFonts w:hint="eastAsia" w:ascii="宋体" w:hAnsi="宋体" w:eastAsia="宋体" w:cs="宋体"/>
          <w:color w:val="auto"/>
          <w:sz w:val="24"/>
          <w:highlight w:val="none"/>
          <w:lang w:val="en-US" w:eastAsia="zh-CN"/>
        </w:rPr>
        <w:t>谈判文件要求的其他报价响应</w:t>
      </w:r>
      <w:r>
        <w:rPr>
          <w:rFonts w:hint="eastAsia" w:ascii="宋体" w:hAnsi="宋体" w:eastAsia="宋体" w:cs="宋体"/>
          <w:color w:val="auto"/>
          <w:sz w:val="24"/>
          <w:highlight w:val="none"/>
        </w:rPr>
        <w:t>证明</w:t>
      </w:r>
      <w:r>
        <w:rPr>
          <w:rFonts w:hint="eastAsia" w:ascii="宋体" w:hAnsi="宋体" w:eastAsia="宋体" w:cs="宋体"/>
          <w:color w:val="auto"/>
          <w:sz w:val="24"/>
          <w:highlight w:val="none"/>
          <w:lang w:val="en-US" w:eastAsia="zh-CN"/>
        </w:rPr>
        <w:t>材料</w:t>
      </w:r>
      <w:r>
        <w:rPr>
          <w:rFonts w:hint="eastAsia" w:ascii="宋体" w:hAnsi="宋体" w:eastAsia="宋体" w:cs="宋体"/>
          <w:color w:val="auto"/>
          <w:sz w:val="24"/>
          <w:highlight w:val="none"/>
          <w:lang w:eastAsia="zh-CN"/>
        </w:rPr>
        <w:t>）</w:t>
      </w:r>
    </w:p>
    <w:p w14:paraId="48C5A063">
      <w:pPr>
        <w:widowControl/>
        <w:jc w:val="both"/>
        <w:rPr>
          <w:rFonts w:hint="eastAsia" w:ascii="宋体" w:hAnsi="宋体" w:eastAsia="宋体"/>
          <w:color w:val="auto"/>
          <w:sz w:val="24"/>
          <w:highlight w:val="none"/>
          <w:lang w:eastAsia="zh-CN"/>
        </w:rPr>
      </w:pPr>
    </w:p>
    <w:p w14:paraId="48508BAF">
      <w:pPr>
        <w:widowControl/>
        <w:jc w:val="center"/>
        <w:rPr>
          <w:rFonts w:hint="eastAsia" w:ascii="宋体" w:hAnsi="宋体" w:eastAsia="宋体"/>
          <w:color w:val="auto"/>
          <w:sz w:val="24"/>
          <w:highlight w:val="none"/>
          <w:lang w:eastAsia="zh-CN"/>
        </w:rPr>
      </w:pPr>
    </w:p>
    <w:p w14:paraId="075CEDF4">
      <w:pPr>
        <w:widowControl/>
        <w:jc w:val="left"/>
        <w:rPr>
          <w:rFonts w:ascii="宋体" w:hAnsi="宋体" w:eastAsia="宋体"/>
          <w:bCs/>
          <w:color w:val="auto"/>
          <w:sz w:val="24"/>
          <w:highlight w:val="none"/>
        </w:rPr>
      </w:pPr>
      <w:r>
        <w:rPr>
          <w:rFonts w:asciiTheme="minorEastAsia" w:hAnsiTheme="minorEastAsia" w:eastAsiaTheme="minorEastAsia"/>
          <w:color w:val="auto"/>
          <w:sz w:val="24"/>
          <w:highlight w:val="none"/>
        </w:rPr>
        <w:br w:type="page"/>
      </w:r>
    </w:p>
    <w:p w14:paraId="2913C13A">
      <w:pPr>
        <w:spacing w:line="360" w:lineRule="auto"/>
        <w:jc w:val="center"/>
        <w:outlineLvl w:val="0"/>
        <w:rPr>
          <w:rFonts w:ascii="宋体" w:hAnsi="宋体" w:eastAsia="宋体"/>
          <w:b/>
          <w:bCs/>
          <w:color w:val="auto"/>
          <w:sz w:val="28"/>
          <w:highlight w:val="none"/>
        </w:rPr>
      </w:pPr>
      <w:bookmarkStart w:id="105" w:name="_Toc60608832"/>
      <w:bookmarkStart w:id="106" w:name="_Toc10319"/>
      <w:bookmarkStart w:id="107" w:name="_Toc11034"/>
      <w:r>
        <w:rPr>
          <w:rFonts w:hint="eastAsia" w:ascii="宋体" w:hAnsi="宋体" w:eastAsia="宋体"/>
          <w:b/>
          <w:bCs/>
          <w:color w:val="auto"/>
          <w:sz w:val="28"/>
          <w:highlight w:val="none"/>
        </w:rPr>
        <w:t>第</w:t>
      </w:r>
      <w:r>
        <w:rPr>
          <w:rFonts w:hint="eastAsia" w:ascii="宋体" w:hAnsi="宋体" w:eastAsia="宋体"/>
          <w:b/>
          <w:bCs/>
          <w:color w:val="auto"/>
          <w:sz w:val="28"/>
          <w:highlight w:val="none"/>
          <w:lang w:val="en-US" w:eastAsia="zh-CN"/>
        </w:rPr>
        <w:t>七</w:t>
      </w:r>
      <w:r>
        <w:rPr>
          <w:rFonts w:hint="eastAsia" w:ascii="宋体" w:hAnsi="宋体" w:eastAsia="宋体"/>
          <w:b/>
          <w:bCs/>
          <w:color w:val="auto"/>
          <w:sz w:val="28"/>
          <w:highlight w:val="none"/>
        </w:rPr>
        <w:t>章</w:t>
      </w:r>
      <w:r>
        <w:rPr>
          <w:rFonts w:hint="eastAsia"/>
          <w:b/>
          <w:bCs/>
          <w:color w:val="auto"/>
          <w:sz w:val="28"/>
          <w:highlight w:val="none"/>
        </w:rPr>
        <w:t xml:space="preserve">  </w:t>
      </w:r>
      <w:bookmarkEnd w:id="105"/>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106"/>
      <w:bookmarkEnd w:id="107"/>
    </w:p>
    <w:p w14:paraId="55C5395E">
      <w:pPr>
        <w:spacing w:line="360" w:lineRule="auto"/>
        <w:jc w:val="center"/>
        <w:outlineLvl w:val="1"/>
        <w:rPr>
          <w:rFonts w:ascii="仿宋" w:hAnsi="仿宋" w:eastAsia="仿宋" w:cs="仿宋"/>
          <w:b/>
          <w:bCs/>
          <w:color w:val="auto"/>
          <w:sz w:val="32"/>
          <w:szCs w:val="44"/>
          <w:highlight w:val="none"/>
        </w:rPr>
      </w:pPr>
      <w:bookmarkStart w:id="108" w:name="_Toc12954"/>
      <w:bookmarkStart w:id="109" w:name="_Toc28375"/>
      <w:r>
        <w:rPr>
          <w:rFonts w:hint="eastAsia" w:ascii="仿宋" w:hAnsi="仿宋" w:eastAsia="仿宋" w:cs="仿宋"/>
          <w:b/>
          <w:bCs/>
          <w:color w:val="auto"/>
          <w:sz w:val="32"/>
          <w:szCs w:val="44"/>
          <w:highlight w:val="none"/>
        </w:rPr>
        <w:t>询问函范本</w:t>
      </w:r>
      <w:bookmarkEnd w:id="108"/>
      <w:bookmarkEnd w:id="109"/>
    </w:p>
    <w:p w14:paraId="6F6876D8">
      <w:pPr>
        <w:adjustRightInd w:val="0"/>
        <w:snapToGrid w:val="0"/>
        <w:spacing w:line="360" w:lineRule="auto"/>
        <w:jc w:val="center"/>
        <w:rPr>
          <w:rFonts w:hint="eastAsia" w:cs="仿宋" w:asciiTheme="minorEastAsia" w:hAnsiTheme="minorEastAsia" w:eastAsiaTheme="minorEastAsia"/>
          <w:i/>
          <w:iCs/>
          <w:color w:val="auto"/>
          <w:sz w:val="24"/>
          <w:szCs w:val="24"/>
          <w:highlight w:val="none"/>
        </w:rPr>
      </w:pPr>
      <w:r>
        <w:rPr>
          <w:rFonts w:hint="eastAsia" w:cs="仿宋" w:asciiTheme="minorEastAsia" w:hAnsiTheme="minorEastAsia" w:eastAsiaTheme="minorEastAsia"/>
          <w:i/>
          <w:iCs/>
          <w:color w:val="auto"/>
          <w:sz w:val="24"/>
          <w:szCs w:val="24"/>
          <w:highlight w:val="none"/>
        </w:rPr>
        <w:t>（如为对采购文件或采购程序的询问或疑问，</w:t>
      </w:r>
      <w:r>
        <w:rPr>
          <w:rFonts w:hint="eastAsia" w:cs="仿宋" w:asciiTheme="minorEastAsia" w:hAnsiTheme="minorEastAsia" w:eastAsiaTheme="minorEastAsia"/>
          <w:i/>
          <w:iCs/>
          <w:color w:val="auto"/>
          <w:sz w:val="24"/>
          <w:szCs w:val="24"/>
          <w:highlight w:val="none"/>
          <w:lang w:val="en-US" w:eastAsia="zh-CN"/>
        </w:rPr>
        <w:t>可</w:t>
      </w:r>
      <w:r>
        <w:rPr>
          <w:rFonts w:hint="eastAsia" w:cs="仿宋" w:asciiTheme="minorEastAsia" w:hAnsiTheme="minorEastAsia" w:eastAsiaTheme="minorEastAsia"/>
          <w:i/>
          <w:iCs/>
          <w:color w:val="auto"/>
          <w:sz w:val="24"/>
          <w:szCs w:val="24"/>
          <w:highlight w:val="none"/>
        </w:rPr>
        <w:t>按询问函范本</w:t>
      </w:r>
      <w:r>
        <w:rPr>
          <w:rFonts w:hint="eastAsia" w:cs="仿宋" w:asciiTheme="minorEastAsia" w:hAnsiTheme="minorEastAsia" w:eastAsiaTheme="minorEastAsia"/>
          <w:i/>
          <w:iCs/>
          <w:color w:val="auto"/>
          <w:sz w:val="24"/>
          <w:szCs w:val="24"/>
          <w:highlight w:val="none"/>
          <w:lang w:eastAsia="zh-CN"/>
        </w:rPr>
        <w:t>在</w:t>
      </w:r>
      <w:r>
        <w:rPr>
          <w:rFonts w:hint="eastAsia" w:cs="仿宋" w:asciiTheme="minorEastAsia" w:hAnsiTheme="minorEastAsia" w:eastAsiaTheme="minorEastAsia"/>
          <w:i/>
          <w:iCs/>
          <w:color w:val="auto"/>
          <w:sz w:val="24"/>
          <w:szCs w:val="24"/>
          <w:highlight w:val="none"/>
        </w:rPr>
        <w:t>电子交易系统</w:t>
      </w:r>
      <w:r>
        <w:rPr>
          <w:rFonts w:hint="eastAsia" w:cs="仿宋" w:asciiTheme="minorEastAsia" w:hAnsiTheme="minorEastAsia" w:eastAsiaTheme="minorEastAsia"/>
          <w:i/>
          <w:iCs/>
          <w:color w:val="auto"/>
          <w:sz w:val="24"/>
          <w:szCs w:val="24"/>
          <w:highlight w:val="none"/>
          <w:lang w:val="en-US" w:eastAsia="zh-CN"/>
        </w:rPr>
        <w:t>作为</w:t>
      </w:r>
      <w:r>
        <w:rPr>
          <w:rFonts w:hint="eastAsia" w:cs="仿宋" w:asciiTheme="minorEastAsia" w:hAnsiTheme="minorEastAsia" w:eastAsiaTheme="minorEastAsia"/>
          <w:i/>
          <w:iCs/>
          <w:color w:val="auto"/>
          <w:sz w:val="24"/>
          <w:szCs w:val="24"/>
          <w:highlight w:val="none"/>
        </w:rPr>
        <w:t>网上询问附件进行提交</w:t>
      </w:r>
      <w:r>
        <w:rPr>
          <w:rFonts w:hint="eastAsia" w:cs="仿宋" w:asciiTheme="minorEastAsia" w:hAnsiTheme="minorEastAsia" w:eastAsiaTheme="minorEastAsia"/>
          <w:i/>
          <w:iCs/>
          <w:color w:val="auto"/>
          <w:sz w:val="24"/>
          <w:szCs w:val="24"/>
          <w:highlight w:val="none"/>
          <w:lang w:eastAsia="zh-CN"/>
        </w:rPr>
        <w:t>，《询问函</w:t>
      </w:r>
      <w:r>
        <w:rPr>
          <w:rFonts w:hint="eastAsia" w:cs="仿宋" w:asciiTheme="minorEastAsia" w:hAnsiTheme="minorEastAsia" w:eastAsiaTheme="minorEastAsia"/>
          <w:i/>
          <w:iCs/>
          <w:color w:val="auto"/>
          <w:sz w:val="24"/>
          <w:szCs w:val="24"/>
          <w:highlight w:val="none"/>
          <w:lang w:val="en-US" w:eastAsia="zh-CN"/>
        </w:rPr>
        <w:t>范本</w:t>
      </w:r>
      <w:r>
        <w:rPr>
          <w:rFonts w:hint="eastAsia" w:cs="仿宋" w:asciiTheme="minorEastAsia" w:hAnsiTheme="minorEastAsia" w:eastAsiaTheme="minorEastAsia"/>
          <w:i/>
          <w:iCs/>
          <w:color w:val="auto"/>
          <w:sz w:val="24"/>
          <w:szCs w:val="24"/>
          <w:highlight w:val="none"/>
          <w:lang w:eastAsia="zh-CN"/>
        </w:rPr>
        <w:t>》</w:t>
      </w:r>
      <w:r>
        <w:rPr>
          <w:rFonts w:hint="eastAsia" w:cs="仿宋" w:asciiTheme="minorEastAsia" w:hAnsiTheme="minorEastAsia" w:eastAsiaTheme="minorEastAsia"/>
          <w:i/>
          <w:iCs/>
          <w:color w:val="auto"/>
          <w:sz w:val="24"/>
          <w:szCs w:val="24"/>
          <w:highlight w:val="none"/>
          <w:lang w:val="en-US" w:eastAsia="zh-CN"/>
        </w:rPr>
        <w:t>仅为</w:t>
      </w:r>
      <w:r>
        <w:rPr>
          <w:rFonts w:hint="eastAsia" w:cs="仿宋" w:asciiTheme="minorEastAsia" w:hAnsiTheme="minorEastAsia" w:eastAsiaTheme="minorEastAsia"/>
          <w:i/>
          <w:iCs/>
          <w:color w:val="auto"/>
          <w:sz w:val="24"/>
          <w:szCs w:val="24"/>
          <w:highlight w:val="none"/>
          <w:lang w:eastAsia="zh-CN"/>
        </w:rPr>
        <w:t>便于供应商通过网上询问反馈诉求，</w:t>
      </w:r>
      <w:r>
        <w:rPr>
          <w:rFonts w:hint="eastAsia" w:cs="仿宋" w:asciiTheme="minorEastAsia" w:hAnsiTheme="minorEastAsia" w:eastAsiaTheme="minorEastAsia"/>
          <w:i/>
          <w:iCs/>
          <w:color w:val="auto"/>
          <w:sz w:val="24"/>
          <w:szCs w:val="24"/>
          <w:highlight w:val="none"/>
          <w:lang w:val="en-US" w:eastAsia="zh-CN"/>
        </w:rPr>
        <w:t>不强制使用</w:t>
      </w:r>
      <w:r>
        <w:rPr>
          <w:rFonts w:hint="eastAsia" w:cs="仿宋" w:asciiTheme="minorEastAsia" w:hAnsiTheme="minorEastAsia" w:eastAsiaTheme="minorEastAsia"/>
          <w:i/>
          <w:iCs/>
          <w:color w:val="auto"/>
          <w:sz w:val="24"/>
          <w:szCs w:val="24"/>
          <w:highlight w:val="none"/>
        </w:rPr>
        <w:t>）</w:t>
      </w:r>
    </w:p>
    <w:p w14:paraId="6D5B9C0F">
      <w:pPr>
        <w:adjustRightInd w:val="0"/>
        <w:snapToGrid w:val="0"/>
        <w:spacing w:line="360" w:lineRule="auto"/>
        <w:rPr>
          <w:rFonts w:hint="eastAsia" w:cs="仿宋" w:asciiTheme="minorEastAsia" w:hAnsiTheme="minorEastAsia" w:eastAsiaTheme="minorEastAsia"/>
          <w:b/>
          <w:bCs/>
          <w:color w:val="auto"/>
          <w:sz w:val="24"/>
          <w:szCs w:val="24"/>
          <w:highlight w:val="none"/>
          <w:lang w:eastAsia="zh-CN"/>
        </w:rPr>
      </w:pPr>
      <w:r>
        <w:rPr>
          <w:rFonts w:hint="eastAsia" w:cs="仿宋" w:asciiTheme="minorEastAsia" w:hAnsiTheme="minorEastAsia" w:eastAsiaTheme="minorEastAsia"/>
          <w:b/>
          <w:bCs/>
          <w:color w:val="auto"/>
          <w:sz w:val="24"/>
          <w:szCs w:val="24"/>
          <w:highlight w:val="none"/>
          <w:lang w:val="en-US" w:eastAsia="zh-CN"/>
        </w:rPr>
        <w:t>致：</w:t>
      </w:r>
      <w:r>
        <w:rPr>
          <w:rFonts w:hint="eastAsia" w:cs="仿宋" w:asciiTheme="minorEastAsia" w:hAnsiTheme="minorEastAsia" w:eastAsiaTheme="minorEastAsia"/>
          <w:b/>
          <w:bCs/>
          <w:color w:val="auto"/>
          <w:sz w:val="24"/>
          <w:szCs w:val="24"/>
          <w:highlight w:val="none"/>
          <w:u w:val="none"/>
          <w:lang w:eastAsia="zh-CN"/>
        </w:rPr>
        <w:t>采购人</w:t>
      </w:r>
    </w:p>
    <w:p w14:paraId="084CAB9B">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lang w:val="en-US" w:eastAsia="zh-CN"/>
        </w:rPr>
        <w:t xml:space="preserve">               </w:t>
      </w:r>
      <w:r>
        <w:rPr>
          <w:rFonts w:hint="eastAsia" w:cs="仿宋" w:asciiTheme="minorEastAsia" w:hAnsiTheme="minorEastAsia" w:eastAsiaTheme="minorEastAsia"/>
          <w:i/>
          <w:iCs/>
          <w:color w:val="auto"/>
          <w:sz w:val="24"/>
          <w:szCs w:val="24"/>
          <w:highlight w:val="none"/>
        </w:rPr>
        <w:t>(</w:t>
      </w:r>
      <w:r>
        <w:rPr>
          <w:rFonts w:hint="eastAsia" w:cs="仿宋" w:asciiTheme="minorEastAsia" w:hAnsiTheme="minorEastAsia" w:eastAsiaTheme="minorEastAsia"/>
          <w:i/>
          <w:iCs/>
          <w:color w:val="auto"/>
          <w:sz w:val="24"/>
          <w:szCs w:val="24"/>
          <w:highlight w:val="none"/>
          <w:u w:val="none"/>
        </w:rPr>
        <w:t>项目</w:t>
      </w:r>
      <w:r>
        <w:rPr>
          <w:rFonts w:hint="eastAsia" w:cs="仿宋" w:asciiTheme="minorEastAsia" w:hAnsiTheme="minorEastAsia" w:eastAsiaTheme="minorEastAsia"/>
          <w:i/>
          <w:iCs/>
          <w:color w:val="auto"/>
          <w:sz w:val="24"/>
          <w:szCs w:val="24"/>
          <w:highlight w:val="none"/>
          <w:u w:val="none"/>
          <w:lang w:val="en-US" w:eastAsia="zh-CN"/>
        </w:rPr>
        <w:t>名称、</w:t>
      </w:r>
      <w:r>
        <w:rPr>
          <w:rFonts w:hint="eastAsia" w:cs="仿宋" w:asciiTheme="minorEastAsia" w:hAnsiTheme="minorEastAsia" w:eastAsiaTheme="minorEastAsia"/>
          <w:i/>
          <w:iCs/>
          <w:color w:val="auto"/>
          <w:sz w:val="24"/>
          <w:szCs w:val="24"/>
          <w:highlight w:val="none"/>
          <w:u w:val="none"/>
        </w:rPr>
        <w:t>编号</w:t>
      </w:r>
      <w:r>
        <w:rPr>
          <w:rFonts w:hint="eastAsia" w:cs="仿宋" w:asciiTheme="minorEastAsia" w:hAnsiTheme="minorEastAsia" w:eastAsiaTheme="minorEastAsia"/>
          <w:i/>
          <w:iCs/>
          <w:color w:val="auto"/>
          <w:sz w:val="24"/>
          <w:szCs w:val="24"/>
          <w:highlight w:val="none"/>
        </w:rPr>
        <w:t>)</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3C74ABAE">
      <w:pPr>
        <w:adjustRightInd w:val="0"/>
        <w:snapToGrid w:val="0"/>
        <w:spacing w:line="360" w:lineRule="auto"/>
        <w:ind w:firstLine="480" w:firstLineChars="200"/>
        <w:outlineLvl w:val="9"/>
        <w:rPr>
          <w:rFonts w:cs="仿宋" w:asciiTheme="minorEastAsia" w:hAnsiTheme="minorEastAsia" w:eastAsiaTheme="minorEastAsia"/>
          <w:color w:val="auto"/>
          <w:sz w:val="24"/>
          <w:szCs w:val="24"/>
          <w:highlight w:val="none"/>
        </w:rPr>
      </w:pPr>
      <w:bookmarkStart w:id="110" w:name="_Toc23584"/>
      <w:bookmarkStart w:id="111" w:name="_Toc29009"/>
      <w:r>
        <w:rPr>
          <w:rFonts w:hint="eastAsia" w:cs="仿宋" w:asciiTheme="minorEastAsia" w:hAnsiTheme="minorEastAsia" w:eastAsiaTheme="minorEastAsia"/>
          <w:color w:val="auto"/>
          <w:sz w:val="24"/>
          <w:szCs w:val="24"/>
          <w:highlight w:val="none"/>
        </w:rPr>
        <w:t>一、(事项一)</w:t>
      </w:r>
      <w:bookmarkEnd w:id="110"/>
      <w:bookmarkEnd w:id="111"/>
    </w:p>
    <w:p w14:paraId="5860A7BE">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4DFEF6D4">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0D507AA0">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21ABB964">
      <w:pPr>
        <w:adjustRightInd w:val="0"/>
        <w:snapToGrid w:val="0"/>
        <w:spacing w:line="360" w:lineRule="auto"/>
        <w:ind w:firstLine="480" w:firstLineChars="200"/>
        <w:outlineLvl w:val="9"/>
        <w:rPr>
          <w:rFonts w:cs="仿宋" w:asciiTheme="minorEastAsia" w:hAnsiTheme="minorEastAsia" w:eastAsiaTheme="minorEastAsia"/>
          <w:color w:val="auto"/>
          <w:sz w:val="24"/>
          <w:szCs w:val="24"/>
          <w:highlight w:val="none"/>
        </w:rPr>
      </w:pPr>
      <w:bookmarkStart w:id="112" w:name="_Toc18220"/>
      <w:bookmarkStart w:id="113" w:name="_Toc16254"/>
      <w:r>
        <w:rPr>
          <w:rFonts w:hint="eastAsia" w:cs="仿宋" w:asciiTheme="minorEastAsia" w:hAnsiTheme="minorEastAsia" w:eastAsiaTheme="minorEastAsia"/>
          <w:color w:val="auto"/>
          <w:sz w:val="24"/>
          <w:szCs w:val="24"/>
          <w:highlight w:val="none"/>
        </w:rPr>
        <w:t>二、(事项二)</w:t>
      </w:r>
      <w:bookmarkEnd w:id="112"/>
      <w:bookmarkEnd w:id="113"/>
    </w:p>
    <w:p w14:paraId="114DEA01">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4AF5E4D8">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随附相关证明材料如下</w:t>
      </w:r>
      <w:r>
        <w:rPr>
          <w:rFonts w:hint="eastAsia" w:cs="仿宋" w:asciiTheme="minorEastAsia" w:hAnsiTheme="minorEastAsia" w:eastAsiaTheme="minorEastAsia"/>
          <w:color w:val="auto"/>
          <w:sz w:val="24"/>
          <w:szCs w:val="24"/>
          <w:highlight w:val="none"/>
          <w:lang w:eastAsia="zh-CN"/>
        </w:rPr>
        <w:t>（</w:t>
      </w:r>
      <w:r>
        <w:rPr>
          <w:rFonts w:hint="eastAsia" w:cs="仿宋" w:asciiTheme="minorEastAsia" w:hAnsiTheme="minorEastAsia" w:eastAsiaTheme="minorEastAsia"/>
          <w:color w:val="auto"/>
          <w:sz w:val="24"/>
          <w:szCs w:val="24"/>
          <w:highlight w:val="none"/>
          <w:lang w:val="en-US" w:eastAsia="zh-CN"/>
        </w:rPr>
        <w:t>如有</w:t>
      </w:r>
      <w:r>
        <w:rPr>
          <w:rFonts w:hint="eastAsia" w:cs="仿宋" w:asciiTheme="minorEastAsia" w:hAnsiTheme="minorEastAsia" w:eastAsiaTheme="minorEastAsia"/>
          <w:color w:val="auto"/>
          <w:sz w:val="24"/>
          <w:szCs w:val="24"/>
          <w:highlight w:val="none"/>
          <w:lang w:eastAsia="zh-CN"/>
        </w:rPr>
        <w:t>）</w:t>
      </w:r>
      <w:r>
        <w:rPr>
          <w:rFonts w:hint="eastAsia" w:cs="仿宋" w:asciiTheme="minorEastAsia" w:hAnsiTheme="minorEastAsia" w:eastAsiaTheme="minorEastAsia"/>
          <w:color w:val="auto"/>
          <w:sz w:val="24"/>
          <w:szCs w:val="24"/>
          <w:highlight w:val="none"/>
        </w:rPr>
        <w:t xml:space="preserve">： </w:t>
      </w:r>
    </w:p>
    <w:p w14:paraId="317B7B19">
      <w:pPr>
        <w:tabs>
          <w:tab w:val="left" w:pos="630"/>
        </w:tabs>
        <w:spacing w:line="360" w:lineRule="auto"/>
        <w:ind w:firstLine="4228" w:firstLineChars="1762"/>
        <w:rPr>
          <w:rFonts w:hint="eastAsia" w:asciiTheme="minorEastAsia" w:hAnsiTheme="minorEastAsia" w:eastAsiaTheme="minorEastAsia"/>
          <w:color w:val="auto"/>
          <w:sz w:val="24"/>
          <w:highlight w:val="none"/>
        </w:rPr>
      </w:pPr>
    </w:p>
    <w:p w14:paraId="08A3406E">
      <w:pPr>
        <w:tabs>
          <w:tab w:val="left" w:pos="630"/>
        </w:tabs>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6696E4CF">
      <w:pPr>
        <w:jc w:val="center"/>
        <w:outlineLvl w:val="1"/>
        <w:rPr>
          <w:rFonts w:hint="eastAsia" w:ascii="仿宋" w:hAnsi="仿宋" w:eastAsia="仿宋" w:cs="仿宋"/>
          <w:b/>
          <w:bCs/>
          <w:color w:val="auto"/>
          <w:sz w:val="32"/>
          <w:szCs w:val="44"/>
          <w:highlight w:val="none"/>
        </w:rPr>
        <w:sectPr>
          <w:headerReference r:id="rId4" w:type="default"/>
          <w:footerReference r:id="rId5" w:type="default"/>
          <w:pgSz w:w="11906" w:h="16838"/>
          <w:pgMar w:top="1440" w:right="1800" w:bottom="1440" w:left="1800" w:header="851" w:footer="992" w:gutter="0"/>
          <w:pgNumType w:fmt="decimal"/>
          <w:cols w:space="425" w:num="1"/>
          <w:docGrid w:type="lines" w:linePitch="312" w:charSpace="0"/>
        </w:sectPr>
      </w:pPr>
      <w:bookmarkStart w:id="114" w:name="_Toc18073"/>
      <w:bookmarkStart w:id="115" w:name="_Toc6176"/>
    </w:p>
    <w:p w14:paraId="5A3EEFC0">
      <w:pPr>
        <w:jc w:val="center"/>
        <w:outlineLvl w:val="1"/>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bookmarkEnd w:id="114"/>
      <w:bookmarkEnd w:id="115"/>
    </w:p>
    <w:p w14:paraId="2D420D2C">
      <w:pPr>
        <w:adjustRightInd w:val="0"/>
        <w:snapToGrid w:val="0"/>
        <w:spacing w:before="312" w:beforeLines="100" w:line="360" w:lineRule="auto"/>
        <w:outlineLvl w:val="9"/>
        <w:rPr>
          <w:rFonts w:cs="仿宋" w:asciiTheme="minorEastAsia" w:hAnsiTheme="minorEastAsia" w:eastAsiaTheme="minorEastAsia"/>
          <w:b/>
          <w:bCs/>
          <w:color w:val="auto"/>
          <w:sz w:val="24"/>
          <w:szCs w:val="24"/>
          <w:highlight w:val="none"/>
        </w:rPr>
      </w:pPr>
      <w:bookmarkStart w:id="116" w:name="_Toc21548"/>
      <w:bookmarkStart w:id="117" w:name="_Toc17682"/>
      <w:r>
        <w:rPr>
          <w:rFonts w:hint="eastAsia" w:cs="仿宋" w:asciiTheme="minorEastAsia" w:hAnsiTheme="minorEastAsia" w:eastAsiaTheme="minorEastAsia"/>
          <w:b/>
          <w:bCs/>
          <w:color w:val="auto"/>
          <w:sz w:val="24"/>
          <w:szCs w:val="24"/>
          <w:highlight w:val="none"/>
        </w:rPr>
        <w:t>一、质疑供应商基本信息</w:t>
      </w:r>
      <w:bookmarkEnd w:id="116"/>
      <w:bookmarkEnd w:id="117"/>
    </w:p>
    <w:p w14:paraId="3377F947">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6E9009FB">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56F7A632">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3F1C0379">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080FCB1C">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r>
        <w:rPr>
          <w:rFonts w:cs="仿宋" w:asciiTheme="minorEastAsia" w:hAnsiTheme="minorEastAsia" w:eastAsiaTheme="minorEastAsia"/>
          <w:color w:val="auto"/>
          <w:sz w:val="24"/>
          <w:szCs w:val="24"/>
          <w:highlight w:val="none"/>
        </w:rPr>
        <w:t xml:space="preserve"> </w:t>
      </w:r>
    </w:p>
    <w:p w14:paraId="4C65AF4A">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626AB290">
      <w:pPr>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118" w:name="_Toc9149"/>
      <w:bookmarkStart w:id="119" w:name="_Toc5180"/>
      <w:r>
        <w:rPr>
          <w:rFonts w:hint="eastAsia" w:cs="仿宋" w:asciiTheme="minorEastAsia" w:hAnsiTheme="minorEastAsia" w:eastAsiaTheme="minorEastAsia"/>
          <w:b/>
          <w:bCs/>
          <w:color w:val="auto"/>
          <w:sz w:val="24"/>
          <w:szCs w:val="24"/>
          <w:highlight w:val="none"/>
        </w:rPr>
        <w:t>二、质疑项目基本情况</w:t>
      </w:r>
      <w:bookmarkEnd w:id="118"/>
      <w:bookmarkEnd w:id="119"/>
    </w:p>
    <w:p w14:paraId="41F71FB8">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4DF823B2">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4AED95FA">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26F5A794">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66818C72">
      <w:pPr>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120" w:name="_Toc14494"/>
      <w:bookmarkStart w:id="121" w:name="_Toc29996"/>
      <w:r>
        <w:rPr>
          <w:rFonts w:hint="eastAsia" w:cs="仿宋" w:asciiTheme="minorEastAsia" w:hAnsiTheme="minorEastAsia" w:eastAsiaTheme="minorEastAsia"/>
          <w:b/>
          <w:bCs/>
          <w:color w:val="auto"/>
          <w:sz w:val="24"/>
          <w:szCs w:val="24"/>
          <w:highlight w:val="none"/>
        </w:rPr>
        <w:t>三、质疑事项具体内容</w:t>
      </w:r>
      <w:bookmarkEnd w:id="120"/>
      <w:bookmarkEnd w:id="121"/>
    </w:p>
    <w:p w14:paraId="3510AA45">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15D0685A">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5A423E38">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1595B374">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1FE5A9ED">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11591C6D">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2B7F86C4">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4BA27C2F">
      <w:pPr>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122" w:name="_Toc7296"/>
      <w:bookmarkStart w:id="123" w:name="_Toc814"/>
      <w:r>
        <w:rPr>
          <w:rFonts w:hint="eastAsia" w:cs="仿宋" w:asciiTheme="minorEastAsia" w:hAnsiTheme="minorEastAsia" w:eastAsiaTheme="minorEastAsia"/>
          <w:b/>
          <w:bCs/>
          <w:color w:val="auto"/>
          <w:sz w:val="24"/>
          <w:szCs w:val="24"/>
          <w:highlight w:val="none"/>
        </w:rPr>
        <w:t>四、与质疑事项相关的质疑请求</w:t>
      </w:r>
      <w:bookmarkEnd w:id="122"/>
      <w:bookmarkEnd w:id="123"/>
    </w:p>
    <w:p w14:paraId="349749EA">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6E220960">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签字(签章)：                   公章：                      </w:t>
      </w:r>
    </w:p>
    <w:p w14:paraId="5B2BDF32">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27CA70A9">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24E034B1">
      <w:pPr>
        <w:outlineLvl w:val="0"/>
        <w:rPr>
          <w:rFonts w:asciiTheme="minorEastAsia" w:hAnsiTheme="minorEastAsia" w:eastAsiaTheme="minorEastAsia"/>
          <w:b/>
          <w:color w:val="auto"/>
          <w:sz w:val="28"/>
          <w:szCs w:val="32"/>
          <w:highlight w:val="none"/>
        </w:rPr>
      </w:pPr>
      <w:bookmarkStart w:id="124" w:name="_Toc3093"/>
      <w:bookmarkStart w:id="125" w:name="_Toc26567"/>
      <w:r>
        <w:rPr>
          <w:rFonts w:hint="eastAsia" w:asciiTheme="minorEastAsia" w:hAnsiTheme="minorEastAsia" w:eastAsiaTheme="minorEastAsia"/>
          <w:b/>
          <w:color w:val="auto"/>
          <w:sz w:val="28"/>
          <w:szCs w:val="32"/>
          <w:highlight w:val="none"/>
        </w:rPr>
        <w:t>质疑函制作说明：</w:t>
      </w:r>
      <w:bookmarkEnd w:id="124"/>
      <w:bookmarkEnd w:id="125"/>
    </w:p>
    <w:p w14:paraId="7F3DCD2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542D3DF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2FF790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708F9DB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1EB8A5B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240A380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1637B692">
      <w:pPr>
        <w:rPr>
          <w:color w:val="auto"/>
          <w:highlight w:val="none"/>
        </w:rPr>
      </w:pPr>
    </w:p>
    <w:sectPr>
      <w:footerReference r:id="rId6"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0D"/>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AA43FE2-474D-4182-93C0-19134614D82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78B4EB5F-048B-4B81-9357-5DFEDB8B6A17}"/>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3" w:fontKey="{221F3DAD-5AB9-426F-A374-9C33AD9B09C4}"/>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003" w:usb1="288F0000" w:usb2="00000006" w:usb3="00000000" w:csb0="00040001" w:csb1="00000000"/>
  </w:font>
  <w:font w:name="方正仿宋_GB2312">
    <w:panose1 w:val="02000000000000000000"/>
    <w:charset w:val="86"/>
    <w:family w:val="auto"/>
    <w:pitch w:val="default"/>
    <w:sig w:usb0="A00002BF" w:usb1="184F6CFA" w:usb2="00000012" w:usb3="00000000" w:csb0="00040001" w:csb1="00000000"/>
    <w:embedRegular r:id="rId4" w:fontKey="{F7058E85-0CDF-4DF6-893D-397B98956777}"/>
  </w:font>
  <w:font w:name="WPSEMBED1">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993BA">
    <w:pPr>
      <w:pStyle w:val="8"/>
      <w:jc w:val="center"/>
    </w:pPr>
    <w:r>
      <w:rPr>
        <w:sz w:val="18"/>
      </w:rPr>
      <mc:AlternateContent>
        <mc:Choice Requires="wps">
          <w:drawing>
            <wp:anchor distT="0" distB="0" distL="114300" distR="114300" simplePos="0" relativeHeight="251659264" behindDoc="0" locked="0" layoutInCell="1" allowOverlap="1">
              <wp:simplePos x="0" y="0"/>
              <wp:positionH relativeFrom="margin">
                <wp:posOffset>1356360</wp:posOffset>
              </wp:positionH>
              <wp:positionV relativeFrom="paragraph">
                <wp:posOffset>-26035</wp:posOffset>
              </wp:positionV>
              <wp:extent cx="2215515" cy="273685"/>
              <wp:effectExtent l="0" t="0" r="0" b="0"/>
              <wp:wrapNone/>
              <wp:docPr id="1" name="文本框 1"/>
              <wp:cNvGraphicFramePr/>
              <a:graphic xmlns:a="http://schemas.openxmlformats.org/drawingml/2006/main">
                <a:graphicData uri="http://schemas.microsoft.com/office/word/2010/wordprocessingShape">
                  <wps:wsp>
                    <wps:cNvSpPr txBox="1"/>
                    <wps:spPr>
                      <a:xfrm>
                        <a:off x="0" y="0"/>
                        <a:ext cx="2215515" cy="2736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9F31C9">
                          <w:pPr>
                            <w:pStyle w:val="8"/>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 xml:space="preserve">第 </w:t>
                          </w:r>
                          <w:r>
                            <w:rPr>
                              <w:rFonts w:hint="eastAsia" w:ascii="方正仿宋_GB2312" w:hAnsi="方正仿宋_GB2312" w:eastAsia="方正仿宋_GB2312" w:cs="方正仿宋_GB2312"/>
                              <w:sz w:val="21"/>
                              <w:szCs w:val="21"/>
                            </w:rPr>
                            <w:fldChar w:fldCharType="begin"/>
                          </w:r>
                          <w:r>
                            <w:rPr>
                              <w:rFonts w:hint="eastAsia" w:ascii="方正仿宋_GB2312" w:hAnsi="方正仿宋_GB2312" w:eastAsia="方正仿宋_GB2312" w:cs="方正仿宋_GB2312"/>
                              <w:sz w:val="21"/>
                              <w:szCs w:val="21"/>
                            </w:rPr>
                            <w:instrText xml:space="preserve"> PAGE  \* MERGEFORMAT </w:instrText>
                          </w:r>
                          <w:r>
                            <w:rPr>
                              <w:rFonts w:hint="eastAsia" w:ascii="方正仿宋_GB2312" w:hAnsi="方正仿宋_GB2312" w:eastAsia="方正仿宋_GB2312" w:cs="方正仿宋_GB2312"/>
                              <w:sz w:val="21"/>
                              <w:szCs w:val="21"/>
                            </w:rPr>
                            <w:fldChar w:fldCharType="separate"/>
                          </w:r>
                          <w:r>
                            <w:rPr>
                              <w:rFonts w:hint="eastAsia" w:ascii="方正仿宋_GB2312" w:hAnsi="方正仿宋_GB2312" w:eastAsia="方正仿宋_GB2312" w:cs="方正仿宋_GB2312"/>
                              <w:sz w:val="21"/>
                              <w:szCs w:val="21"/>
                            </w:rPr>
                            <w:t>1</w:t>
                          </w:r>
                          <w:r>
                            <w:rPr>
                              <w:rFonts w:hint="eastAsia" w:ascii="方正仿宋_GB2312" w:hAnsi="方正仿宋_GB2312" w:eastAsia="方正仿宋_GB2312" w:cs="方正仿宋_GB2312"/>
                              <w:sz w:val="21"/>
                              <w:szCs w:val="21"/>
                            </w:rPr>
                            <w:fldChar w:fldCharType="end"/>
                          </w:r>
                          <w:r>
                            <w:rPr>
                              <w:rFonts w:hint="eastAsia" w:ascii="方正仿宋_GB2312" w:hAnsi="方正仿宋_GB2312" w:eastAsia="方正仿宋_GB2312" w:cs="方正仿宋_GB2312"/>
                              <w:sz w:val="21"/>
                              <w:szCs w:val="21"/>
                            </w:rPr>
                            <w:t xml:space="preserve"> 页 共 </w:t>
                          </w:r>
                          <w:r>
                            <w:rPr>
                              <w:rFonts w:hint="eastAsia" w:ascii="方正仿宋_GB2312" w:hAnsi="方正仿宋_GB2312" w:eastAsia="方正仿宋_GB2312" w:cs="方正仿宋_GB2312"/>
                              <w:sz w:val="21"/>
                              <w:szCs w:val="21"/>
                            </w:rPr>
                            <w:fldChar w:fldCharType="begin"/>
                          </w:r>
                          <w:r>
                            <w:rPr>
                              <w:rFonts w:hint="eastAsia" w:ascii="方正仿宋_GB2312" w:hAnsi="方正仿宋_GB2312" w:eastAsia="方正仿宋_GB2312" w:cs="方正仿宋_GB2312"/>
                              <w:sz w:val="21"/>
                              <w:szCs w:val="21"/>
                            </w:rPr>
                            <w:instrText xml:space="preserve"> NUMPAGES  \* MERGEFORMAT </w:instrText>
                          </w:r>
                          <w:r>
                            <w:rPr>
                              <w:rFonts w:hint="eastAsia" w:ascii="方正仿宋_GB2312" w:hAnsi="方正仿宋_GB2312" w:eastAsia="方正仿宋_GB2312" w:cs="方正仿宋_GB2312"/>
                              <w:sz w:val="21"/>
                              <w:szCs w:val="21"/>
                            </w:rPr>
                            <w:fldChar w:fldCharType="separate"/>
                          </w:r>
                          <w:r>
                            <w:rPr>
                              <w:rFonts w:hint="eastAsia" w:ascii="方正仿宋_GB2312" w:hAnsi="方正仿宋_GB2312" w:eastAsia="方正仿宋_GB2312" w:cs="方正仿宋_GB2312"/>
                              <w:sz w:val="21"/>
                              <w:szCs w:val="21"/>
                            </w:rPr>
                            <w:t>59</w:t>
                          </w:r>
                          <w:r>
                            <w:rPr>
                              <w:rFonts w:hint="eastAsia" w:ascii="方正仿宋_GB2312" w:hAnsi="方正仿宋_GB2312" w:eastAsia="方正仿宋_GB2312" w:cs="方正仿宋_GB2312"/>
                              <w:sz w:val="21"/>
                              <w:szCs w:val="21"/>
                            </w:rPr>
                            <w:fldChar w:fldCharType="end"/>
                          </w:r>
                          <w:r>
                            <w:rPr>
                              <w:rFonts w:hint="eastAsia" w:ascii="方正仿宋_GB2312" w:hAnsi="方正仿宋_GB2312" w:eastAsia="方正仿宋_GB2312" w:cs="方正仿宋_GB2312"/>
                              <w:sz w:val="21"/>
                              <w:szCs w:val="21"/>
                            </w:rPr>
                            <w:t xml:space="preserve"> 页</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06.8pt;margin-top:-2.05pt;height:21.55pt;width:174.45pt;mso-position-horizontal-relative:margin;z-index:251659264;mso-width-relative:page;mso-height-relative:page;" filled="f" stroked="f" coordsize="21600,21600" o:gfxdata="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JUmUhTYAAAACQEAAA8AAAAAAAAAAQAgAAAAIgAAAGRycy9kb3du&#10;cmV2LnhtbFBLAQIUABQAAAAIAIdO4kD/K8shOAIAAGIEAAAOAAAAAAAAAAEAIAAAACcBAABkcnMv&#10;ZTJvRG9jLnhtbFBLBQYAAAAABgAGAFkBAADRBQAAAAA=&#10;">
              <v:fill on="f" focussize="0,0"/>
              <v:stroke on="f" weight="0.5pt"/>
              <v:imagedata o:title=""/>
              <o:lock v:ext="edit" aspectratio="f"/>
              <v:textbox inset="0mm,0mm,0mm,0mm">
                <w:txbxContent>
                  <w:p w14:paraId="7C9F31C9">
                    <w:pPr>
                      <w:pStyle w:val="8"/>
                      <w:jc w:val="center"/>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 xml:space="preserve">第 </w:t>
                    </w:r>
                    <w:r>
                      <w:rPr>
                        <w:rFonts w:hint="eastAsia" w:ascii="方正仿宋_GB2312" w:hAnsi="方正仿宋_GB2312" w:eastAsia="方正仿宋_GB2312" w:cs="方正仿宋_GB2312"/>
                        <w:sz w:val="21"/>
                        <w:szCs w:val="21"/>
                      </w:rPr>
                      <w:fldChar w:fldCharType="begin"/>
                    </w:r>
                    <w:r>
                      <w:rPr>
                        <w:rFonts w:hint="eastAsia" w:ascii="方正仿宋_GB2312" w:hAnsi="方正仿宋_GB2312" w:eastAsia="方正仿宋_GB2312" w:cs="方正仿宋_GB2312"/>
                        <w:sz w:val="21"/>
                        <w:szCs w:val="21"/>
                      </w:rPr>
                      <w:instrText xml:space="preserve"> PAGE  \* MERGEFORMAT </w:instrText>
                    </w:r>
                    <w:r>
                      <w:rPr>
                        <w:rFonts w:hint="eastAsia" w:ascii="方正仿宋_GB2312" w:hAnsi="方正仿宋_GB2312" w:eastAsia="方正仿宋_GB2312" w:cs="方正仿宋_GB2312"/>
                        <w:sz w:val="21"/>
                        <w:szCs w:val="21"/>
                      </w:rPr>
                      <w:fldChar w:fldCharType="separate"/>
                    </w:r>
                    <w:r>
                      <w:rPr>
                        <w:rFonts w:hint="eastAsia" w:ascii="方正仿宋_GB2312" w:hAnsi="方正仿宋_GB2312" w:eastAsia="方正仿宋_GB2312" w:cs="方正仿宋_GB2312"/>
                        <w:sz w:val="21"/>
                        <w:szCs w:val="21"/>
                      </w:rPr>
                      <w:t>1</w:t>
                    </w:r>
                    <w:r>
                      <w:rPr>
                        <w:rFonts w:hint="eastAsia" w:ascii="方正仿宋_GB2312" w:hAnsi="方正仿宋_GB2312" w:eastAsia="方正仿宋_GB2312" w:cs="方正仿宋_GB2312"/>
                        <w:sz w:val="21"/>
                        <w:szCs w:val="21"/>
                      </w:rPr>
                      <w:fldChar w:fldCharType="end"/>
                    </w:r>
                    <w:r>
                      <w:rPr>
                        <w:rFonts w:hint="eastAsia" w:ascii="方正仿宋_GB2312" w:hAnsi="方正仿宋_GB2312" w:eastAsia="方正仿宋_GB2312" w:cs="方正仿宋_GB2312"/>
                        <w:sz w:val="21"/>
                        <w:szCs w:val="21"/>
                      </w:rPr>
                      <w:t xml:space="preserve"> 页 共 </w:t>
                    </w:r>
                    <w:r>
                      <w:rPr>
                        <w:rFonts w:hint="eastAsia" w:ascii="方正仿宋_GB2312" w:hAnsi="方正仿宋_GB2312" w:eastAsia="方正仿宋_GB2312" w:cs="方正仿宋_GB2312"/>
                        <w:sz w:val="21"/>
                        <w:szCs w:val="21"/>
                      </w:rPr>
                      <w:fldChar w:fldCharType="begin"/>
                    </w:r>
                    <w:r>
                      <w:rPr>
                        <w:rFonts w:hint="eastAsia" w:ascii="方正仿宋_GB2312" w:hAnsi="方正仿宋_GB2312" w:eastAsia="方正仿宋_GB2312" w:cs="方正仿宋_GB2312"/>
                        <w:sz w:val="21"/>
                        <w:szCs w:val="21"/>
                      </w:rPr>
                      <w:instrText xml:space="preserve"> NUMPAGES  \* MERGEFORMAT </w:instrText>
                    </w:r>
                    <w:r>
                      <w:rPr>
                        <w:rFonts w:hint="eastAsia" w:ascii="方正仿宋_GB2312" w:hAnsi="方正仿宋_GB2312" w:eastAsia="方正仿宋_GB2312" w:cs="方正仿宋_GB2312"/>
                        <w:sz w:val="21"/>
                        <w:szCs w:val="21"/>
                      </w:rPr>
                      <w:fldChar w:fldCharType="separate"/>
                    </w:r>
                    <w:r>
                      <w:rPr>
                        <w:rFonts w:hint="eastAsia" w:ascii="方正仿宋_GB2312" w:hAnsi="方正仿宋_GB2312" w:eastAsia="方正仿宋_GB2312" w:cs="方正仿宋_GB2312"/>
                        <w:sz w:val="21"/>
                        <w:szCs w:val="21"/>
                      </w:rPr>
                      <w:t>59</w:t>
                    </w:r>
                    <w:r>
                      <w:rPr>
                        <w:rFonts w:hint="eastAsia" w:ascii="方正仿宋_GB2312" w:hAnsi="方正仿宋_GB2312" w:eastAsia="方正仿宋_GB2312" w:cs="方正仿宋_GB2312"/>
                        <w:sz w:val="21"/>
                        <w:szCs w:val="21"/>
                      </w:rPr>
                      <w:fldChar w:fldCharType="end"/>
                    </w:r>
                    <w:r>
                      <w:rPr>
                        <w:rFonts w:hint="eastAsia" w:ascii="方正仿宋_GB2312" w:hAnsi="方正仿宋_GB2312" w:eastAsia="方正仿宋_GB2312" w:cs="方正仿宋_GB2312"/>
                        <w:sz w:val="21"/>
                        <w:szCs w:val="21"/>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0DF9C5">
    <w:pPr>
      <w:pStyle w:val="8"/>
      <w:rPr>
        <w:rFonts w:asciiTheme="minorEastAsia" w:hAnsiTheme="minorEastAsia" w:eastAsiaTheme="minorEastAsia"/>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posOffset>2066925</wp:posOffset>
              </wp:positionH>
              <wp:positionV relativeFrom="paragraph">
                <wp:posOffset>0</wp:posOffset>
              </wp:positionV>
              <wp:extent cx="1901190" cy="33401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901190" cy="3340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B66756">
                          <w:pPr>
                            <w:pStyle w:val="8"/>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 xml:space="preserve">第 </w:t>
                          </w:r>
                          <w:r>
                            <w:rPr>
                              <w:rFonts w:hint="eastAsia" w:ascii="方正仿宋_GB2312" w:hAnsi="方正仿宋_GB2312" w:eastAsia="方正仿宋_GB2312" w:cs="方正仿宋_GB2312"/>
                              <w:sz w:val="21"/>
                              <w:szCs w:val="21"/>
                            </w:rPr>
                            <w:fldChar w:fldCharType="begin"/>
                          </w:r>
                          <w:r>
                            <w:rPr>
                              <w:rFonts w:hint="eastAsia" w:ascii="方正仿宋_GB2312" w:hAnsi="方正仿宋_GB2312" w:eastAsia="方正仿宋_GB2312" w:cs="方正仿宋_GB2312"/>
                              <w:sz w:val="21"/>
                              <w:szCs w:val="21"/>
                            </w:rPr>
                            <w:instrText xml:space="preserve"> PAGE  \* MERGEFORMAT </w:instrText>
                          </w:r>
                          <w:r>
                            <w:rPr>
                              <w:rFonts w:hint="eastAsia" w:ascii="方正仿宋_GB2312" w:hAnsi="方正仿宋_GB2312" w:eastAsia="方正仿宋_GB2312" w:cs="方正仿宋_GB2312"/>
                              <w:sz w:val="21"/>
                              <w:szCs w:val="21"/>
                            </w:rPr>
                            <w:fldChar w:fldCharType="separate"/>
                          </w:r>
                          <w:r>
                            <w:rPr>
                              <w:rFonts w:hint="eastAsia" w:ascii="方正仿宋_GB2312" w:hAnsi="方正仿宋_GB2312" w:eastAsia="方正仿宋_GB2312" w:cs="方正仿宋_GB2312"/>
                              <w:sz w:val="21"/>
                              <w:szCs w:val="21"/>
                            </w:rPr>
                            <w:t>50</w:t>
                          </w:r>
                          <w:r>
                            <w:rPr>
                              <w:rFonts w:hint="eastAsia" w:ascii="方正仿宋_GB2312" w:hAnsi="方正仿宋_GB2312" w:eastAsia="方正仿宋_GB2312" w:cs="方正仿宋_GB2312"/>
                              <w:sz w:val="21"/>
                              <w:szCs w:val="21"/>
                            </w:rPr>
                            <w:fldChar w:fldCharType="end"/>
                          </w:r>
                          <w:r>
                            <w:rPr>
                              <w:rFonts w:hint="eastAsia" w:ascii="方正仿宋_GB2312" w:hAnsi="方正仿宋_GB2312" w:eastAsia="方正仿宋_GB2312" w:cs="方正仿宋_GB2312"/>
                              <w:sz w:val="21"/>
                              <w:szCs w:val="21"/>
                            </w:rPr>
                            <w:t xml:space="preserve"> 页 共 </w:t>
                          </w:r>
                          <w:r>
                            <w:rPr>
                              <w:rFonts w:hint="eastAsia" w:ascii="方正仿宋_GB2312" w:hAnsi="方正仿宋_GB2312" w:eastAsia="方正仿宋_GB2312" w:cs="方正仿宋_GB2312"/>
                              <w:sz w:val="21"/>
                              <w:szCs w:val="21"/>
                            </w:rPr>
                            <w:fldChar w:fldCharType="begin"/>
                          </w:r>
                          <w:r>
                            <w:rPr>
                              <w:rFonts w:hint="eastAsia" w:ascii="方正仿宋_GB2312" w:hAnsi="方正仿宋_GB2312" w:eastAsia="方正仿宋_GB2312" w:cs="方正仿宋_GB2312"/>
                              <w:sz w:val="21"/>
                              <w:szCs w:val="21"/>
                            </w:rPr>
                            <w:instrText xml:space="preserve"> NUMPAGES  \* MERGEFORMAT </w:instrText>
                          </w:r>
                          <w:r>
                            <w:rPr>
                              <w:rFonts w:hint="eastAsia" w:ascii="方正仿宋_GB2312" w:hAnsi="方正仿宋_GB2312" w:eastAsia="方正仿宋_GB2312" w:cs="方正仿宋_GB2312"/>
                              <w:sz w:val="21"/>
                              <w:szCs w:val="21"/>
                            </w:rPr>
                            <w:fldChar w:fldCharType="separate"/>
                          </w:r>
                          <w:r>
                            <w:rPr>
                              <w:rFonts w:hint="eastAsia" w:ascii="方正仿宋_GB2312" w:hAnsi="方正仿宋_GB2312" w:eastAsia="方正仿宋_GB2312" w:cs="方正仿宋_GB2312"/>
                              <w:sz w:val="21"/>
                              <w:szCs w:val="21"/>
                            </w:rPr>
                            <w:t>59</w:t>
                          </w:r>
                          <w:r>
                            <w:rPr>
                              <w:rFonts w:hint="eastAsia" w:ascii="方正仿宋_GB2312" w:hAnsi="方正仿宋_GB2312" w:eastAsia="方正仿宋_GB2312" w:cs="方正仿宋_GB2312"/>
                              <w:sz w:val="21"/>
                              <w:szCs w:val="21"/>
                            </w:rPr>
                            <w:fldChar w:fldCharType="end"/>
                          </w:r>
                          <w:r>
                            <w:rPr>
                              <w:rFonts w:hint="eastAsia" w:ascii="方正仿宋_GB2312" w:hAnsi="方正仿宋_GB2312" w:eastAsia="方正仿宋_GB2312" w:cs="方正仿宋_GB2312"/>
                              <w:sz w:val="21"/>
                              <w:szCs w:val="21"/>
                            </w:rPr>
                            <w:t xml:space="preserve"> 页</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62.75pt;margin-top:0pt;height:26.3pt;width:149.7pt;mso-position-horizontal-relative:margin;z-index:251660288;mso-width-relative:page;mso-height-relative:page;" filled="f" stroked="f" coordsize="21600,21600" o:gfxdata="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N8j8pvWAAAABwEAAA8AAAAAAAAAAQAgAAAAIgAAAGRycy9kb3ducmV2&#10;LnhtbFBLAQIUABQAAAAIAIdO4kCKbeI3NwIAAGIEAAAOAAAAAAAAAAEAIAAAACUBAABkcnMvZTJv&#10;RG9jLnhtbFBLBQYAAAAABgAGAFkBAADOBQAAAAA=&#10;">
              <v:fill on="f" focussize="0,0"/>
              <v:stroke on="f" weight="0.5pt"/>
              <v:imagedata o:title=""/>
              <o:lock v:ext="edit" aspectratio="f"/>
              <v:textbox inset="0mm,0mm,0mm,0mm">
                <w:txbxContent>
                  <w:p w14:paraId="1FB66756">
                    <w:pPr>
                      <w:pStyle w:val="8"/>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 xml:space="preserve">第 </w:t>
                    </w:r>
                    <w:r>
                      <w:rPr>
                        <w:rFonts w:hint="eastAsia" w:ascii="方正仿宋_GB2312" w:hAnsi="方正仿宋_GB2312" w:eastAsia="方正仿宋_GB2312" w:cs="方正仿宋_GB2312"/>
                        <w:sz w:val="21"/>
                        <w:szCs w:val="21"/>
                      </w:rPr>
                      <w:fldChar w:fldCharType="begin"/>
                    </w:r>
                    <w:r>
                      <w:rPr>
                        <w:rFonts w:hint="eastAsia" w:ascii="方正仿宋_GB2312" w:hAnsi="方正仿宋_GB2312" w:eastAsia="方正仿宋_GB2312" w:cs="方正仿宋_GB2312"/>
                        <w:sz w:val="21"/>
                        <w:szCs w:val="21"/>
                      </w:rPr>
                      <w:instrText xml:space="preserve"> PAGE  \* MERGEFORMAT </w:instrText>
                    </w:r>
                    <w:r>
                      <w:rPr>
                        <w:rFonts w:hint="eastAsia" w:ascii="方正仿宋_GB2312" w:hAnsi="方正仿宋_GB2312" w:eastAsia="方正仿宋_GB2312" w:cs="方正仿宋_GB2312"/>
                        <w:sz w:val="21"/>
                        <w:szCs w:val="21"/>
                      </w:rPr>
                      <w:fldChar w:fldCharType="separate"/>
                    </w:r>
                    <w:r>
                      <w:rPr>
                        <w:rFonts w:hint="eastAsia" w:ascii="方正仿宋_GB2312" w:hAnsi="方正仿宋_GB2312" w:eastAsia="方正仿宋_GB2312" w:cs="方正仿宋_GB2312"/>
                        <w:sz w:val="21"/>
                        <w:szCs w:val="21"/>
                      </w:rPr>
                      <w:t>50</w:t>
                    </w:r>
                    <w:r>
                      <w:rPr>
                        <w:rFonts w:hint="eastAsia" w:ascii="方正仿宋_GB2312" w:hAnsi="方正仿宋_GB2312" w:eastAsia="方正仿宋_GB2312" w:cs="方正仿宋_GB2312"/>
                        <w:sz w:val="21"/>
                        <w:szCs w:val="21"/>
                      </w:rPr>
                      <w:fldChar w:fldCharType="end"/>
                    </w:r>
                    <w:r>
                      <w:rPr>
                        <w:rFonts w:hint="eastAsia" w:ascii="方正仿宋_GB2312" w:hAnsi="方正仿宋_GB2312" w:eastAsia="方正仿宋_GB2312" w:cs="方正仿宋_GB2312"/>
                        <w:sz w:val="21"/>
                        <w:szCs w:val="21"/>
                      </w:rPr>
                      <w:t xml:space="preserve"> 页 共 </w:t>
                    </w:r>
                    <w:r>
                      <w:rPr>
                        <w:rFonts w:hint="eastAsia" w:ascii="方正仿宋_GB2312" w:hAnsi="方正仿宋_GB2312" w:eastAsia="方正仿宋_GB2312" w:cs="方正仿宋_GB2312"/>
                        <w:sz w:val="21"/>
                        <w:szCs w:val="21"/>
                      </w:rPr>
                      <w:fldChar w:fldCharType="begin"/>
                    </w:r>
                    <w:r>
                      <w:rPr>
                        <w:rFonts w:hint="eastAsia" w:ascii="方正仿宋_GB2312" w:hAnsi="方正仿宋_GB2312" w:eastAsia="方正仿宋_GB2312" w:cs="方正仿宋_GB2312"/>
                        <w:sz w:val="21"/>
                        <w:szCs w:val="21"/>
                      </w:rPr>
                      <w:instrText xml:space="preserve"> NUMPAGES  \* MERGEFORMAT </w:instrText>
                    </w:r>
                    <w:r>
                      <w:rPr>
                        <w:rFonts w:hint="eastAsia" w:ascii="方正仿宋_GB2312" w:hAnsi="方正仿宋_GB2312" w:eastAsia="方正仿宋_GB2312" w:cs="方正仿宋_GB2312"/>
                        <w:sz w:val="21"/>
                        <w:szCs w:val="21"/>
                      </w:rPr>
                      <w:fldChar w:fldCharType="separate"/>
                    </w:r>
                    <w:r>
                      <w:rPr>
                        <w:rFonts w:hint="eastAsia" w:ascii="方正仿宋_GB2312" w:hAnsi="方正仿宋_GB2312" w:eastAsia="方正仿宋_GB2312" w:cs="方正仿宋_GB2312"/>
                        <w:sz w:val="21"/>
                        <w:szCs w:val="21"/>
                      </w:rPr>
                      <w:t>59</w:t>
                    </w:r>
                    <w:r>
                      <w:rPr>
                        <w:rFonts w:hint="eastAsia" w:ascii="方正仿宋_GB2312" w:hAnsi="方正仿宋_GB2312" w:eastAsia="方正仿宋_GB2312" w:cs="方正仿宋_GB2312"/>
                        <w:sz w:val="21"/>
                        <w:szCs w:val="21"/>
                      </w:rPr>
                      <w:fldChar w:fldCharType="end"/>
                    </w:r>
                    <w:r>
                      <w:rPr>
                        <w:rFonts w:hint="eastAsia" w:ascii="方正仿宋_GB2312" w:hAnsi="方正仿宋_GB2312" w:eastAsia="方正仿宋_GB2312" w:cs="方正仿宋_GB2312"/>
                        <w:sz w:val="21"/>
                        <w:szCs w:val="21"/>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FCF30F">
    <w:pPr>
      <w:pStyle w:val="8"/>
      <w:rPr>
        <w:rFonts w:asciiTheme="minorEastAsia" w:hAnsiTheme="minorEastAsia" w:eastAsiaTheme="minorEastAsia"/>
        <w:sz w:val="21"/>
        <w:szCs w:val="21"/>
      </w:rPr>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A8CF53">
                          <w:pPr>
                            <w:pStyle w:val="8"/>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58</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59</w:t>
                          </w:r>
                          <w:r>
                            <w:rPr>
                              <w:sz w:val="21"/>
                              <w:szCs w:val="21"/>
                            </w:rPr>
                            <w:fldChar w:fldCharType="end"/>
                          </w:r>
                          <w:r>
                            <w:rPr>
                              <w:sz w:val="21"/>
                              <w:szCs w:val="21"/>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3A8CF53">
                    <w:pPr>
                      <w:pStyle w:val="8"/>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58</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59</w:t>
                    </w:r>
                    <w:r>
                      <w:rPr>
                        <w:sz w:val="21"/>
                        <w:szCs w:val="21"/>
                      </w:rPr>
                      <w:fldChar w:fldCharType="end"/>
                    </w:r>
                    <w:r>
                      <w:rPr>
                        <w:sz w:val="21"/>
                        <w:szCs w:val="21"/>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931FE">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397662"/>
    <w:multiLevelType w:val="singleLevel"/>
    <w:tmpl w:val="18397662"/>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F63FF8"/>
    <w:rsid w:val="02750329"/>
    <w:rsid w:val="02B26E88"/>
    <w:rsid w:val="05314D07"/>
    <w:rsid w:val="06E521B8"/>
    <w:rsid w:val="06F14AD6"/>
    <w:rsid w:val="073C7668"/>
    <w:rsid w:val="07F341CA"/>
    <w:rsid w:val="085F360E"/>
    <w:rsid w:val="08A97F22"/>
    <w:rsid w:val="09B30627"/>
    <w:rsid w:val="0BE04A65"/>
    <w:rsid w:val="116023DE"/>
    <w:rsid w:val="134E7F33"/>
    <w:rsid w:val="169D7717"/>
    <w:rsid w:val="191B708F"/>
    <w:rsid w:val="19CC03D7"/>
    <w:rsid w:val="1A9D7FC6"/>
    <w:rsid w:val="1BB00B6C"/>
    <w:rsid w:val="1CD557F5"/>
    <w:rsid w:val="1CF55E97"/>
    <w:rsid w:val="1D363E4A"/>
    <w:rsid w:val="2AF7354D"/>
    <w:rsid w:val="2CD05FD9"/>
    <w:rsid w:val="2CDB1ABE"/>
    <w:rsid w:val="2D8179AB"/>
    <w:rsid w:val="2E813A2E"/>
    <w:rsid w:val="393608E6"/>
    <w:rsid w:val="39842625"/>
    <w:rsid w:val="3A341B26"/>
    <w:rsid w:val="3A942AC0"/>
    <w:rsid w:val="3B0113FB"/>
    <w:rsid w:val="3CCA034E"/>
    <w:rsid w:val="3D967AB1"/>
    <w:rsid w:val="3E5915D6"/>
    <w:rsid w:val="405467B0"/>
    <w:rsid w:val="415323C0"/>
    <w:rsid w:val="416A0352"/>
    <w:rsid w:val="41712FD1"/>
    <w:rsid w:val="443D5324"/>
    <w:rsid w:val="44D3162C"/>
    <w:rsid w:val="47EB386F"/>
    <w:rsid w:val="489C2A1B"/>
    <w:rsid w:val="49303C2F"/>
    <w:rsid w:val="495C59AF"/>
    <w:rsid w:val="4A7B35D0"/>
    <w:rsid w:val="4C597D51"/>
    <w:rsid w:val="4C653E79"/>
    <w:rsid w:val="4D812CAB"/>
    <w:rsid w:val="543F094E"/>
    <w:rsid w:val="546D7AE7"/>
    <w:rsid w:val="57006FEE"/>
    <w:rsid w:val="572A7F10"/>
    <w:rsid w:val="58F20D5B"/>
    <w:rsid w:val="58FB392D"/>
    <w:rsid w:val="5E8B1BDC"/>
    <w:rsid w:val="5F2C5E9D"/>
    <w:rsid w:val="61802619"/>
    <w:rsid w:val="62375BD7"/>
    <w:rsid w:val="668A2779"/>
    <w:rsid w:val="6A107439"/>
    <w:rsid w:val="6B5E4892"/>
    <w:rsid w:val="6C3F0F37"/>
    <w:rsid w:val="6D6D5055"/>
    <w:rsid w:val="6DB03E09"/>
    <w:rsid w:val="6E242CE9"/>
    <w:rsid w:val="6F710358"/>
    <w:rsid w:val="71076C95"/>
    <w:rsid w:val="72A37D82"/>
    <w:rsid w:val="73840989"/>
    <w:rsid w:val="74136365"/>
    <w:rsid w:val="75CB3BC5"/>
    <w:rsid w:val="75F52E70"/>
    <w:rsid w:val="763F3DF8"/>
    <w:rsid w:val="76AF3B36"/>
    <w:rsid w:val="76B92C06"/>
    <w:rsid w:val="78EF265D"/>
    <w:rsid w:val="795409C4"/>
    <w:rsid w:val="79615FB4"/>
    <w:rsid w:val="79CC6B39"/>
    <w:rsid w:val="7B92225E"/>
    <w:rsid w:val="7BEF71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仿宋_GB2312"/>
      <w:kern w:val="2"/>
      <w:sz w:val="21"/>
      <w:lang w:val="en-US" w:eastAsia="zh-CN" w:bidi="ar-SA"/>
    </w:rPr>
  </w:style>
  <w:style w:type="paragraph" w:styleId="2">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paragraph" w:styleId="3">
    <w:name w:val="heading 3"/>
    <w:basedOn w:val="1"/>
    <w:next w:val="1"/>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rPr>
      <w:rFonts w:ascii="Arial" w:hAnsi="Arial" w:eastAsia="黑体" w:cs="Arial"/>
    </w:rPr>
  </w:style>
  <w:style w:type="paragraph" w:styleId="5">
    <w:name w:val="Body Text"/>
    <w:basedOn w:val="1"/>
    <w:qFormat/>
    <w:uiPriority w:val="0"/>
    <w:pPr>
      <w:spacing w:after="120"/>
    </w:pPr>
    <w:rPr>
      <w:rFonts w:ascii="@微软简标宋" w:hAnsi="@微软简标宋" w:eastAsia="@微软简标宋" w:cs="@微软简标宋"/>
      <w:szCs w:val="24"/>
      <w:lang w:val="zh-CN"/>
    </w:rPr>
  </w:style>
  <w:style w:type="paragraph" w:styleId="6">
    <w:name w:val="Plain Text"/>
    <w:basedOn w:val="1"/>
    <w:qFormat/>
    <w:uiPriority w:val="99"/>
    <w:rPr>
      <w:rFonts w:ascii="宋体" w:hAnsi="Courier New" w:eastAsiaTheme="minorEastAsia" w:cstheme="minorBidi"/>
      <w:szCs w:val="22"/>
    </w:rPr>
  </w:style>
  <w:style w:type="paragraph" w:styleId="7">
    <w:name w:val="Date"/>
    <w:basedOn w:val="1"/>
    <w:next w:val="1"/>
    <w:qFormat/>
    <w:uiPriority w:val="0"/>
    <w:rPr>
      <w:rFonts w:ascii="Arial" w:hAnsi="Arial" w:eastAsia="宋体" w:cs="Arial"/>
      <w:b/>
      <w:sz w:val="28"/>
    </w:rPr>
  </w:style>
  <w:style w:type="paragraph" w:styleId="8">
    <w:name w:val="footer"/>
    <w:basedOn w:val="1"/>
    <w:unhideWhenUsed/>
    <w:qFormat/>
    <w:uiPriority w:val="99"/>
    <w:pPr>
      <w:tabs>
        <w:tab w:val="center" w:pos="4153"/>
        <w:tab w:val="right" w:pos="8306"/>
      </w:tabs>
      <w:snapToGrid w:val="0"/>
      <w:jc w:val="left"/>
    </w:pPr>
    <w:rPr>
      <w:sz w:val="18"/>
      <w:szCs w:val="18"/>
    </w:rPr>
  </w:style>
  <w:style w:type="paragraph" w:styleId="9">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11">
    <w:name w:val="toc 2"/>
    <w:basedOn w:val="1"/>
    <w:next w:val="1"/>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12">
    <w:name w:val="Normal (Web)"/>
    <w:basedOn w:val="1"/>
    <w:qFormat/>
    <w:uiPriority w:val="0"/>
    <w:pPr>
      <w:spacing w:before="100" w:beforeAutospacing="1" w:after="100" w:afterAutospacing="1"/>
      <w:jc w:val="left"/>
    </w:pPr>
    <w:rPr>
      <w:rFonts w:cs="Times New Roman"/>
      <w:kern w:val="0"/>
      <w:sz w:val="24"/>
    </w:rPr>
  </w:style>
  <w:style w:type="paragraph" w:styleId="13">
    <w:name w:val="index 1"/>
    <w:basedOn w:val="1"/>
    <w:next w:val="1"/>
    <w:qFormat/>
    <w:uiPriority w:val="0"/>
    <w:pPr>
      <w:jc w:val="center"/>
    </w:pPr>
    <w:rPr>
      <w:rFonts w:ascii="Arial" w:hAnsi="Arial" w:eastAsia="Arial" w:cs="Arial"/>
      <w:b/>
      <w:bCs/>
      <w:sz w:val="28"/>
    </w:rPr>
  </w:style>
  <w:style w:type="paragraph" w:styleId="14">
    <w:name w:val="Body Text First Indent"/>
    <w:basedOn w:val="5"/>
    <w:unhideWhenUsed/>
    <w:qFormat/>
    <w:uiPriority w:val="99"/>
    <w:pPr>
      <w:ind w:firstLine="420" w:firstLineChars="100"/>
    </w:pPr>
  </w:style>
  <w:style w:type="table" w:styleId="16">
    <w:name w:val="Table Grid"/>
    <w:basedOn w:val="15"/>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Emphasis"/>
    <w:basedOn w:val="17"/>
    <w:qFormat/>
    <w:uiPriority w:val="0"/>
    <w:rPr>
      <w:i/>
    </w:rPr>
  </w:style>
  <w:style w:type="paragraph" w:customStyle="1" w:styleId="19">
    <w:name w:val="样式1"/>
    <w:basedOn w:val="1"/>
    <w:qFormat/>
    <w:uiPriority w:val="0"/>
    <w:pPr>
      <w:spacing w:before="75" w:line="277" w:lineRule="auto"/>
      <w:ind w:left="130" w:right="-9" w:firstLine="478"/>
    </w:pPr>
    <w:rPr>
      <w:rFonts w:ascii="宋体" w:hAnsi="宋体" w:eastAsia="宋体" w:cs="宋体"/>
      <w:snapToGrid w:val="0"/>
      <w:color w:val="000000"/>
      <w:spacing w:val="-1"/>
      <w:kern w:val="0"/>
      <w:sz w:val="24"/>
      <w:szCs w:val="24"/>
    </w:rPr>
  </w:style>
  <w:style w:type="paragraph" w:customStyle="1" w:styleId="20">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21">
    <w:name w:val="D&amp;L"/>
    <w:basedOn w:val="9"/>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22">
    <w:name w:val="Table Normal"/>
    <w:autoRedefine/>
    <w:semiHidden/>
    <w:unhideWhenUsed/>
    <w:qFormat/>
    <w:uiPriority w:val="0"/>
    <w:tblPr>
      <w:tblCellMar>
        <w:top w:w="0" w:type="dxa"/>
        <w:left w:w="0" w:type="dxa"/>
        <w:bottom w:w="0" w:type="dxa"/>
        <w:right w:w="0" w:type="dxa"/>
      </w:tblCellMar>
    </w:tblPr>
  </w:style>
  <w:style w:type="paragraph" w:customStyle="1" w:styleId="23">
    <w:name w:val="Char Char Char Char Char Char Char1 Char"/>
    <w:basedOn w:val="1"/>
    <w:autoRedefine/>
    <w:qFormat/>
    <w:uiPriority w:val="0"/>
    <w:rPr>
      <w:rFonts w:ascii="Arial" w:hAnsi="Arial" w:eastAsia="宋体" w:cs="Arial"/>
      <w:sz w:val="24"/>
    </w:rPr>
  </w:style>
  <w:style w:type="paragraph" w:customStyle="1" w:styleId="24">
    <w:name w:val="Table Text"/>
    <w:basedOn w:val="1"/>
    <w:autoRedefine/>
    <w:semiHidden/>
    <w:qFormat/>
    <w:uiPriority w:val="0"/>
    <w:rPr>
      <w:rFonts w:ascii="Arial" w:hAnsi="Arial" w:eastAsia="Arial" w:cs="Arial"/>
      <w:sz w:val="21"/>
      <w:szCs w:val="21"/>
      <w:lang w:val="en-US" w:eastAsia="en-US" w:bidi="ar-SA"/>
    </w:rPr>
  </w:style>
  <w:style w:type="paragraph" w:customStyle="1" w:styleId="25">
    <w:name w:val="Default"/>
    <w:autoRedefine/>
    <w:qFormat/>
    <w:uiPriority w:val="0"/>
    <w:pPr>
      <w:widowControl w:val="0"/>
      <w:autoSpaceDE w:val="0"/>
      <w:autoSpaceDN w:val="0"/>
      <w:adjustRightInd w:val="0"/>
    </w:pPr>
    <w:rPr>
      <w:rFonts w:ascii="黑体" w:hAnsi="Times New Roman" w:eastAsia="黑体" w:cs="Times New Roman"/>
      <w:kern w:val="0"/>
      <w:sz w:val="20"/>
      <w:szCs w:val="2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35</Pages>
  <Words>144</Words>
  <Characters>163</Characters>
  <Lines>0</Lines>
  <Paragraphs>0</Paragraphs>
  <TotalTime>8</TotalTime>
  <ScaleCrop>false</ScaleCrop>
  <LinksUpToDate>false</LinksUpToDate>
  <CharactersWithSpaces>191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2023-12-20T04:08:00Z</dcterms:created>
  <dc:creator>Administrator</dc:creator>
  <cp:lastModifiedBy>徐成武</cp:lastModifiedBy>
  <cp:lastPrinted>2026-10-13T03:15:00Z</cp:lastPrinted>
  <dcterms:modified xsi:type="dcterms:W3CDTF">2026-10-13T07:26:44Z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5815BDEFBFD1491499A8CD20F51E92D8_13</vt:lpwstr>
  </property>
  <property fmtid="{D5CDD505-2E9C-101B-9397-08002B2CF9AE}" pid="4" name="KSOTemplateDocerSaveRecord">
    <vt:lpwstr>eyJoZGlkIjoiOWI3MmFmMWI0MGMwMmE4MWFmYzY4ZDc1NzljYzI2NDMiLCJ1c2VySWQiOiIxNjgwNjA5Nzc1In0=</vt:lpwstr>
  </property>
</Properties>
</file>