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7250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1802CDAC">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lang w:val="en-US" w:eastAsia="zh-CN"/>
        </w:rPr>
        <w:t>竞争性谈判</w:t>
      </w:r>
      <w:r>
        <w:rPr>
          <w:rFonts w:hint="eastAsia" w:ascii="宋体" w:hAnsi="宋体" w:eastAsia="宋体"/>
          <w:b/>
          <w:bCs/>
          <w:color w:val="auto"/>
          <w:sz w:val="52"/>
          <w:szCs w:val="52"/>
          <w:highlight w:val="none"/>
        </w:rPr>
        <w:t>文件</w:t>
      </w:r>
    </w:p>
    <w:bookmarkEnd w:id="0"/>
    <w:p w14:paraId="756630EB">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lang w:eastAsia="zh-CN"/>
        </w:rPr>
      </w:pPr>
    </w:p>
    <w:p w14:paraId="659450DE">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194EB8F3">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lang w:val="en-US" w:eastAsia="zh-CN"/>
        </w:rPr>
        <w:t>货物类</w:t>
      </w:r>
      <w:r>
        <w:rPr>
          <w:rFonts w:hint="eastAsia" w:ascii="宋体" w:hAnsi="宋体" w:eastAsia="宋体" w:cs="宋体"/>
          <w:b/>
          <w:bCs/>
          <w:color w:val="auto"/>
          <w:sz w:val="36"/>
          <w:szCs w:val="36"/>
          <w:highlight w:val="none"/>
          <w:lang w:eastAsia="zh-CN"/>
        </w:rPr>
        <w:t>）</w:t>
      </w:r>
    </w:p>
    <w:p w14:paraId="3157AAC6">
      <w:pPr>
        <w:tabs>
          <w:tab w:val="left" w:pos="315"/>
          <w:tab w:val="left" w:pos="8820"/>
        </w:tabs>
        <w:spacing w:before="240" w:beforeLines="100" w:after="120" w:afterLines="50" w:line="500" w:lineRule="exact"/>
        <w:ind w:right="267" w:rightChars="127"/>
        <w:jc w:val="center"/>
        <w:rPr>
          <w:rFonts w:ascii="宋体" w:hAnsi="宋体" w:eastAsia="宋体"/>
          <w:bCs/>
          <w:color w:val="auto"/>
          <w:sz w:val="44"/>
          <w:szCs w:val="44"/>
          <w:highlight w:val="none"/>
        </w:rPr>
      </w:pPr>
    </w:p>
    <w:p w14:paraId="2982BF24">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30BD104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130F0BA9">
      <w:pPr>
        <w:tabs>
          <w:tab w:val="left" w:pos="315"/>
          <w:tab w:val="left" w:pos="8820"/>
        </w:tabs>
        <w:spacing w:before="240" w:beforeLines="100" w:after="120" w:afterLines="50" w:line="500" w:lineRule="exact"/>
        <w:ind w:right="267" w:rightChars="127"/>
        <w:jc w:val="both"/>
        <w:rPr>
          <w:rFonts w:ascii="宋体" w:hAnsi="宋体" w:eastAsia="宋体"/>
          <w:b/>
          <w:bCs/>
          <w:color w:val="auto"/>
          <w:sz w:val="44"/>
          <w:szCs w:val="44"/>
          <w:highlight w:val="none"/>
        </w:rPr>
      </w:pPr>
    </w:p>
    <w:p w14:paraId="4C161B55">
      <w:pPr>
        <w:tabs>
          <w:tab w:val="left" w:pos="315"/>
          <w:tab w:val="left" w:pos="8820"/>
        </w:tabs>
        <w:spacing w:before="240" w:beforeLines="100" w:after="120" w:afterLines="50" w:line="500" w:lineRule="exact"/>
        <w:ind w:right="267" w:rightChars="127"/>
        <w:jc w:val="both"/>
        <w:rPr>
          <w:rFonts w:ascii="宋体" w:hAnsi="宋体" w:eastAsia="宋体"/>
          <w:b/>
          <w:bCs/>
          <w:color w:val="auto"/>
          <w:sz w:val="44"/>
          <w:szCs w:val="44"/>
          <w:highlight w:val="none"/>
        </w:rPr>
      </w:pPr>
    </w:p>
    <w:p w14:paraId="0A558265">
      <w:pPr>
        <w:tabs>
          <w:tab w:val="left" w:pos="2410"/>
        </w:tabs>
        <w:autoSpaceDE w:val="0"/>
        <w:autoSpaceDN w:val="0"/>
        <w:adjustRightInd w:val="0"/>
        <w:snapToGrid w:val="0"/>
        <w:spacing w:line="360" w:lineRule="auto"/>
        <w:ind w:left="2444" w:leftChars="304" w:hanging="1806" w:hangingChars="5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lang w:eastAsia="zh-CN"/>
        </w:rPr>
        <w:t>2026年中央财政《大别山山核桃成林改造提升技术推广项目》-大别山山核桃有机肥采购项目</w:t>
      </w:r>
    </w:p>
    <w:p w14:paraId="44F7CC4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lang w:val="en-US" w:eastAsia="zh-CN"/>
        </w:rPr>
        <w:t>DBSCG-2026-129</w:t>
      </w:r>
    </w:p>
    <w:p w14:paraId="5D4DC0B7">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lang w:val="en-US" w:eastAsia="zh-CN"/>
        </w:rPr>
        <w:t>霍山县林业局</w:t>
      </w:r>
    </w:p>
    <w:p w14:paraId="6F116E3F">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lang w:val="en-US" w:eastAsia="zh-CN"/>
        </w:rPr>
        <w:t>安徽大别山工程咨询有限公司</w:t>
      </w:r>
    </w:p>
    <w:p w14:paraId="563FC288">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sectPr>
          <w:footerReference r:id="rId3" w:type="default"/>
          <w:pgSz w:w="11907" w:h="16840"/>
          <w:pgMar w:top="1474" w:right="1814" w:bottom="1474" w:left="1814" w:header="851" w:footer="992" w:gutter="0"/>
          <w:pgNumType w:fmt="decimal"/>
          <w:cols w:space="720" w:num="1"/>
          <w:docGrid w:linePitch="462" w:charSpace="0"/>
        </w:sectPr>
      </w:pPr>
      <w:r>
        <w:rPr>
          <w:rFonts w:hint="eastAsia" w:ascii="宋体" w:hAnsi="宋体" w:eastAsia="宋体"/>
          <w:b/>
          <w:color w:val="auto"/>
          <w:spacing w:val="20"/>
          <w:kern w:val="0"/>
          <w:sz w:val="32"/>
          <w:szCs w:val="32"/>
          <w:highlight w:val="none"/>
          <w:lang w:val="en-US" w:eastAsia="zh-CN"/>
        </w:rPr>
        <w:t>采购时间：2026年11月</w:t>
      </w:r>
    </w:p>
    <w:p w14:paraId="14B5151F">
      <w:pPr>
        <w:tabs>
          <w:tab w:val="left" w:pos="2410"/>
        </w:tabs>
        <w:autoSpaceDE w:val="0"/>
        <w:autoSpaceDN w:val="0"/>
        <w:adjustRightInd w:val="0"/>
        <w:snapToGrid w:val="0"/>
        <w:spacing w:line="360" w:lineRule="auto"/>
        <w:jc w:val="center"/>
        <w:rPr>
          <w:rFonts w:ascii="宋体" w:hAnsi="宋体" w:eastAsia="宋体"/>
          <w:b/>
          <w:color w:val="auto"/>
          <w:sz w:val="40"/>
          <w:szCs w:val="24"/>
          <w:highlight w:val="none"/>
        </w:rPr>
      </w:pPr>
      <w:r>
        <w:rPr>
          <w:rFonts w:hint="eastAsia" w:ascii="宋体" w:hAnsi="宋体" w:eastAsia="宋体"/>
          <w:b/>
          <w:color w:val="auto"/>
          <w:sz w:val="40"/>
          <w:szCs w:val="24"/>
          <w:highlight w:val="none"/>
        </w:rPr>
        <w:t>目  录</w:t>
      </w:r>
    </w:p>
    <w:p w14:paraId="35F9380E">
      <w:pPr>
        <w:pStyle w:val="10"/>
        <w:tabs>
          <w:tab w:val="right" w:leader="dot" w:pos="8279"/>
        </w:tabs>
        <w:spacing w:line="360" w:lineRule="auto"/>
        <w:rPr>
          <w:rFonts w:asciiTheme="minorEastAsia" w:hAnsiTheme="minorEastAsia"/>
          <w:b/>
          <w:bCs/>
          <w:color w:val="auto"/>
          <w:sz w:val="24"/>
          <w:szCs w:val="24"/>
          <w:highlight w:val="none"/>
        </w:rPr>
      </w:pPr>
    </w:p>
    <w:p w14:paraId="48ED10C1">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TOC \o "1-2" \h \z \u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_Toc14792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eastAsia="zh-CN"/>
        </w:rPr>
        <w:t>采购邀请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_Toc14792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25468DA3">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_Toc21898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第二章  供应商须知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_Toc21898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980B36C">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_Toc25461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第三章  采购需求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_Toc25461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20</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13419AD4">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_Toc20811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第四章  评审方法和标准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_Toc20811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22</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141A984">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_Toc6738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第五章  采购合同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_Toc6738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24</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DE4147C">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_Toc24145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第六章  响应文件格式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_Toc24145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25</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2BF97C13">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_Toc11034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val="en-US" w:eastAsia="zh-CN"/>
        </w:rPr>
        <w:t>七</w:t>
      </w:r>
      <w:r>
        <w:rPr>
          <w:rFonts w:hint="eastAsia" w:ascii="宋体" w:hAnsi="宋体" w:eastAsia="宋体" w:cs="宋体"/>
          <w:bCs/>
          <w:color w:val="auto"/>
          <w:sz w:val="28"/>
          <w:szCs w:val="28"/>
          <w:highlight w:val="none"/>
        </w:rPr>
        <w:t xml:space="preserve">章  </w:t>
      </w:r>
      <w:r>
        <w:rPr>
          <w:rFonts w:hint="eastAsia" w:ascii="宋体" w:hAnsi="宋体" w:eastAsia="宋体" w:cs="宋体"/>
          <w:color w:val="auto"/>
          <w:sz w:val="28"/>
          <w:szCs w:val="28"/>
          <w:highlight w:val="none"/>
        </w:rPr>
        <w:t>供应</w:t>
      </w:r>
      <w:r>
        <w:rPr>
          <w:rFonts w:hint="eastAsia" w:ascii="宋体" w:hAnsi="宋体" w:eastAsia="宋体" w:cs="宋体"/>
          <w:bCs/>
          <w:color w:val="auto"/>
          <w:sz w:val="28"/>
          <w:szCs w:val="28"/>
          <w:highlight w:val="none"/>
        </w:rPr>
        <w:t>商询问函和质疑函范本</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_Toc11034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34</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507F9508">
      <w:pPr>
        <w:pStyle w:val="11"/>
        <w:tabs>
          <w:tab w:val="right" w:leader="dot" w:pos="8296"/>
        </w:tabs>
        <w:spacing w:line="360" w:lineRule="auto"/>
        <w:rPr>
          <w:color w:val="auto"/>
          <w:highlight w:val="none"/>
        </w:rPr>
      </w:pPr>
      <w:r>
        <w:rPr>
          <w:rFonts w:hint="eastAsia" w:ascii="宋体" w:hAnsi="宋体" w:eastAsia="宋体" w:cs="宋体"/>
          <w:bCs/>
          <w:color w:val="auto"/>
          <w:sz w:val="28"/>
          <w:szCs w:val="28"/>
          <w:highlight w:val="none"/>
        </w:rPr>
        <w:fldChar w:fldCharType="end"/>
      </w:r>
    </w:p>
    <w:p w14:paraId="7C6D5CD5">
      <w:pPr>
        <w:spacing w:line="360" w:lineRule="auto"/>
        <w:jc w:val="center"/>
        <w:outlineLvl w:val="1"/>
        <w:rPr>
          <w:rFonts w:asciiTheme="minorEastAsia" w:hAnsiTheme="minorEastAsia" w:eastAsiaTheme="minorEastAsia"/>
          <w:b/>
          <w:color w:val="auto"/>
          <w:sz w:val="28"/>
          <w:highlight w:val="none"/>
        </w:rPr>
        <w:sectPr>
          <w:pgSz w:w="11907" w:h="16840"/>
          <w:pgMar w:top="1474" w:right="1814" w:bottom="1474" w:left="1814" w:header="851" w:footer="992" w:gutter="0"/>
          <w:pgNumType w:fmt="decimal"/>
          <w:cols w:space="720" w:num="1"/>
          <w:docGrid w:linePitch="462" w:charSpace="0"/>
        </w:sectPr>
      </w:pPr>
    </w:p>
    <w:p w14:paraId="460F3F8D">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14792"/>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bookmarkEnd w:id="1"/>
      <w:r>
        <w:rPr>
          <w:rFonts w:hint="eastAsia" w:asciiTheme="minorEastAsia" w:hAnsiTheme="minorEastAsia" w:eastAsiaTheme="minorEastAsia"/>
          <w:b/>
          <w:color w:val="auto"/>
          <w:sz w:val="28"/>
          <w:highlight w:val="none"/>
          <w:lang w:eastAsia="zh-CN"/>
        </w:rPr>
        <w:t>采购邀请</w:t>
      </w:r>
    </w:p>
    <w:p w14:paraId="569E2B0F">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4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r>
        <w:rPr>
          <w:rFonts w:hint="eastAsia" w:ascii="仿宋" w:hAnsi="仿宋" w:eastAsia="仿宋" w:cs="仿宋"/>
          <w:color w:val="auto"/>
          <w:sz w:val="28"/>
          <w:szCs w:val="28"/>
          <w:highlight w:val="none"/>
          <w:u w:val="single"/>
          <w:lang w:eastAsia="zh-CN"/>
        </w:rPr>
        <w:t>2026年中央财政《大别山山核桃成林改造提升技术推广项目》-大别山山核桃有机肥采购项目</w:t>
      </w:r>
      <w:r>
        <w:rPr>
          <w:rFonts w:hint="eastAsia" w:ascii="仿宋" w:hAnsi="仿宋" w:eastAsia="仿宋" w:cs="仿宋"/>
          <w:color w:val="auto"/>
          <w:sz w:val="28"/>
          <w:szCs w:val="28"/>
          <w:highlight w:val="none"/>
          <w:u w:val="single"/>
        </w:rPr>
        <w:t>（项目编号：</w:t>
      </w:r>
      <w:r>
        <w:rPr>
          <w:rFonts w:hint="eastAsia" w:ascii="仿宋" w:hAnsi="仿宋" w:eastAsia="仿宋" w:cs="仿宋"/>
          <w:color w:val="auto"/>
          <w:sz w:val="28"/>
          <w:szCs w:val="28"/>
          <w:highlight w:val="none"/>
          <w:u w:val="single"/>
          <w:lang w:eastAsia="zh-CN"/>
        </w:rPr>
        <w:t>DBSCG-2026-129</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rPr>
        <w:t>的潜在供应商应在</w:t>
      </w:r>
      <w:r>
        <w:rPr>
          <w:rFonts w:hint="eastAsia" w:ascii="仿宋" w:hAnsi="仿宋" w:eastAsia="仿宋" w:cs="仿宋"/>
          <w:color w:val="auto"/>
          <w:sz w:val="28"/>
          <w:szCs w:val="28"/>
          <w:highlight w:val="none"/>
          <w:lang w:eastAsia="zh-CN"/>
        </w:rPr>
        <w:t>安徽霍山国有资产投资控股集团有限公司</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none"/>
          <w:lang w:eastAsia="zh-CN"/>
        </w:rPr>
        <w:t>http://www.ahdmig.cn</w:t>
      </w:r>
      <w:r>
        <w:rPr>
          <w:rFonts w:hint="eastAsia" w:ascii="仿宋" w:hAnsi="仿宋" w:eastAsia="仿宋" w:cs="仿宋"/>
          <w:color w:val="auto"/>
          <w:sz w:val="28"/>
          <w:szCs w:val="28"/>
          <w:highlight w:val="none"/>
          <w:u w:val="none"/>
        </w:rPr>
        <w:t>）获取采购文件，并于</w:t>
      </w:r>
      <w:r>
        <w:rPr>
          <w:rFonts w:hint="eastAsia" w:ascii="仿宋" w:hAnsi="仿宋" w:eastAsia="仿宋" w:cs="仿宋"/>
          <w:bCs/>
          <w:color w:val="auto"/>
          <w:sz w:val="28"/>
          <w:szCs w:val="28"/>
          <w:highlight w:val="none"/>
          <w:u w:val="single"/>
          <w:lang w:val="en-US" w:eastAsia="zh-CN"/>
        </w:rPr>
        <w:t>2026年11月6日10点00分</w:t>
      </w:r>
      <w:r>
        <w:rPr>
          <w:rFonts w:hint="eastAsia" w:ascii="仿宋" w:hAnsi="仿宋" w:eastAsia="仿宋" w:cs="仿宋"/>
          <w:color w:val="auto"/>
          <w:sz w:val="28"/>
          <w:szCs w:val="28"/>
          <w:highlight w:val="none"/>
        </w:rPr>
        <w:t>（北京时间）前</w:t>
      </w:r>
      <w:r>
        <w:rPr>
          <w:rFonts w:hint="eastAsia" w:ascii="仿宋" w:hAnsi="仿宋" w:eastAsia="仿宋" w:cs="仿宋"/>
          <w:color w:val="auto"/>
          <w:sz w:val="28"/>
          <w:szCs w:val="28"/>
          <w:highlight w:val="none"/>
          <w:lang w:val="en-US" w:eastAsia="zh-CN"/>
        </w:rPr>
        <w:t>提交</w:t>
      </w:r>
      <w:r>
        <w:rPr>
          <w:rFonts w:hint="eastAsia" w:ascii="仿宋" w:hAnsi="仿宋" w:eastAsia="仿宋" w:cs="仿宋"/>
          <w:color w:val="auto"/>
          <w:sz w:val="28"/>
          <w:szCs w:val="28"/>
          <w:highlight w:val="none"/>
        </w:rPr>
        <w:t>响应文件。</w:t>
      </w:r>
    </w:p>
    <w:p w14:paraId="5F0D980E">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 w:name="_Toc20658"/>
      <w:bookmarkStart w:id="3" w:name="_Toc13970"/>
      <w:bookmarkStart w:id="4" w:name="_Toc35393629"/>
      <w:bookmarkStart w:id="5" w:name="_Toc31720"/>
      <w:bookmarkStart w:id="6" w:name="_Toc35393798"/>
      <w:bookmarkStart w:id="7" w:name="_Toc28359012"/>
      <w:bookmarkStart w:id="8" w:name="_Toc9864"/>
      <w:bookmarkStart w:id="9" w:name="_Toc28359089"/>
      <w:r>
        <w:rPr>
          <w:rFonts w:hint="eastAsia" w:ascii="黑体" w:hAnsi="黑体" w:cs="黑体"/>
          <w:b w:val="0"/>
          <w:bCs/>
          <w:color w:val="auto"/>
          <w:sz w:val="28"/>
          <w:szCs w:val="28"/>
          <w:highlight w:val="none"/>
        </w:rPr>
        <w:t>一、项目基本情况</w:t>
      </w:r>
      <w:bookmarkEnd w:id="2"/>
      <w:bookmarkEnd w:id="3"/>
      <w:bookmarkEnd w:id="4"/>
      <w:bookmarkEnd w:id="5"/>
      <w:bookmarkEnd w:id="6"/>
      <w:bookmarkEnd w:id="7"/>
      <w:bookmarkEnd w:id="8"/>
      <w:bookmarkEnd w:id="9"/>
    </w:p>
    <w:p w14:paraId="3F840EB5">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1、项目编号：</w:t>
      </w:r>
      <w:r>
        <w:rPr>
          <w:rFonts w:hint="eastAsia" w:ascii="仿宋" w:hAnsi="仿宋" w:eastAsia="仿宋" w:cs="仿宋"/>
          <w:color w:val="auto"/>
          <w:sz w:val="28"/>
          <w:szCs w:val="28"/>
          <w:highlight w:val="none"/>
          <w:lang w:eastAsia="zh-CN"/>
        </w:rPr>
        <w:t>DBSCG-2026-129</w:t>
      </w:r>
    </w:p>
    <w:p w14:paraId="3E1C1475">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2、项目名称：</w:t>
      </w:r>
      <w:r>
        <w:rPr>
          <w:rFonts w:hint="eastAsia" w:ascii="仿宋" w:hAnsi="仿宋" w:eastAsia="仿宋" w:cs="仿宋"/>
          <w:color w:val="auto"/>
          <w:sz w:val="28"/>
          <w:szCs w:val="28"/>
          <w:highlight w:val="none"/>
          <w:lang w:eastAsia="zh-CN"/>
        </w:rPr>
        <w:t>2026年中央财政《大别山山核桃成林改造提升技术推广项目》-大别山山核桃有机肥采购项目</w:t>
      </w:r>
    </w:p>
    <w:p w14:paraId="5EC258EC">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3、项目类型：</w:t>
      </w:r>
      <w:r>
        <w:rPr>
          <w:rFonts w:hint="eastAsia" w:ascii="仿宋" w:hAnsi="仿宋" w:eastAsia="仿宋" w:cs="仿宋"/>
          <w:color w:val="auto"/>
          <w:sz w:val="28"/>
          <w:szCs w:val="28"/>
          <w:highlight w:val="none"/>
          <w:lang w:val="en-US" w:eastAsia="zh-CN"/>
        </w:rPr>
        <w:t>货物</w:t>
      </w:r>
      <w:r>
        <w:rPr>
          <w:rFonts w:hint="eastAsia" w:ascii="仿宋" w:hAnsi="仿宋" w:eastAsia="仿宋" w:cs="仿宋"/>
          <w:color w:val="auto"/>
          <w:sz w:val="28"/>
          <w:szCs w:val="28"/>
          <w:highlight w:val="none"/>
        </w:rPr>
        <w:t>类</w:t>
      </w:r>
    </w:p>
    <w:p w14:paraId="7F58387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4、采购方式：竞争性</w:t>
      </w:r>
      <w:r>
        <w:rPr>
          <w:rFonts w:hint="eastAsia" w:ascii="仿宋" w:hAnsi="仿宋" w:eastAsia="仿宋" w:cs="仿宋"/>
          <w:color w:val="auto"/>
          <w:sz w:val="28"/>
          <w:szCs w:val="28"/>
          <w:highlight w:val="none"/>
          <w:lang w:eastAsia="zh-CN"/>
        </w:rPr>
        <w:t>谈判</w:t>
      </w:r>
    </w:p>
    <w:p w14:paraId="147FD52C">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5、预算金额：</w:t>
      </w:r>
      <w:r>
        <w:rPr>
          <w:rFonts w:hint="eastAsia" w:ascii="仿宋" w:hAnsi="仿宋" w:eastAsia="仿宋" w:cs="仿宋"/>
          <w:color w:val="auto"/>
          <w:sz w:val="28"/>
          <w:szCs w:val="28"/>
          <w:highlight w:val="none"/>
          <w:u w:val="single"/>
          <w:lang w:val="en-US" w:eastAsia="zh-CN"/>
        </w:rPr>
        <w:t>19.8万元</w:t>
      </w:r>
    </w:p>
    <w:p w14:paraId="2E8BAC7B">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6、最高限价：</w:t>
      </w:r>
      <w:r>
        <w:rPr>
          <w:rFonts w:hint="eastAsia" w:ascii="仿宋" w:hAnsi="仿宋" w:eastAsia="仿宋" w:cs="仿宋"/>
          <w:color w:val="auto"/>
          <w:sz w:val="28"/>
          <w:szCs w:val="28"/>
          <w:highlight w:val="none"/>
          <w:u w:val="single"/>
          <w:lang w:val="en-US" w:eastAsia="zh-CN"/>
        </w:rPr>
        <w:t>19.8万元</w:t>
      </w:r>
    </w:p>
    <w:p w14:paraId="70A95FF3">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7、采购需求：</w:t>
      </w:r>
      <w:r>
        <w:rPr>
          <w:rFonts w:hint="eastAsia" w:ascii="仿宋" w:hAnsi="仿宋" w:eastAsia="仿宋" w:cs="仿宋"/>
          <w:i w:val="0"/>
          <w:iCs w:val="0"/>
          <w:color w:val="auto"/>
          <w:sz w:val="28"/>
          <w:szCs w:val="28"/>
          <w:highlight w:val="none"/>
          <w:lang w:val="en-US" w:eastAsia="zh-CN"/>
        </w:rPr>
        <w:t>2026年中央财政《大别山山核桃成林改造提升技术推广项目》-大别山山核桃有机肥采购项目</w:t>
      </w:r>
      <w:r>
        <w:rPr>
          <w:rFonts w:hint="eastAsia" w:ascii="仿宋" w:hAnsi="仿宋" w:eastAsia="仿宋" w:cs="仿宋"/>
          <w:i w:val="0"/>
          <w:iCs w:val="0"/>
          <w:color w:val="auto"/>
          <w:sz w:val="28"/>
          <w:szCs w:val="28"/>
          <w:highlight w:val="none"/>
          <w:lang w:eastAsia="zh-CN"/>
        </w:rPr>
        <w:t>，</w:t>
      </w:r>
      <w:r>
        <w:rPr>
          <w:rFonts w:hint="eastAsia" w:ascii="仿宋" w:hAnsi="仿宋" w:eastAsia="仿宋" w:cs="仿宋"/>
          <w:i w:val="0"/>
          <w:iCs w:val="0"/>
          <w:color w:val="auto"/>
          <w:sz w:val="28"/>
          <w:szCs w:val="28"/>
          <w:highlight w:val="none"/>
          <w:lang w:val="en-US" w:eastAsia="zh-CN"/>
        </w:rPr>
        <w:t>详见采购需求。</w:t>
      </w:r>
    </w:p>
    <w:p w14:paraId="6CF9F2AF">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8、合同履行期限：</w:t>
      </w:r>
      <w:r>
        <w:rPr>
          <w:rFonts w:hint="eastAsia" w:ascii="仿宋" w:hAnsi="仿宋" w:eastAsia="仿宋" w:cs="仿宋"/>
          <w:color w:val="auto"/>
          <w:sz w:val="28"/>
          <w:szCs w:val="28"/>
          <w:highlight w:val="none"/>
          <w:lang w:eastAsia="zh-CN"/>
        </w:rPr>
        <w:t>合同签订后20个日历天内完成供货82.5吨，2027年3-4月份完成供货82.5吨。</w:t>
      </w:r>
    </w:p>
    <w:p w14:paraId="7CEB6FCD">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9、是否接受联合体：本项目不接受联合体。</w:t>
      </w:r>
    </w:p>
    <w:p w14:paraId="55F43B44">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10" w:name="_Toc8072"/>
      <w:bookmarkStart w:id="11" w:name="_Toc28359013"/>
      <w:bookmarkStart w:id="12" w:name="_Toc35393799"/>
      <w:bookmarkStart w:id="13" w:name="_Toc28359090"/>
      <w:bookmarkStart w:id="14" w:name="_Toc35393630"/>
      <w:bookmarkStart w:id="15" w:name="_Toc31029"/>
      <w:bookmarkStart w:id="16" w:name="_Toc24573"/>
      <w:bookmarkStart w:id="17" w:name="_Toc18558"/>
      <w:bookmarkStart w:id="18" w:name="_Toc28359014"/>
      <w:bookmarkStart w:id="19" w:name="_Toc28359091"/>
      <w:r>
        <w:rPr>
          <w:rFonts w:hint="eastAsia" w:ascii="黑体" w:hAnsi="黑体" w:cs="黑体"/>
          <w:b w:val="0"/>
          <w:bCs/>
          <w:color w:val="auto"/>
          <w:sz w:val="28"/>
          <w:szCs w:val="28"/>
          <w:highlight w:val="none"/>
        </w:rPr>
        <w:t>二、申请人的资格要求</w:t>
      </w:r>
      <w:bookmarkEnd w:id="10"/>
      <w:bookmarkEnd w:id="11"/>
      <w:bookmarkEnd w:id="12"/>
      <w:bookmarkEnd w:id="13"/>
      <w:bookmarkEnd w:id="14"/>
      <w:bookmarkEnd w:id="15"/>
      <w:bookmarkEnd w:id="16"/>
      <w:bookmarkEnd w:id="17"/>
    </w:p>
    <w:p w14:paraId="3586D5C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供应商须具有有效的营业执照</w:t>
      </w:r>
      <w:r>
        <w:rPr>
          <w:rFonts w:hint="eastAsia" w:ascii="仿宋" w:hAnsi="仿宋" w:eastAsia="仿宋" w:cs="仿宋"/>
          <w:color w:val="auto"/>
          <w:sz w:val="28"/>
          <w:szCs w:val="28"/>
          <w:highlight w:val="none"/>
        </w:rPr>
        <w:t>；</w:t>
      </w:r>
    </w:p>
    <w:p w14:paraId="33FFFBF6">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2、本项目的特定资格要求：</w:t>
      </w:r>
      <w:r>
        <w:rPr>
          <w:rFonts w:hint="eastAsia"/>
          <w:sz w:val="28"/>
          <w:szCs w:val="36"/>
          <w:lang w:val="en-US" w:eastAsia="zh-CN"/>
        </w:rPr>
        <w:t>具有</w:t>
      </w:r>
      <w:r>
        <w:rPr>
          <w:rFonts w:hint="default"/>
          <w:sz w:val="28"/>
          <w:szCs w:val="36"/>
          <w:lang w:val="en-US" w:eastAsia="zh-CN"/>
        </w:rPr>
        <w:t>微生物肥料登记证</w:t>
      </w:r>
      <w:r>
        <w:rPr>
          <w:rFonts w:hint="eastAsia" w:ascii="仿宋" w:hAnsi="仿宋" w:eastAsia="仿宋" w:cs="仿宋"/>
          <w:color w:val="auto"/>
          <w:sz w:val="28"/>
          <w:szCs w:val="28"/>
          <w:highlight w:val="none"/>
          <w:lang w:val="en-US" w:eastAsia="zh-CN"/>
        </w:rPr>
        <w:t>。</w:t>
      </w:r>
    </w:p>
    <w:p w14:paraId="2A5B3399">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0" w:name="_Toc32583"/>
      <w:bookmarkStart w:id="21" w:name="_Toc35393631"/>
      <w:bookmarkStart w:id="22" w:name="_Toc23310"/>
      <w:bookmarkStart w:id="23" w:name="_Toc26634"/>
      <w:bookmarkStart w:id="24" w:name="_Toc35393800"/>
      <w:bookmarkStart w:id="25" w:name="_Toc575"/>
      <w:r>
        <w:rPr>
          <w:rFonts w:hint="eastAsia" w:ascii="黑体" w:hAnsi="黑体" w:cs="黑体"/>
          <w:b w:val="0"/>
          <w:bCs/>
          <w:color w:val="auto"/>
          <w:sz w:val="28"/>
          <w:szCs w:val="28"/>
          <w:highlight w:val="none"/>
        </w:rPr>
        <w:t>三、获取采购文件</w:t>
      </w:r>
      <w:bookmarkEnd w:id="18"/>
      <w:bookmarkEnd w:id="19"/>
      <w:bookmarkEnd w:id="20"/>
      <w:bookmarkEnd w:id="21"/>
      <w:bookmarkEnd w:id="22"/>
      <w:bookmarkEnd w:id="23"/>
      <w:bookmarkEnd w:id="24"/>
      <w:bookmarkEnd w:id="25"/>
    </w:p>
    <w:p w14:paraId="238E7DF5">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2026年11月3日</w:t>
      </w:r>
      <w:r>
        <w:rPr>
          <w:rFonts w:hint="eastAsia" w:ascii="仿宋" w:hAnsi="仿宋" w:eastAsia="仿宋" w:cs="仿宋"/>
          <w:bCs/>
          <w:color w:val="auto"/>
          <w:sz w:val="28"/>
          <w:szCs w:val="28"/>
          <w:highlight w:val="none"/>
        </w:rPr>
        <w:t>至</w:t>
      </w:r>
      <w:bookmarkStart w:id="122" w:name="_GoBack"/>
      <w:bookmarkEnd w:id="122"/>
      <w:r>
        <w:rPr>
          <w:rFonts w:hint="eastAsia" w:ascii="仿宋" w:hAnsi="仿宋" w:eastAsia="仿宋" w:cs="仿宋"/>
          <w:bCs/>
          <w:color w:val="auto"/>
          <w:sz w:val="28"/>
          <w:szCs w:val="28"/>
          <w:highlight w:val="none"/>
          <w:u w:val="single"/>
          <w:lang w:val="en-US" w:eastAsia="zh-CN"/>
        </w:rPr>
        <w:t>2026年11月6日10点00分</w:t>
      </w:r>
      <w:r>
        <w:rPr>
          <w:rFonts w:hint="eastAsia" w:ascii="仿宋" w:hAnsi="仿宋" w:eastAsia="仿宋" w:cs="仿宋"/>
          <w:color w:val="auto"/>
          <w:sz w:val="28"/>
          <w:szCs w:val="28"/>
          <w:highlight w:val="none"/>
        </w:rPr>
        <w:t>（北京时间）</w:t>
      </w:r>
    </w:p>
    <w:p w14:paraId="0993DFB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2、地点：</w:t>
      </w:r>
      <w:r>
        <w:rPr>
          <w:rFonts w:hint="eastAsia" w:ascii="仿宋" w:hAnsi="仿宋" w:eastAsia="仿宋" w:cs="仿宋"/>
          <w:color w:val="auto"/>
          <w:sz w:val="28"/>
          <w:szCs w:val="28"/>
          <w:highlight w:val="none"/>
          <w:lang w:eastAsia="zh-CN"/>
        </w:rPr>
        <w:t>安徽霍山国有资产投资控股集团有限公司</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none"/>
          <w:lang w:eastAsia="zh-CN"/>
        </w:rPr>
        <w:t>http://www.ahdmig.cn</w:t>
      </w:r>
      <w:r>
        <w:rPr>
          <w:rFonts w:hint="eastAsia" w:ascii="仿宋" w:hAnsi="仿宋" w:eastAsia="仿宋" w:cs="仿宋"/>
          <w:color w:val="auto"/>
          <w:sz w:val="28"/>
          <w:szCs w:val="28"/>
          <w:highlight w:val="none"/>
        </w:rPr>
        <w:t>）</w:t>
      </w:r>
    </w:p>
    <w:p w14:paraId="2800E977">
      <w:pPr>
        <w:pageBreakBefore w:val="0"/>
        <w:widowControl/>
        <w:shd w:val="clear" w:color="auto" w:fill="FFFFFF"/>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3、获取方式：</w:t>
      </w:r>
      <w:r>
        <w:rPr>
          <w:rFonts w:hint="eastAsia" w:ascii="仿宋" w:hAnsi="仿宋" w:eastAsia="仿宋" w:cs="仿宋"/>
          <w:color w:val="auto"/>
          <w:sz w:val="28"/>
          <w:szCs w:val="28"/>
          <w:highlight w:val="none"/>
          <w:lang w:val="en-US" w:eastAsia="zh-CN"/>
        </w:rPr>
        <w:t>网上下载</w:t>
      </w:r>
    </w:p>
    <w:p w14:paraId="5BAADB0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4、售价：零元</w:t>
      </w:r>
    </w:p>
    <w:p w14:paraId="71DBEA73">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6" w:name="_Toc28359015"/>
      <w:bookmarkStart w:id="27" w:name="_Toc28359092"/>
      <w:bookmarkStart w:id="28" w:name="_Toc35393632"/>
      <w:bookmarkStart w:id="29" w:name="_Toc35393801"/>
      <w:bookmarkStart w:id="30" w:name="_Toc30719"/>
      <w:bookmarkStart w:id="31" w:name="_Toc7401"/>
      <w:bookmarkStart w:id="32" w:name="_Toc2740"/>
      <w:bookmarkStart w:id="33" w:name="_Toc26077"/>
      <w:r>
        <w:rPr>
          <w:rFonts w:hint="eastAsia" w:ascii="黑体" w:hAnsi="黑体" w:cs="黑体"/>
          <w:b w:val="0"/>
          <w:bCs/>
          <w:color w:val="auto"/>
          <w:sz w:val="28"/>
          <w:szCs w:val="28"/>
          <w:highlight w:val="none"/>
        </w:rPr>
        <w:t>四、响应文件</w:t>
      </w:r>
      <w:bookmarkEnd w:id="26"/>
      <w:bookmarkEnd w:id="27"/>
      <w:bookmarkEnd w:id="28"/>
      <w:bookmarkEnd w:id="29"/>
      <w:r>
        <w:rPr>
          <w:rFonts w:hint="eastAsia" w:ascii="黑体" w:hAnsi="黑体" w:cs="黑体"/>
          <w:b w:val="0"/>
          <w:bCs/>
          <w:color w:val="auto"/>
          <w:sz w:val="28"/>
          <w:szCs w:val="28"/>
          <w:highlight w:val="none"/>
        </w:rPr>
        <w:t>提交</w:t>
      </w:r>
      <w:bookmarkEnd w:id="30"/>
      <w:bookmarkEnd w:id="31"/>
      <w:bookmarkEnd w:id="32"/>
      <w:bookmarkEnd w:id="33"/>
    </w:p>
    <w:p w14:paraId="654905F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1、截止时间：</w:t>
      </w:r>
      <w:r>
        <w:rPr>
          <w:rFonts w:hint="eastAsia" w:ascii="仿宋" w:hAnsi="仿宋" w:eastAsia="仿宋" w:cs="仿宋"/>
          <w:bCs/>
          <w:color w:val="auto"/>
          <w:sz w:val="28"/>
          <w:szCs w:val="28"/>
          <w:highlight w:val="none"/>
          <w:u w:val="single"/>
          <w:lang w:val="en-US" w:eastAsia="zh-CN"/>
        </w:rPr>
        <w:t>2026年11月6日10点00分</w:t>
      </w:r>
      <w:r>
        <w:rPr>
          <w:rFonts w:hint="eastAsia" w:ascii="仿宋" w:hAnsi="仿宋" w:eastAsia="仿宋" w:cs="仿宋"/>
          <w:bCs/>
          <w:color w:val="auto"/>
          <w:sz w:val="28"/>
          <w:szCs w:val="28"/>
          <w:highlight w:val="none"/>
        </w:rPr>
        <w:t>（北京时间）</w:t>
      </w:r>
    </w:p>
    <w:p w14:paraId="56D77743">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2、提交方式：</w:t>
      </w:r>
      <w:r>
        <w:rPr>
          <w:rFonts w:hint="eastAsia" w:ascii="仿宋" w:hAnsi="仿宋" w:eastAsia="仿宋" w:cs="仿宋"/>
          <w:color w:val="auto"/>
          <w:kern w:val="0"/>
          <w:sz w:val="28"/>
          <w:szCs w:val="28"/>
          <w:highlight w:val="none"/>
          <w:lang w:val="en-US" w:eastAsia="zh-CN"/>
        </w:rPr>
        <w:t>现场提交纸质响应文件</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供应商法定代表人或授权代表</w:t>
      </w:r>
      <w:r>
        <w:rPr>
          <w:rFonts w:hint="eastAsia" w:ascii="仿宋" w:hAnsi="仿宋" w:eastAsia="仿宋" w:cs="仿宋"/>
          <w:color w:val="auto"/>
          <w:kern w:val="0"/>
          <w:sz w:val="28"/>
          <w:szCs w:val="28"/>
          <w:highlight w:val="none"/>
        </w:rPr>
        <w:t>需在截止时间前提交</w:t>
      </w:r>
      <w:r>
        <w:rPr>
          <w:rFonts w:hint="eastAsia" w:ascii="仿宋" w:hAnsi="仿宋" w:eastAsia="仿宋" w:cs="仿宋"/>
          <w:color w:val="auto"/>
          <w:kern w:val="0"/>
          <w:sz w:val="28"/>
          <w:szCs w:val="28"/>
          <w:highlight w:val="none"/>
          <w:lang w:val="en-US" w:eastAsia="zh-CN"/>
        </w:rPr>
        <w:t>响应</w:t>
      </w:r>
      <w:r>
        <w:rPr>
          <w:rFonts w:hint="eastAsia" w:ascii="仿宋" w:hAnsi="仿宋" w:eastAsia="仿宋" w:cs="仿宋"/>
          <w:color w:val="auto"/>
          <w:kern w:val="0"/>
          <w:sz w:val="28"/>
          <w:szCs w:val="28"/>
          <w:highlight w:val="none"/>
        </w:rPr>
        <w:t>文件。</w:t>
      </w:r>
    </w:p>
    <w:p w14:paraId="0D4D7B4D">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3、提交地点：霍山县国投大厦2楼201室</w:t>
      </w:r>
    </w:p>
    <w:p w14:paraId="42829225">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34" w:name="_Toc28359016"/>
      <w:bookmarkStart w:id="35" w:name="_Toc28359093"/>
      <w:bookmarkStart w:id="36" w:name="_Toc35393633"/>
      <w:bookmarkStart w:id="37" w:name="_Toc35393802"/>
      <w:bookmarkStart w:id="38" w:name="_Toc1586"/>
      <w:bookmarkStart w:id="39" w:name="_Toc11900"/>
      <w:bookmarkStart w:id="40" w:name="_Toc26903"/>
      <w:bookmarkStart w:id="41" w:name="_Toc18791"/>
      <w:r>
        <w:rPr>
          <w:rFonts w:hint="eastAsia" w:ascii="黑体" w:hAnsi="黑体" w:cs="黑体"/>
          <w:b w:val="0"/>
          <w:bCs/>
          <w:color w:val="auto"/>
          <w:sz w:val="28"/>
          <w:szCs w:val="28"/>
          <w:highlight w:val="none"/>
        </w:rPr>
        <w:t>五、</w:t>
      </w:r>
      <w:bookmarkEnd w:id="34"/>
      <w:bookmarkEnd w:id="35"/>
      <w:bookmarkEnd w:id="36"/>
      <w:bookmarkEnd w:id="37"/>
      <w:r>
        <w:rPr>
          <w:rFonts w:hint="eastAsia" w:ascii="黑体" w:hAnsi="黑体" w:cs="黑体"/>
          <w:b w:val="0"/>
          <w:bCs/>
          <w:color w:val="auto"/>
          <w:sz w:val="28"/>
          <w:szCs w:val="28"/>
          <w:highlight w:val="none"/>
        </w:rPr>
        <w:t>响应文件开启</w:t>
      </w:r>
      <w:bookmarkEnd w:id="38"/>
      <w:bookmarkEnd w:id="39"/>
      <w:bookmarkEnd w:id="40"/>
      <w:bookmarkEnd w:id="41"/>
    </w:p>
    <w:p w14:paraId="39332A4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2026年11月6日10点00分</w:t>
      </w:r>
      <w:r>
        <w:rPr>
          <w:rFonts w:hint="eastAsia" w:ascii="仿宋" w:hAnsi="仿宋" w:eastAsia="仿宋" w:cs="仿宋"/>
          <w:color w:val="auto"/>
          <w:sz w:val="28"/>
          <w:szCs w:val="28"/>
          <w:highlight w:val="none"/>
        </w:rPr>
        <w:t>（北京时间）</w:t>
      </w:r>
    </w:p>
    <w:p w14:paraId="391918D8">
      <w:pPr>
        <w:pStyle w:val="14"/>
        <w:pageBreakBefore w:val="0"/>
        <w:kinsoku/>
        <w:wordWrap/>
        <w:overflowPunct/>
        <w:topLinePunct w:val="0"/>
        <w:autoSpaceDE/>
        <w:autoSpaceDN/>
        <w:bidi w:val="0"/>
        <w:adjustRightInd/>
        <w:snapToGrid/>
        <w:spacing w:after="0"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2、地点：霍山县国投大厦2楼20</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室</w:t>
      </w:r>
    </w:p>
    <w:p w14:paraId="0756F85C">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42" w:name="_Toc35393803"/>
      <w:bookmarkStart w:id="43" w:name="_Toc28359017"/>
      <w:bookmarkStart w:id="44" w:name="_Toc29465"/>
      <w:bookmarkStart w:id="45" w:name="_Toc3084"/>
      <w:bookmarkStart w:id="46" w:name="_Toc28359094"/>
      <w:bookmarkStart w:id="47" w:name="_Toc35393634"/>
      <w:bookmarkStart w:id="48" w:name="_Toc20464"/>
      <w:bookmarkStart w:id="49" w:name="_Toc6439"/>
      <w:r>
        <w:rPr>
          <w:rFonts w:hint="eastAsia" w:ascii="黑体" w:hAnsi="黑体" w:cs="黑体"/>
          <w:b w:val="0"/>
          <w:bCs/>
          <w:color w:val="auto"/>
          <w:sz w:val="28"/>
          <w:szCs w:val="28"/>
          <w:highlight w:val="none"/>
        </w:rPr>
        <w:t>六、公告期限</w:t>
      </w:r>
      <w:bookmarkEnd w:id="42"/>
      <w:bookmarkEnd w:id="43"/>
      <w:bookmarkEnd w:id="44"/>
      <w:bookmarkEnd w:id="45"/>
      <w:bookmarkEnd w:id="46"/>
      <w:bookmarkEnd w:id="47"/>
      <w:bookmarkEnd w:id="48"/>
      <w:bookmarkEnd w:id="49"/>
    </w:p>
    <w:p w14:paraId="24EC529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0D319563">
      <w:pPr>
        <w:pageBreakBefore w:val="0"/>
        <w:kinsoku/>
        <w:wordWrap/>
        <w:overflowPunct/>
        <w:topLinePunct w:val="0"/>
        <w:autoSpaceDE/>
        <w:autoSpaceDN/>
        <w:bidi w:val="0"/>
        <w:adjustRightInd/>
        <w:snapToGrid/>
        <w:spacing w:line="540" w:lineRule="exact"/>
        <w:ind w:left="0"/>
        <w:jc w:val="both"/>
        <w:textAlignment w:val="auto"/>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七、</w:t>
      </w:r>
      <w:bookmarkStart w:id="50" w:name="_Toc35393635"/>
      <w:bookmarkStart w:id="51" w:name="_Toc35393804"/>
      <w:r>
        <w:rPr>
          <w:rFonts w:hint="eastAsia" w:ascii="黑体" w:hAnsi="黑体" w:eastAsia="黑体" w:cs="黑体"/>
          <w:color w:val="auto"/>
          <w:sz w:val="28"/>
          <w:szCs w:val="28"/>
          <w:highlight w:val="none"/>
        </w:rPr>
        <w:t>其他事宜</w:t>
      </w:r>
      <w:bookmarkEnd w:id="50"/>
      <w:bookmarkEnd w:id="51"/>
      <w:bookmarkStart w:id="52" w:name="_Toc35393805"/>
      <w:bookmarkStart w:id="53" w:name="_Toc28359095"/>
      <w:bookmarkStart w:id="54" w:name="_Toc35393636"/>
      <w:bookmarkStart w:id="55" w:name="_Toc28359018"/>
    </w:p>
    <w:bookmarkEnd w:id="52"/>
    <w:bookmarkEnd w:id="53"/>
    <w:bookmarkEnd w:id="54"/>
    <w:bookmarkEnd w:id="55"/>
    <w:p w14:paraId="7F595C52">
      <w:pPr>
        <w:keepNext w:val="0"/>
        <w:keepLines w:val="0"/>
        <w:pageBreakBefore w:val="0"/>
        <w:widowControl/>
        <w:shd w:val="clear" w:color="auto" w:fill="FFFFFF"/>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无</w:t>
      </w:r>
      <w:r>
        <w:rPr>
          <w:rFonts w:hint="eastAsia" w:ascii="仿宋" w:hAnsi="仿宋" w:eastAsia="仿宋" w:cs="仿宋"/>
          <w:bCs/>
          <w:color w:val="auto"/>
          <w:kern w:val="0"/>
          <w:sz w:val="28"/>
          <w:szCs w:val="28"/>
          <w:highlight w:val="none"/>
        </w:rPr>
        <w:t>。</w:t>
      </w:r>
    </w:p>
    <w:p w14:paraId="217E6746">
      <w:pPr>
        <w:pStyle w:val="2"/>
        <w:pageBreakBefore w:val="0"/>
        <w:widowControl/>
        <w:kinsoku/>
        <w:wordWrap/>
        <w:overflowPunct/>
        <w:topLinePunct w:val="0"/>
        <w:autoSpaceDE/>
        <w:autoSpaceDN/>
        <w:bidi w:val="0"/>
        <w:adjustRightInd/>
        <w:snapToGrid/>
        <w:spacing w:before="0" w:after="0" w:line="540" w:lineRule="exact"/>
        <w:ind w:left="0" w:firstLine="0"/>
        <w:jc w:val="both"/>
        <w:textAlignment w:val="auto"/>
        <w:rPr>
          <w:rFonts w:hint="eastAsia" w:ascii="黑体" w:hAnsi="黑体" w:cs="黑体"/>
          <w:b w:val="0"/>
          <w:bCs w:val="0"/>
          <w:color w:val="auto"/>
          <w:kern w:val="0"/>
          <w:sz w:val="28"/>
          <w:szCs w:val="28"/>
          <w:highlight w:val="none"/>
        </w:rPr>
      </w:pPr>
      <w:bookmarkStart w:id="56" w:name="_Toc19777"/>
      <w:bookmarkStart w:id="57" w:name="_Toc21041"/>
      <w:bookmarkStart w:id="58" w:name="_Toc26145"/>
      <w:bookmarkStart w:id="59" w:name="_Toc22370"/>
      <w:r>
        <w:rPr>
          <w:rFonts w:hint="eastAsia" w:ascii="黑体" w:hAnsi="黑体" w:cs="黑体"/>
          <w:b w:val="0"/>
          <w:bCs w:val="0"/>
          <w:color w:val="auto"/>
          <w:kern w:val="0"/>
          <w:sz w:val="28"/>
          <w:szCs w:val="28"/>
          <w:highlight w:val="none"/>
          <w:lang w:val="en-US" w:eastAsia="zh-CN"/>
        </w:rPr>
        <w:t>八</w:t>
      </w:r>
      <w:r>
        <w:rPr>
          <w:rFonts w:hint="eastAsia" w:ascii="黑体" w:hAnsi="黑体" w:cs="黑体"/>
          <w:b w:val="0"/>
          <w:bCs w:val="0"/>
          <w:color w:val="auto"/>
          <w:kern w:val="0"/>
          <w:sz w:val="28"/>
          <w:szCs w:val="28"/>
          <w:highlight w:val="none"/>
        </w:rPr>
        <w:t>、对本次招标提出询问，请按以下方式联系。</w:t>
      </w:r>
      <w:bookmarkEnd w:id="56"/>
      <w:bookmarkEnd w:id="57"/>
      <w:bookmarkEnd w:id="58"/>
      <w:bookmarkEnd w:id="59"/>
    </w:p>
    <w:p w14:paraId="0C029C15">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1.</w:t>
      </w:r>
      <w:r>
        <w:rPr>
          <w:rFonts w:hint="eastAsia" w:ascii="仿宋" w:hAnsi="仿宋" w:eastAsia="仿宋" w:cs="仿宋"/>
          <w:bCs/>
          <w:color w:val="auto"/>
          <w:sz w:val="28"/>
          <w:szCs w:val="28"/>
          <w:highlight w:val="none"/>
          <w:lang w:bidi="ar"/>
        </w:rPr>
        <w:t>采购人信息</w:t>
      </w:r>
    </w:p>
    <w:p w14:paraId="5AE85E97">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名  称：霍山县林业局</w:t>
      </w:r>
    </w:p>
    <w:p w14:paraId="17FE3690">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址：霍山县政务新区林业大厦</w:t>
      </w:r>
    </w:p>
    <w:p w14:paraId="789BFE29">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bCs/>
          <w:color w:val="auto"/>
          <w:sz w:val="28"/>
          <w:szCs w:val="28"/>
          <w:highlight w:val="none"/>
          <w:u w:val="single"/>
          <w:lang w:val="en-US" w:eastAsia="zh-CN"/>
        </w:rPr>
      </w:pPr>
      <w:r>
        <w:rPr>
          <w:rFonts w:hint="eastAsia" w:ascii="仿宋" w:hAnsi="仿宋" w:eastAsia="仿宋" w:cs="仿宋"/>
          <w:bCs/>
          <w:color w:val="auto"/>
          <w:sz w:val="28"/>
          <w:szCs w:val="28"/>
          <w:highlight w:val="none"/>
          <w:lang w:bidi="ar"/>
        </w:rPr>
        <w:t>联系方式：</w:t>
      </w:r>
      <w:r>
        <w:rPr>
          <w:rFonts w:hint="eastAsia" w:ascii="仿宋" w:hAnsi="仿宋" w:eastAsia="仿宋" w:cs="仿宋"/>
          <w:bCs/>
          <w:color w:val="auto"/>
          <w:sz w:val="28"/>
          <w:szCs w:val="28"/>
          <w:highlight w:val="none"/>
          <w:lang w:val="en-US" w:eastAsia="zh-CN" w:bidi="ar"/>
        </w:rPr>
        <w:t>0564-5227118</w:t>
      </w:r>
    </w:p>
    <w:p w14:paraId="5561232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2</w:t>
      </w:r>
      <w:r>
        <w:rPr>
          <w:rFonts w:hint="eastAsia" w:ascii="仿宋" w:hAnsi="仿宋" w:eastAsia="仿宋" w:cs="仿宋"/>
          <w:bCs/>
          <w:color w:val="auto"/>
          <w:sz w:val="28"/>
          <w:szCs w:val="28"/>
          <w:highlight w:val="none"/>
          <w:lang w:bidi="ar"/>
        </w:rPr>
        <w:t>.采购代理机构信息</w:t>
      </w:r>
    </w:p>
    <w:p w14:paraId="5FC4E31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bidi="ar"/>
        </w:rPr>
      </w:pPr>
      <w:r>
        <w:rPr>
          <w:rFonts w:hint="eastAsia" w:ascii="仿宋" w:hAnsi="仿宋" w:eastAsia="仿宋" w:cs="仿宋"/>
          <w:bCs/>
          <w:color w:val="auto"/>
          <w:sz w:val="28"/>
          <w:szCs w:val="28"/>
          <w:highlight w:val="none"/>
          <w:lang w:bidi="ar"/>
        </w:rPr>
        <w:t>名  称：安徽大别山工程咨询有限公司</w:t>
      </w:r>
    </w:p>
    <w:p w14:paraId="41F8E13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w:t>
      </w:r>
      <w:r>
        <w:rPr>
          <w:rFonts w:hint="eastAsia" w:ascii="仿宋" w:hAnsi="仿宋" w:eastAsia="仿宋" w:cs="仿宋"/>
          <w:bCs/>
          <w:color w:val="auto"/>
          <w:sz w:val="28"/>
          <w:szCs w:val="28"/>
          <w:highlight w:val="none"/>
        </w:rPr>
        <w:t>霍山县国投大厦2楼20</w:t>
      </w: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室</w:t>
      </w:r>
    </w:p>
    <w:p w14:paraId="092C6FD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bidi="ar"/>
        </w:rPr>
        <w:t>联系方式：0564-5020033，</w:t>
      </w:r>
      <w:r>
        <w:rPr>
          <w:rFonts w:hint="eastAsia" w:ascii="仿宋" w:hAnsi="仿宋" w:eastAsia="仿宋" w:cs="仿宋"/>
          <w:bCs/>
          <w:color w:val="auto"/>
          <w:sz w:val="28"/>
          <w:szCs w:val="28"/>
          <w:highlight w:val="none"/>
          <w:lang w:eastAsia="zh-CN" w:bidi="ar"/>
        </w:rPr>
        <w:t>18856405987</w:t>
      </w:r>
    </w:p>
    <w:p w14:paraId="017161A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3</w:t>
      </w:r>
      <w:r>
        <w:rPr>
          <w:rFonts w:hint="eastAsia" w:ascii="仿宋" w:hAnsi="仿宋" w:eastAsia="仿宋" w:cs="仿宋"/>
          <w:bCs/>
          <w:color w:val="auto"/>
          <w:sz w:val="28"/>
          <w:szCs w:val="28"/>
          <w:highlight w:val="none"/>
          <w:lang w:bidi="ar"/>
        </w:rPr>
        <w:t>.项目联系方式</w:t>
      </w:r>
    </w:p>
    <w:p w14:paraId="6E69105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val="en-US" w:eastAsia="zh-CN" w:bidi="ar"/>
        </w:rPr>
      </w:pPr>
      <w:r>
        <w:rPr>
          <w:rFonts w:hint="eastAsia" w:ascii="仿宋" w:hAnsi="仿宋" w:eastAsia="仿宋" w:cs="仿宋"/>
          <w:bCs/>
          <w:color w:val="auto"/>
          <w:sz w:val="28"/>
          <w:szCs w:val="28"/>
          <w:highlight w:val="none"/>
          <w:lang w:bidi="ar"/>
        </w:rPr>
        <w:t>项目联系人：</w:t>
      </w:r>
      <w:r>
        <w:rPr>
          <w:rFonts w:hint="eastAsia" w:ascii="仿宋" w:hAnsi="仿宋" w:eastAsia="仿宋" w:cs="仿宋"/>
          <w:bCs/>
          <w:color w:val="auto"/>
          <w:sz w:val="28"/>
          <w:szCs w:val="28"/>
          <w:highlight w:val="none"/>
          <w:lang w:val="en-US" w:eastAsia="zh-CN" w:bidi="ar"/>
        </w:rPr>
        <w:t>孙先生</w:t>
      </w:r>
    </w:p>
    <w:p w14:paraId="7D5F19D6">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eastAsia="zh-CN" w:bidi="ar"/>
        </w:rPr>
      </w:pPr>
      <w:r>
        <w:rPr>
          <w:rFonts w:hint="eastAsia" w:ascii="仿宋" w:hAnsi="仿宋" w:eastAsia="仿宋" w:cs="仿宋"/>
          <w:bCs/>
          <w:color w:val="auto"/>
          <w:sz w:val="28"/>
          <w:szCs w:val="28"/>
          <w:highlight w:val="none"/>
          <w:lang w:bidi="ar"/>
        </w:rPr>
        <w:t>电  话：0564-5020033，</w:t>
      </w:r>
      <w:r>
        <w:rPr>
          <w:rFonts w:hint="eastAsia" w:ascii="仿宋" w:hAnsi="仿宋" w:eastAsia="仿宋" w:cs="仿宋"/>
          <w:bCs/>
          <w:color w:val="auto"/>
          <w:sz w:val="28"/>
          <w:szCs w:val="28"/>
          <w:highlight w:val="none"/>
          <w:lang w:eastAsia="zh-CN" w:bidi="ar"/>
        </w:rPr>
        <w:t>18856405987</w:t>
      </w:r>
    </w:p>
    <w:p w14:paraId="05C59ACB">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bidi="ar"/>
        </w:rPr>
      </w:pPr>
    </w:p>
    <w:p w14:paraId="2F99AC2A">
      <w:pPr>
        <w:pageBreakBefore w:val="0"/>
        <w:kinsoku/>
        <w:wordWrap/>
        <w:overflowPunct/>
        <w:topLinePunct w:val="0"/>
        <w:autoSpaceDE/>
        <w:autoSpaceDN/>
        <w:bidi w:val="0"/>
        <w:adjustRightInd/>
        <w:snapToGrid/>
        <w:spacing w:line="540" w:lineRule="exact"/>
        <w:jc w:val="both"/>
        <w:textAlignment w:val="auto"/>
        <w:rPr>
          <w:rFonts w:hint="eastAsia" w:ascii="仿宋" w:hAnsi="仿宋" w:eastAsia="仿宋" w:cs="仿宋"/>
          <w:bCs/>
          <w:color w:val="auto"/>
          <w:sz w:val="28"/>
          <w:szCs w:val="28"/>
          <w:highlight w:val="none"/>
        </w:rPr>
      </w:pPr>
    </w:p>
    <w:p w14:paraId="2CFB827C">
      <w:pPr>
        <w:spacing w:line="360" w:lineRule="auto"/>
        <w:ind w:firstLine="435"/>
        <w:jc w:val="right"/>
        <w:rPr>
          <w:rFonts w:ascii="宋体" w:hAnsi="宋体" w:eastAsia="宋体"/>
          <w:color w:val="auto"/>
          <w:sz w:val="24"/>
          <w:szCs w:val="18"/>
          <w:highlight w:val="none"/>
        </w:rPr>
      </w:pPr>
      <w:r>
        <w:rPr>
          <w:rFonts w:hint="eastAsia" w:ascii="仿宋" w:hAnsi="仿宋" w:eastAsia="仿宋" w:cs="仿宋"/>
          <w:bCs/>
          <w:color w:val="auto"/>
          <w:sz w:val="28"/>
          <w:szCs w:val="28"/>
          <w:highlight w:val="none"/>
          <w:lang w:val="en-US" w:eastAsia="zh-CN"/>
        </w:rPr>
        <w:t>2026年11月3日</w:t>
      </w:r>
      <w:r>
        <w:rPr>
          <w:rFonts w:ascii="宋体" w:hAnsi="宋体" w:eastAsia="宋体"/>
          <w:color w:val="auto"/>
          <w:sz w:val="24"/>
          <w:szCs w:val="18"/>
          <w:highlight w:val="none"/>
        </w:rPr>
        <w:br w:type="page"/>
      </w:r>
    </w:p>
    <w:p w14:paraId="5CAEB2CD">
      <w:pPr>
        <w:spacing w:line="360" w:lineRule="auto"/>
        <w:jc w:val="center"/>
        <w:outlineLvl w:val="0"/>
        <w:rPr>
          <w:rFonts w:hint="eastAsia" w:ascii="宋体" w:hAnsi="宋体" w:eastAsia="宋体" w:cs="宋体"/>
          <w:b/>
          <w:color w:val="auto"/>
          <w:sz w:val="28"/>
          <w:highlight w:val="none"/>
        </w:rPr>
      </w:pPr>
      <w:bookmarkStart w:id="60" w:name="_Toc21898"/>
      <w:r>
        <w:rPr>
          <w:rFonts w:hint="eastAsia" w:ascii="宋体" w:hAnsi="宋体" w:eastAsia="宋体" w:cs="宋体"/>
          <w:b/>
          <w:color w:val="auto"/>
          <w:sz w:val="28"/>
          <w:highlight w:val="none"/>
        </w:rPr>
        <w:t>第二章  供应商须知</w:t>
      </w:r>
      <w:bookmarkEnd w:id="60"/>
    </w:p>
    <w:p w14:paraId="68C3CDE6">
      <w:pPr>
        <w:spacing w:line="360" w:lineRule="auto"/>
        <w:jc w:val="center"/>
        <w:outlineLvl w:val="1"/>
        <w:rPr>
          <w:rFonts w:hint="eastAsia" w:ascii="宋体" w:hAnsi="宋体" w:eastAsia="宋体" w:cs="宋体"/>
          <w:b/>
          <w:color w:val="auto"/>
          <w:sz w:val="24"/>
          <w:highlight w:val="none"/>
        </w:rPr>
      </w:pPr>
      <w:bookmarkStart w:id="61" w:name="_Toc25752"/>
      <w:bookmarkStart w:id="62" w:name="_Toc28122"/>
      <w:r>
        <w:rPr>
          <w:rFonts w:hint="eastAsia" w:ascii="宋体" w:hAnsi="宋体" w:eastAsia="宋体" w:cs="宋体"/>
          <w:b/>
          <w:color w:val="auto"/>
          <w:sz w:val="24"/>
          <w:highlight w:val="none"/>
        </w:rPr>
        <w:t>一、供应商须知前附表</w:t>
      </w:r>
      <w:bookmarkEnd w:id="61"/>
      <w:bookmarkEnd w:id="62"/>
    </w:p>
    <w:p w14:paraId="56DCB74F">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本表是本项目的具体要求，是对供应商须知的具体补充和修改，如有不一致，以本表为准。</w:t>
      </w:r>
    </w:p>
    <w:tbl>
      <w:tblPr>
        <w:tblStyle w:val="15"/>
        <w:tblW w:w="51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707"/>
        <w:gridCol w:w="1381"/>
        <w:gridCol w:w="6664"/>
      </w:tblGrid>
      <w:tr w14:paraId="3455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0016AD8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788" w:type="pct"/>
            <w:vAlign w:val="center"/>
          </w:tcPr>
          <w:p w14:paraId="2D39111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3807" w:type="pct"/>
            <w:vAlign w:val="center"/>
          </w:tcPr>
          <w:p w14:paraId="6D52E88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08D3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1D11DD9D">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2</w:t>
            </w:r>
          </w:p>
        </w:tc>
        <w:tc>
          <w:tcPr>
            <w:tcW w:w="788" w:type="pct"/>
            <w:vAlign w:val="center"/>
          </w:tcPr>
          <w:p w14:paraId="2C3DB0F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现场考察</w:t>
            </w:r>
            <w:r>
              <w:rPr>
                <w:rFonts w:hint="eastAsia" w:ascii="宋体" w:hAnsi="宋体" w:eastAsia="宋体" w:cs="宋体"/>
                <w:b w:val="0"/>
                <w:color w:val="auto"/>
                <w:sz w:val="24"/>
                <w:highlight w:val="none"/>
                <w:lang w:val="en-US" w:eastAsia="zh-CN"/>
              </w:rPr>
              <w:t>或标前答疑会</w:t>
            </w:r>
          </w:p>
        </w:tc>
        <w:tc>
          <w:tcPr>
            <w:tcW w:w="3807" w:type="pct"/>
            <w:vAlign w:val="center"/>
          </w:tcPr>
          <w:p w14:paraId="4251E7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sz w:val="24"/>
                <w:highlight w:val="none"/>
              </w:rPr>
              <w:t>不组织</w:t>
            </w:r>
            <w:r>
              <w:rPr>
                <w:rFonts w:hint="eastAsia" w:ascii="宋体" w:hAnsi="宋体" w:eastAsia="宋体" w:cs="宋体"/>
                <w:color w:val="auto"/>
                <w:sz w:val="24"/>
                <w:highlight w:val="none"/>
                <w:lang w:val="en-US" w:eastAsia="zh-CN"/>
              </w:rPr>
              <w:t>或不召开</w:t>
            </w:r>
          </w:p>
          <w:p w14:paraId="5B72C4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w:t>
            </w:r>
            <w:r>
              <w:rPr>
                <w:rFonts w:hint="eastAsia" w:ascii="宋体" w:hAnsi="宋体" w:eastAsia="宋体" w:cs="宋体"/>
                <w:bCs/>
                <w:color w:val="auto"/>
                <w:sz w:val="24"/>
                <w:highlight w:val="none"/>
                <w:lang w:val="en-US" w:eastAsia="zh-CN"/>
              </w:rPr>
              <w:t>或统一召开</w:t>
            </w:r>
          </w:p>
          <w:p w14:paraId="3FFFBF64">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分</w:t>
            </w:r>
          </w:p>
          <w:p w14:paraId="1F0237E0">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109B71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548AA17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Cs w:val="0"/>
                <w:color w:val="auto"/>
                <w:sz w:val="24"/>
                <w:highlight w:val="none"/>
                <w:lang w:eastAsia="zh-CN"/>
              </w:rPr>
              <w:t>注：</w:t>
            </w:r>
            <w:r>
              <w:rPr>
                <w:rFonts w:hint="eastAsia" w:ascii="宋体" w:hAnsi="宋体" w:eastAsia="宋体" w:cs="宋体"/>
                <w:b w:val="0"/>
                <w:bCs/>
                <w:color w:val="auto"/>
                <w:sz w:val="24"/>
                <w:highlight w:val="none"/>
              </w:rPr>
              <w:t>如</w:t>
            </w:r>
            <w:r>
              <w:rPr>
                <w:rFonts w:hint="eastAsia" w:ascii="宋体" w:hAnsi="宋体" w:eastAsia="宋体" w:cs="宋体"/>
                <w:b w:val="0"/>
                <w:bCs/>
                <w:color w:val="auto"/>
                <w:sz w:val="24"/>
                <w:highlight w:val="none"/>
                <w:lang w:val="en-US" w:eastAsia="zh-CN"/>
              </w:rPr>
              <w:t>供应商</w:t>
            </w:r>
            <w:r>
              <w:rPr>
                <w:rFonts w:hint="eastAsia" w:ascii="宋体" w:hAnsi="宋体" w:eastAsia="宋体" w:cs="宋体"/>
                <w:b w:val="0"/>
                <w:bCs/>
                <w:color w:val="auto"/>
                <w:sz w:val="24"/>
                <w:highlight w:val="none"/>
              </w:rPr>
              <w:t>未参加采购人统一组织的现场考察</w:t>
            </w:r>
            <w:r>
              <w:rPr>
                <w:rFonts w:hint="eastAsia" w:ascii="宋体" w:hAnsi="宋体" w:eastAsia="宋体" w:cs="宋体"/>
                <w:b w:val="0"/>
                <w:bCs/>
                <w:color w:val="auto"/>
                <w:sz w:val="24"/>
                <w:highlight w:val="none"/>
                <w:lang w:val="en-US" w:eastAsia="zh-CN"/>
              </w:rPr>
              <w:t>或采购人统一召开的标前答疑会</w:t>
            </w:r>
            <w:r>
              <w:rPr>
                <w:rFonts w:hint="eastAsia" w:ascii="宋体" w:hAnsi="宋体" w:eastAsia="宋体" w:cs="宋体"/>
                <w:b w:val="0"/>
                <w:bCs/>
                <w:color w:val="auto"/>
                <w:sz w:val="24"/>
                <w:highlight w:val="none"/>
              </w:rPr>
              <w:t>，视同放弃现场考察</w:t>
            </w:r>
            <w:r>
              <w:rPr>
                <w:rFonts w:hint="eastAsia" w:ascii="宋体" w:hAnsi="宋体" w:eastAsia="宋体" w:cs="宋体"/>
                <w:b w:val="0"/>
                <w:bCs/>
                <w:color w:val="auto"/>
                <w:sz w:val="24"/>
                <w:highlight w:val="none"/>
                <w:lang w:val="en-US" w:eastAsia="zh-CN"/>
              </w:rPr>
              <w:t>或标前答疑会</w:t>
            </w:r>
            <w:r>
              <w:rPr>
                <w:rFonts w:hint="eastAsia" w:ascii="宋体" w:hAnsi="宋体" w:eastAsia="宋体" w:cs="宋体"/>
                <w:b w:val="0"/>
                <w:bCs/>
                <w:color w:val="auto"/>
                <w:sz w:val="24"/>
                <w:highlight w:val="none"/>
              </w:rPr>
              <w:t>，由此引起的一切责任由</w:t>
            </w:r>
            <w:r>
              <w:rPr>
                <w:rFonts w:hint="eastAsia" w:ascii="宋体" w:hAnsi="宋体" w:eastAsia="宋体" w:cs="宋体"/>
                <w:b w:val="0"/>
                <w:bCs/>
                <w:color w:val="auto"/>
                <w:sz w:val="24"/>
                <w:highlight w:val="none"/>
                <w:lang w:val="en-US" w:eastAsia="zh-CN"/>
              </w:rPr>
              <w:t>供应商</w:t>
            </w:r>
            <w:r>
              <w:rPr>
                <w:rFonts w:hint="eastAsia" w:ascii="宋体" w:hAnsi="宋体" w:eastAsia="宋体" w:cs="宋体"/>
                <w:b w:val="0"/>
                <w:bCs/>
                <w:color w:val="auto"/>
                <w:sz w:val="24"/>
                <w:highlight w:val="none"/>
              </w:rPr>
              <w:t>自行承担。</w:t>
            </w:r>
          </w:p>
        </w:tc>
      </w:tr>
      <w:tr w14:paraId="509E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4090" w:hRule="atLeast"/>
          <w:jc w:val="center"/>
        </w:trPr>
        <w:tc>
          <w:tcPr>
            <w:tcW w:w="403" w:type="pct"/>
            <w:vAlign w:val="center"/>
          </w:tcPr>
          <w:p w14:paraId="168F3839">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6.1</w:t>
            </w:r>
          </w:p>
        </w:tc>
        <w:tc>
          <w:tcPr>
            <w:tcW w:w="788" w:type="pct"/>
            <w:vAlign w:val="center"/>
          </w:tcPr>
          <w:p w14:paraId="1AE24D3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网上询问</w:t>
            </w:r>
            <w:r>
              <w:rPr>
                <w:rFonts w:hint="eastAsia" w:ascii="宋体" w:hAnsi="宋体" w:eastAsia="宋体" w:cs="宋体"/>
                <w:b w:val="0"/>
                <w:color w:val="auto"/>
                <w:sz w:val="24"/>
                <w:highlight w:val="none"/>
                <w:lang w:val="en-US" w:eastAsia="zh-CN"/>
              </w:rPr>
              <w:t>方式</w:t>
            </w:r>
          </w:p>
        </w:tc>
        <w:tc>
          <w:tcPr>
            <w:tcW w:w="3807" w:type="pct"/>
            <w:vAlign w:val="center"/>
          </w:tcPr>
          <w:p w14:paraId="4560AD07">
            <w:pPr>
              <w:pStyle w:val="20"/>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供应商若对采购文件有关内容存在理解障碍，或认为采购文件表述有模糊不清之处，可通过电子邮件（2628963924@qq.com）或电话向采购人（采购代理机构）在线提出，采购人（采购代理机构）收到供应商提问后将及时回复。该渠道仅接受关于项目的一般性疑问（非质疑），供应商提问时应当隐藏自身信息，直接提出针对项目的相关疑问即可，询问函范本详见采购文件第七章。</w:t>
            </w:r>
          </w:p>
          <w:p w14:paraId="424083B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color w:val="auto"/>
                <w:sz w:val="24"/>
                <w:highlight w:val="none"/>
                <w:lang w:val="en-US" w:eastAsia="zh-CN"/>
              </w:rPr>
              <w:t>（2）采购人（采购代理机构）对采购文件进行的答疑、澄清、变更或补充，将在安徽霍山国有资产投资控股集团有限公司（http://www.ahdmig.cn）“补充公告”栏目及时发布，该公告内容为采购文件的组成部分，对供应商具有同样约束力。当采购文件、采购文件的答疑、澄清、变更或补充等在同一内容的表述上不一致时，以最后发出的书面文件为准。供应商应主动上网查询。采购人（采购代理机构）不承担供应商未及时关注相关信息引发的相关责任。</w:t>
            </w:r>
          </w:p>
        </w:tc>
      </w:tr>
      <w:tr w14:paraId="188F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1014" w:hRule="atLeast"/>
          <w:jc w:val="center"/>
        </w:trPr>
        <w:tc>
          <w:tcPr>
            <w:tcW w:w="403" w:type="pct"/>
            <w:vAlign w:val="center"/>
          </w:tcPr>
          <w:p w14:paraId="76A8998C">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7</w:t>
            </w:r>
            <w:r>
              <w:rPr>
                <w:rFonts w:hint="eastAsia" w:ascii="宋体" w:hAnsi="宋体" w:eastAsia="宋体" w:cs="宋体"/>
                <w:bCs/>
                <w:color w:val="auto"/>
                <w:kern w:val="2"/>
                <w:highlight w:val="none"/>
              </w:rPr>
              <w:t>.1</w:t>
            </w:r>
          </w:p>
        </w:tc>
        <w:tc>
          <w:tcPr>
            <w:tcW w:w="788" w:type="pct"/>
            <w:vAlign w:val="center"/>
          </w:tcPr>
          <w:p w14:paraId="58BA934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3807" w:type="pct"/>
            <w:vAlign w:val="center"/>
          </w:tcPr>
          <w:p w14:paraId="7C70EB0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 xml:space="preserve"> </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rPr>
              <w:t>个包</w:t>
            </w:r>
          </w:p>
          <w:p w14:paraId="1678F49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供应商参加多个包</w:t>
            </w:r>
            <w:r>
              <w:rPr>
                <w:rFonts w:hint="eastAsia" w:ascii="宋体" w:hAnsi="宋体" w:eastAsia="宋体" w:cs="宋体"/>
                <w:b w:val="0"/>
                <w:color w:val="auto"/>
                <w:sz w:val="24"/>
                <w:highlight w:val="none"/>
              </w:rPr>
              <w:t>谈判</w:t>
            </w:r>
            <w:r>
              <w:rPr>
                <w:rFonts w:hint="eastAsia" w:ascii="宋体" w:hAnsi="宋体" w:eastAsia="宋体" w:cs="宋体"/>
                <w:b w:val="0"/>
                <w:bCs w:val="0"/>
                <w:color w:val="auto"/>
                <w:sz w:val="24"/>
                <w:szCs w:val="24"/>
                <w:highlight w:val="none"/>
              </w:rPr>
              <w:t>的成交包数规定：</w:t>
            </w:r>
            <w:r>
              <w:rPr>
                <w:rFonts w:hint="eastAsia" w:ascii="宋体" w:hAnsi="宋体" w:eastAsia="宋体" w:cs="宋体"/>
                <w:b w:val="0"/>
                <w:bCs w:val="0"/>
                <w:color w:val="auto"/>
                <w:sz w:val="24"/>
                <w:szCs w:val="18"/>
                <w:highlight w:val="none"/>
                <w:u w:val="single"/>
              </w:rPr>
              <w:t xml:space="preserve">              </w:t>
            </w:r>
          </w:p>
        </w:tc>
      </w:tr>
      <w:tr w14:paraId="7F13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2" w:hRule="atLeast"/>
          <w:jc w:val="center"/>
        </w:trPr>
        <w:tc>
          <w:tcPr>
            <w:tcW w:w="403" w:type="pct"/>
            <w:shd w:val="clear" w:color="auto" w:fill="auto"/>
            <w:vAlign w:val="center"/>
          </w:tcPr>
          <w:p w14:paraId="7FC00C4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9.4</w:t>
            </w:r>
          </w:p>
        </w:tc>
        <w:tc>
          <w:tcPr>
            <w:tcW w:w="788" w:type="pct"/>
            <w:shd w:val="clear" w:color="auto" w:fill="auto"/>
            <w:vAlign w:val="center"/>
          </w:tcPr>
          <w:p w14:paraId="09BE01B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sz w:val="24"/>
                <w:szCs w:val="24"/>
                <w:highlight w:val="none"/>
                <w:lang w:val="en-US" w:eastAsia="zh-CN"/>
              </w:rPr>
              <w:t>异常低价响应审查</w:t>
            </w:r>
          </w:p>
        </w:tc>
        <w:tc>
          <w:tcPr>
            <w:tcW w:w="3807" w:type="pct"/>
            <w:shd w:val="clear" w:color="auto" w:fill="auto"/>
            <w:vAlign w:val="center"/>
          </w:tcPr>
          <w:p w14:paraId="4D1722D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根据财政部《关于推动解决政府采购异常低价问题的通知》（财库〔2026〕2号），评审中出现下列情形之一的，谈判小组应当启动异常低价响应审查程序：</w:t>
            </w:r>
          </w:p>
          <w:p w14:paraId="791B3F2C">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1、响应报价低于全部通过符合性审查供应商响应报价平均值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%的，即响应报价&lt;全部通过符合性审查供应商响应报价平均值×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%；（比例范围：50%-65%）</w:t>
            </w:r>
          </w:p>
          <w:p w14:paraId="457BE0F0">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2.响应报价低于通过符合性审查的次低报价供应商响应报价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%的，即响应报价&lt;通过符合性审查的次低报价供应商响应报价×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%；（比例范围：50%-65%）</w:t>
            </w:r>
          </w:p>
          <w:p w14:paraId="081EFDFA">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3.响应报价低于采购项目最高限价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%的，即响应报价&lt;采购项目最高限价×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%；（比例范围：45%-65%）</w:t>
            </w:r>
          </w:p>
          <w:p w14:paraId="7B08A18D">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3E46ED6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注：以上比例由采购人根据项目特点及要求自行填写，详见采购需求。</w:t>
            </w:r>
          </w:p>
        </w:tc>
      </w:tr>
      <w:tr w14:paraId="23FA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2" w:hRule="atLeast"/>
          <w:jc w:val="center"/>
        </w:trPr>
        <w:tc>
          <w:tcPr>
            <w:tcW w:w="403" w:type="pct"/>
            <w:vAlign w:val="center"/>
          </w:tcPr>
          <w:p w14:paraId="62296A25">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10</w:t>
            </w:r>
            <w:r>
              <w:rPr>
                <w:rFonts w:hint="eastAsia" w:ascii="宋体" w:hAnsi="宋体" w:eastAsia="宋体" w:cs="宋体"/>
                <w:bCs/>
                <w:color w:val="auto"/>
                <w:kern w:val="2"/>
                <w:highlight w:val="none"/>
              </w:rPr>
              <w:t>.1</w:t>
            </w:r>
          </w:p>
        </w:tc>
        <w:tc>
          <w:tcPr>
            <w:tcW w:w="788" w:type="pct"/>
            <w:vAlign w:val="center"/>
          </w:tcPr>
          <w:p w14:paraId="20B86ABB">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谈判保证金</w:t>
            </w:r>
          </w:p>
        </w:tc>
        <w:tc>
          <w:tcPr>
            <w:tcW w:w="3807" w:type="pct"/>
            <w:vAlign w:val="center"/>
          </w:tcPr>
          <w:p w14:paraId="1177BD1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不收取</w:t>
            </w:r>
          </w:p>
        </w:tc>
      </w:tr>
      <w:tr w14:paraId="2ACF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3C4268DA">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11</w:t>
            </w:r>
            <w:r>
              <w:rPr>
                <w:rFonts w:hint="eastAsia" w:ascii="宋体" w:hAnsi="宋体" w:eastAsia="宋体" w:cs="宋体"/>
                <w:bCs/>
                <w:color w:val="auto"/>
                <w:kern w:val="2"/>
                <w:highlight w:val="none"/>
              </w:rPr>
              <w:t>.1</w:t>
            </w:r>
          </w:p>
        </w:tc>
        <w:tc>
          <w:tcPr>
            <w:tcW w:w="788" w:type="pct"/>
            <w:vAlign w:val="center"/>
          </w:tcPr>
          <w:p w14:paraId="53C8026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谈判有效期</w:t>
            </w:r>
          </w:p>
        </w:tc>
        <w:tc>
          <w:tcPr>
            <w:tcW w:w="3807" w:type="pct"/>
            <w:vAlign w:val="center"/>
          </w:tcPr>
          <w:p w14:paraId="1D50D5B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90个</w:t>
            </w:r>
            <w:r>
              <w:rPr>
                <w:rFonts w:hint="eastAsia" w:ascii="宋体" w:hAnsi="宋体" w:eastAsia="宋体" w:cs="宋体"/>
                <w:b w:val="0"/>
                <w:color w:val="auto"/>
                <w:sz w:val="24"/>
                <w:highlight w:val="none"/>
              </w:rPr>
              <w:t>日历日</w:t>
            </w:r>
          </w:p>
        </w:tc>
      </w:tr>
      <w:tr w14:paraId="6218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1DD3D92A">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w:t>
            </w:r>
          </w:p>
        </w:tc>
        <w:tc>
          <w:tcPr>
            <w:tcW w:w="788" w:type="pct"/>
            <w:vAlign w:val="center"/>
          </w:tcPr>
          <w:p w14:paraId="2AD9CB8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响应文件相关要求</w:t>
            </w:r>
          </w:p>
        </w:tc>
        <w:tc>
          <w:tcPr>
            <w:tcW w:w="3807" w:type="pct"/>
            <w:vAlign w:val="center"/>
          </w:tcPr>
          <w:p w14:paraId="7E30061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①响应文件份数：正本壹份，副本贰份。</w:t>
            </w:r>
          </w:p>
          <w:p w14:paraId="0579BB2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②签字或盖章要求：响应文件应按采购文件要求盖章或签字。由授权代表签字或盖章的在</w:t>
            </w:r>
            <w:r>
              <w:rPr>
                <w:rFonts w:hint="eastAsia" w:ascii="宋体" w:hAnsi="宋体" w:eastAsia="宋体" w:cs="宋体"/>
                <w:b w:val="0"/>
                <w:bCs w:val="0"/>
                <w:color w:val="auto"/>
                <w:kern w:val="0"/>
                <w:sz w:val="24"/>
                <w:szCs w:val="24"/>
                <w:highlight w:val="none"/>
                <w:lang w:val="en-US" w:eastAsia="zh-CN"/>
              </w:rPr>
              <w:t>谈判</w:t>
            </w:r>
            <w:r>
              <w:rPr>
                <w:rFonts w:hint="eastAsia" w:ascii="宋体" w:hAnsi="宋体" w:eastAsia="宋体" w:cs="宋体"/>
                <w:b w:val="0"/>
                <w:bCs w:val="0"/>
                <w:color w:val="auto"/>
                <w:kern w:val="0"/>
                <w:sz w:val="24"/>
                <w:szCs w:val="24"/>
                <w:highlight w:val="none"/>
              </w:rPr>
              <w:t>响应文件中须同时提供授权书。响应文件签字或盖章不符合采购文件要求的，按无效投标处理。</w:t>
            </w:r>
          </w:p>
          <w:p w14:paraId="6B03909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③装订要求：响应文件正、副本均应装订成册，保证装订牢固，不掉页、不粘面。响应文件未按要求装订的，按无效投标处理。</w:t>
            </w:r>
          </w:p>
          <w:p w14:paraId="65D5ABA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rPr>
            </w:pPr>
            <w:r>
              <w:rPr>
                <w:rFonts w:hint="eastAsia" w:ascii="宋体" w:hAnsi="宋体" w:eastAsia="宋体" w:cs="宋体"/>
                <w:b w:val="0"/>
                <w:bCs w:val="0"/>
                <w:color w:val="auto"/>
                <w:kern w:val="0"/>
                <w:sz w:val="24"/>
                <w:szCs w:val="24"/>
                <w:highlight w:val="none"/>
              </w:rPr>
              <w:t>④密封要求：响应文件所有正、副本均应密封在一个文件袋中，并在封套上加盖供应商公章，封套上应写明：“</w:t>
            </w:r>
            <w:r>
              <w:rPr>
                <w:rFonts w:hint="eastAsia" w:ascii="宋体" w:hAnsi="宋体" w:eastAsia="宋体" w:cs="宋体"/>
                <w:b w:val="0"/>
                <w:bCs w:val="0"/>
                <w:color w:val="auto"/>
                <w:kern w:val="0"/>
                <w:sz w:val="24"/>
                <w:szCs w:val="24"/>
                <w:highlight w:val="none"/>
                <w:u w:val="single"/>
              </w:rPr>
              <w:t xml:space="preserve">  （采购项目名称）（第  包）</w:t>
            </w:r>
            <w:r>
              <w:rPr>
                <w:rFonts w:hint="eastAsia" w:ascii="宋体" w:hAnsi="宋体" w:eastAsia="宋体" w:cs="宋体"/>
                <w:b w:val="0"/>
                <w:bCs w:val="0"/>
                <w:color w:val="auto"/>
                <w:kern w:val="0"/>
                <w:sz w:val="24"/>
                <w:szCs w:val="24"/>
                <w:highlight w:val="none"/>
                <w:u w:val="none"/>
                <w:lang w:val="en-US" w:eastAsia="zh-CN"/>
              </w:rPr>
              <w:t>谈判</w:t>
            </w:r>
            <w:r>
              <w:rPr>
                <w:rFonts w:hint="eastAsia" w:ascii="宋体" w:hAnsi="宋体" w:eastAsia="宋体" w:cs="宋体"/>
                <w:b w:val="0"/>
                <w:bCs w:val="0"/>
                <w:color w:val="auto"/>
                <w:kern w:val="0"/>
                <w:sz w:val="24"/>
                <w:szCs w:val="24"/>
                <w:highlight w:val="none"/>
              </w:rPr>
              <w:t>响应文件、</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年</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月</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日</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时</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分前不得开启”字样。供应商未按要求密封响应文件的，自行承担响应文件遗失、提前解封等责任。</w:t>
            </w:r>
          </w:p>
        </w:tc>
      </w:tr>
      <w:tr w14:paraId="3CCA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shd w:val="clear" w:color="auto" w:fill="auto"/>
            <w:vAlign w:val="center"/>
          </w:tcPr>
          <w:p w14:paraId="34B9F708">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13.1</w:t>
            </w:r>
          </w:p>
        </w:tc>
        <w:tc>
          <w:tcPr>
            <w:tcW w:w="788" w:type="pct"/>
            <w:shd w:val="clear" w:color="auto" w:fill="auto"/>
            <w:vAlign w:val="center"/>
          </w:tcPr>
          <w:p w14:paraId="68AB90E9">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谈判小组</w:t>
            </w:r>
          </w:p>
        </w:tc>
        <w:tc>
          <w:tcPr>
            <w:tcW w:w="3807" w:type="pct"/>
            <w:shd w:val="clear" w:color="auto" w:fill="auto"/>
            <w:vAlign w:val="center"/>
          </w:tcPr>
          <w:p w14:paraId="35FA16FA">
            <w:pPr>
              <w:pStyle w:val="4"/>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highlight w:val="none"/>
                <w:lang w:val="en-US" w:eastAsia="zh-CN"/>
              </w:rPr>
              <w:t>本项目谈判小组人数：</w:t>
            </w:r>
            <w:r>
              <w:rPr>
                <w:rFonts w:hint="eastAsia" w:ascii="宋体" w:hAnsi="宋体" w:eastAsia="宋体" w:cs="宋体"/>
                <w:color w:val="auto"/>
                <w:sz w:val="24"/>
                <w:highlight w:val="none"/>
                <w:u w:val="single"/>
                <w:lang w:val="en-US" w:eastAsia="zh-CN"/>
              </w:rPr>
              <w:t>3</w:t>
            </w:r>
            <w:r>
              <w:rPr>
                <w:rFonts w:hint="eastAsia" w:ascii="宋体" w:hAnsi="宋体" w:eastAsia="宋体" w:cs="宋体"/>
                <w:color w:val="auto"/>
                <w:sz w:val="24"/>
                <w:highlight w:val="none"/>
                <w:u w:val="none"/>
                <w:lang w:val="en-US" w:eastAsia="zh-CN"/>
              </w:rPr>
              <w:t>人。（达到公开招标数额标准的项目，谈判小组应当由5人以上单数组成）</w:t>
            </w:r>
          </w:p>
        </w:tc>
      </w:tr>
      <w:tr w14:paraId="0E43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4AE15BA5">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14</w:t>
            </w:r>
            <w:r>
              <w:rPr>
                <w:rFonts w:hint="eastAsia" w:ascii="宋体" w:hAnsi="宋体" w:eastAsia="宋体" w:cs="宋体"/>
                <w:bCs/>
                <w:color w:val="auto"/>
                <w:kern w:val="2"/>
                <w:highlight w:val="none"/>
              </w:rPr>
              <w:t>.3</w:t>
            </w:r>
          </w:p>
        </w:tc>
        <w:tc>
          <w:tcPr>
            <w:tcW w:w="788" w:type="pct"/>
            <w:vAlign w:val="center"/>
          </w:tcPr>
          <w:p w14:paraId="52ED24E7">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评审方法</w:t>
            </w:r>
          </w:p>
        </w:tc>
        <w:tc>
          <w:tcPr>
            <w:tcW w:w="3807" w:type="pct"/>
            <w:vAlign w:val="center"/>
          </w:tcPr>
          <w:p w14:paraId="6E9E847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none"/>
              </w:rPr>
              <w:t>最低评标价法</w:t>
            </w:r>
          </w:p>
        </w:tc>
      </w:tr>
      <w:tr w14:paraId="1867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Merge w:val="restart"/>
            <w:vAlign w:val="center"/>
          </w:tcPr>
          <w:p w14:paraId="477E25DE">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19</w:t>
            </w:r>
            <w:r>
              <w:rPr>
                <w:rFonts w:hint="eastAsia" w:ascii="宋体" w:hAnsi="宋体" w:eastAsia="宋体" w:cs="宋体"/>
                <w:bCs/>
                <w:color w:val="auto"/>
                <w:kern w:val="2"/>
                <w:highlight w:val="none"/>
              </w:rPr>
              <w:t>.1</w:t>
            </w:r>
          </w:p>
        </w:tc>
        <w:tc>
          <w:tcPr>
            <w:tcW w:w="788" w:type="pct"/>
            <w:vMerge w:val="restart"/>
            <w:vAlign w:val="center"/>
          </w:tcPr>
          <w:p w14:paraId="53AD6A5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确定成交候选人和成交供应商</w:t>
            </w:r>
          </w:p>
        </w:tc>
        <w:tc>
          <w:tcPr>
            <w:tcW w:w="3807" w:type="pct"/>
            <w:vAlign w:val="center"/>
          </w:tcPr>
          <w:p w14:paraId="727B05B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谈判小组推荐成交候选人的数量：</w:t>
            </w:r>
            <w:r>
              <w:rPr>
                <w:rFonts w:hint="eastAsia" w:ascii="宋体" w:hAnsi="宋体" w:eastAsia="宋体" w:cs="宋体"/>
                <w:b w:val="0"/>
                <w:color w:val="auto"/>
                <w:sz w:val="24"/>
                <w:highlight w:val="none"/>
                <w:lang w:val="en-US" w:eastAsia="zh-CN"/>
              </w:rPr>
              <w:t>1-</w:t>
            </w:r>
            <w:r>
              <w:rPr>
                <w:rFonts w:hint="eastAsia" w:ascii="宋体" w:hAnsi="宋体" w:eastAsia="宋体" w:cs="宋体"/>
                <w:b w:val="0"/>
                <w:color w:val="auto"/>
                <w:sz w:val="24"/>
                <w:highlight w:val="none"/>
              </w:rPr>
              <w:t>3家</w:t>
            </w:r>
          </w:p>
          <w:p w14:paraId="66A33E8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rPr>
            </w:pPr>
            <w:r>
              <w:rPr>
                <w:rFonts w:hint="eastAsia" w:ascii="宋体" w:hAnsi="宋体" w:eastAsia="宋体" w:cs="宋体"/>
                <w:b w:val="0"/>
                <w:color w:val="auto"/>
                <w:sz w:val="24"/>
                <w:highlight w:val="none"/>
                <w:lang w:val="en-US" w:eastAsia="zh-CN"/>
              </w:rPr>
              <w:t>注：法律、法规另有规定的，从其规定</w:t>
            </w:r>
          </w:p>
        </w:tc>
      </w:tr>
      <w:tr w14:paraId="13D6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Merge w:val="continue"/>
            <w:vAlign w:val="center"/>
          </w:tcPr>
          <w:p w14:paraId="66FA0BFF">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p>
        </w:tc>
        <w:tc>
          <w:tcPr>
            <w:tcW w:w="788" w:type="pct"/>
            <w:vMerge w:val="continue"/>
            <w:vAlign w:val="center"/>
          </w:tcPr>
          <w:p w14:paraId="49D2D9E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p>
        </w:tc>
        <w:tc>
          <w:tcPr>
            <w:tcW w:w="3807" w:type="pct"/>
            <w:vAlign w:val="center"/>
          </w:tcPr>
          <w:p w14:paraId="236869D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确定成交供应商：</w:t>
            </w:r>
          </w:p>
          <w:p w14:paraId="3DFA6C69">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采购人委托谈判小组确定     □采购人确定</w:t>
            </w:r>
          </w:p>
        </w:tc>
      </w:tr>
      <w:tr w14:paraId="7C13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6EB044B7">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23</w:t>
            </w:r>
            <w:r>
              <w:rPr>
                <w:rFonts w:hint="eastAsia" w:ascii="宋体" w:hAnsi="宋体" w:eastAsia="宋体" w:cs="宋体"/>
                <w:bCs/>
                <w:color w:val="auto"/>
                <w:kern w:val="2"/>
                <w:highlight w:val="none"/>
              </w:rPr>
              <w:t>.1</w:t>
            </w:r>
          </w:p>
        </w:tc>
        <w:tc>
          <w:tcPr>
            <w:tcW w:w="788" w:type="pct"/>
            <w:vAlign w:val="center"/>
          </w:tcPr>
          <w:p w14:paraId="008BDCC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成交通知书发出的形式</w:t>
            </w:r>
          </w:p>
        </w:tc>
        <w:tc>
          <w:tcPr>
            <w:tcW w:w="3807" w:type="pct"/>
            <w:vAlign w:val="center"/>
          </w:tcPr>
          <w:p w14:paraId="066F4A0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 xml:space="preserve">书面     </w:t>
            </w: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数据电文</w:t>
            </w:r>
          </w:p>
        </w:tc>
      </w:tr>
      <w:tr w14:paraId="27D2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866" w:hRule="atLeast"/>
          <w:jc w:val="center"/>
        </w:trPr>
        <w:tc>
          <w:tcPr>
            <w:tcW w:w="403" w:type="pct"/>
            <w:vAlign w:val="center"/>
          </w:tcPr>
          <w:p w14:paraId="025ADC54">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 w:val="0"/>
                <w:bCs/>
                <w:color w:val="auto"/>
                <w:sz w:val="24"/>
                <w:szCs w:val="24"/>
                <w:highlight w:val="none"/>
                <w:lang w:val="en-US" w:eastAsia="zh-CN"/>
              </w:rPr>
              <w:t>24.1</w:t>
            </w:r>
          </w:p>
        </w:tc>
        <w:tc>
          <w:tcPr>
            <w:tcW w:w="788" w:type="pct"/>
            <w:vAlign w:val="center"/>
          </w:tcPr>
          <w:p w14:paraId="223B3AB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bCs/>
                <w:color w:val="auto"/>
                <w:sz w:val="24"/>
                <w:szCs w:val="24"/>
                <w:highlight w:val="none"/>
                <w:lang w:val="en-US" w:eastAsia="zh-CN"/>
              </w:rPr>
              <w:t>告知谈判结果的形式</w:t>
            </w:r>
          </w:p>
        </w:tc>
        <w:tc>
          <w:tcPr>
            <w:tcW w:w="3807" w:type="pct"/>
            <w:vAlign w:val="center"/>
          </w:tcPr>
          <w:p w14:paraId="79FC03B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谈判现场告知</w:t>
            </w:r>
          </w:p>
        </w:tc>
      </w:tr>
      <w:tr w14:paraId="4C3D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30BAE53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25</w:t>
            </w:r>
            <w:r>
              <w:rPr>
                <w:rFonts w:hint="eastAsia" w:ascii="宋体" w:hAnsi="宋体" w:eastAsia="宋体" w:cs="宋体"/>
                <w:bCs/>
                <w:color w:val="auto"/>
                <w:kern w:val="2"/>
                <w:highlight w:val="none"/>
              </w:rPr>
              <w:t>.1</w:t>
            </w:r>
          </w:p>
        </w:tc>
        <w:tc>
          <w:tcPr>
            <w:tcW w:w="788" w:type="pct"/>
            <w:vAlign w:val="center"/>
          </w:tcPr>
          <w:p w14:paraId="1B4D9F2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3807" w:type="pct"/>
            <w:vAlign w:val="center"/>
          </w:tcPr>
          <w:p w14:paraId="20C6A9F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color w:val="auto"/>
                <w:sz w:val="24"/>
                <w:highlight w:val="none"/>
                <w:lang w:eastAsia="zh-CN"/>
              </w:rPr>
            </w:pPr>
            <w:r>
              <w:rPr>
                <w:rFonts w:hint="eastAsia" w:ascii="宋体" w:hAnsi="宋体" w:eastAsia="宋体" w:cs="宋体"/>
                <w:bCs/>
                <w:color w:val="auto"/>
                <w:kern w:val="0"/>
                <w:sz w:val="24"/>
                <w:szCs w:val="28"/>
                <w:highlight w:val="none"/>
                <w:lang w:val="en-US" w:eastAsia="zh-CN"/>
              </w:rPr>
              <w:t>/</w:t>
            </w:r>
          </w:p>
        </w:tc>
      </w:tr>
      <w:tr w14:paraId="2F06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5D02A76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26</w:t>
            </w:r>
            <w:r>
              <w:rPr>
                <w:rFonts w:hint="eastAsia" w:ascii="宋体" w:hAnsi="宋体" w:eastAsia="宋体" w:cs="宋体"/>
                <w:bCs/>
                <w:color w:val="auto"/>
                <w:kern w:val="2"/>
                <w:highlight w:val="none"/>
              </w:rPr>
              <w:t>.1</w:t>
            </w:r>
          </w:p>
        </w:tc>
        <w:tc>
          <w:tcPr>
            <w:tcW w:w="788" w:type="pct"/>
            <w:vAlign w:val="center"/>
          </w:tcPr>
          <w:p w14:paraId="6B5F6D0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代理服务费</w:t>
            </w:r>
          </w:p>
        </w:tc>
        <w:tc>
          <w:tcPr>
            <w:tcW w:w="3807" w:type="pct"/>
            <w:vAlign w:val="center"/>
          </w:tcPr>
          <w:p w14:paraId="01BC95D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本项目采购代理服务费由中标人（成交人）支付。根据《国家发展改革委关于进一步放开建设项目专业服务价格的通知》（发改价格【2015】299号）文件精神，现将费用标准予以告知，本项目采购代理服务费计算公式为：中标价（成交价）*1.5%（不足3000元的按3000元收取）。</w:t>
            </w:r>
          </w:p>
          <w:p w14:paraId="422E4FC1">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代理费缴纳账户：</w:t>
            </w:r>
          </w:p>
          <w:p w14:paraId="43B77F7B">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户名：安徽大别山工程咨询有限公司</w:t>
            </w:r>
          </w:p>
          <w:p w14:paraId="7F75A12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开户行：安徽霍山农村商业银行股份有限公司营业部</w:t>
            </w:r>
          </w:p>
          <w:p w14:paraId="44A4A83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账号：20010048352066600000012</w:t>
            </w:r>
          </w:p>
        </w:tc>
      </w:tr>
      <w:tr w14:paraId="3B77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3A0F1E1E">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27.1</w:t>
            </w:r>
          </w:p>
        </w:tc>
        <w:tc>
          <w:tcPr>
            <w:tcW w:w="788" w:type="pct"/>
            <w:vAlign w:val="center"/>
          </w:tcPr>
          <w:p w14:paraId="034D00B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rPr>
              <w:t>签订合同</w:t>
            </w:r>
          </w:p>
        </w:tc>
        <w:tc>
          <w:tcPr>
            <w:tcW w:w="3807" w:type="pct"/>
            <w:vAlign w:val="center"/>
          </w:tcPr>
          <w:p w14:paraId="7458830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采购人与成交供应商应当自发出成交通知书之日起30日内签订合同。</w:t>
            </w:r>
          </w:p>
        </w:tc>
      </w:tr>
      <w:tr w14:paraId="48E3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0C6428BC">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29</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3</w:t>
            </w:r>
          </w:p>
        </w:tc>
        <w:tc>
          <w:tcPr>
            <w:tcW w:w="788" w:type="pct"/>
            <w:vAlign w:val="center"/>
          </w:tcPr>
          <w:p w14:paraId="6F83115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rPr>
              <w:t>质疑函递交方式</w:t>
            </w:r>
          </w:p>
        </w:tc>
        <w:tc>
          <w:tcPr>
            <w:tcW w:w="3807" w:type="pct"/>
            <w:vAlign w:val="center"/>
          </w:tcPr>
          <w:p w14:paraId="0772642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1、供应商若对采购文件有关内容存在质疑，可在</w:t>
            </w:r>
            <w:r>
              <w:rPr>
                <w:rFonts w:hint="eastAsia" w:ascii="宋体" w:hAnsi="宋体" w:eastAsia="宋体" w:cs="宋体"/>
                <w:b w:val="0"/>
                <w:bCs/>
                <w:color w:val="auto"/>
                <w:sz w:val="24"/>
                <w:szCs w:val="24"/>
                <w:highlight w:val="none"/>
              </w:rPr>
              <w:t>法定质疑时限内</w:t>
            </w:r>
            <w:r>
              <w:rPr>
                <w:rFonts w:hint="eastAsia" w:ascii="宋体" w:hAnsi="宋体" w:eastAsia="宋体" w:cs="宋体"/>
                <w:b w:val="0"/>
                <w:bCs/>
                <w:color w:val="auto"/>
                <w:sz w:val="24"/>
                <w:szCs w:val="24"/>
                <w:highlight w:val="none"/>
                <w:lang w:val="zh-CN"/>
              </w:rPr>
              <w:t>以书面形式在工作时间向采购人、采购代理机构提出质疑。质疑文件须按照采购文件“第七章</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zh-CN"/>
              </w:rPr>
              <w:t>供应商询问函和质疑函范本”要求制作，质疑文件不可匿名，须加盖质疑人</w:t>
            </w:r>
            <w:r>
              <w:rPr>
                <w:rFonts w:hint="eastAsia" w:ascii="宋体" w:hAnsi="宋体" w:eastAsia="宋体" w:cs="宋体"/>
                <w:b w:val="0"/>
                <w:bCs/>
                <w:color w:val="auto"/>
                <w:sz w:val="24"/>
                <w:szCs w:val="24"/>
                <w:highlight w:val="none"/>
                <w:lang w:val="en-US" w:eastAsia="zh-CN"/>
              </w:rPr>
              <w:t>公章</w:t>
            </w:r>
            <w:r>
              <w:rPr>
                <w:rFonts w:hint="eastAsia" w:ascii="宋体" w:hAnsi="宋体" w:eastAsia="宋体" w:cs="宋体"/>
                <w:b w:val="0"/>
                <w:bCs/>
                <w:color w:val="auto"/>
                <w:sz w:val="24"/>
                <w:szCs w:val="24"/>
                <w:highlight w:val="none"/>
                <w:lang w:val="zh-CN"/>
              </w:rPr>
              <w:t>后</w:t>
            </w:r>
            <w:r>
              <w:rPr>
                <w:rFonts w:hint="eastAsia" w:ascii="宋体" w:hAnsi="宋体" w:eastAsia="宋体" w:cs="宋体"/>
                <w:b w:val="0"/>
                <w:bCs/>
                <w:color w:val="auto"/>
                <w:sz w:val="24"/>
                <w:szCs w:val="24"/>
                <w:highlight w:val="none"/>
                <w:lang w:val="en-US" w:eastAsia="zh-CN"/>
              </w:rPr>
              <w:t>提交</w:t>
            </w:r>
            <w:r>
              <w:rPr>
                <w:rFonts w:hint="eastAsia" w:ascii="宋体" w:hAnsi="宋体" w:eastAsia="宋体" w:cs="宋体"/>
                <w:b w:val="0"/>
                <w:bCs/>
                <w:color w:val="auto"/>
                <w:sz w:val="24"/>
                <w:szCs w:val="24"/>
                <w:highlight w:val="none"/>
                <w:lang w:val="zh-CN"/>
              </w:rPr>
              <w:t>。采购人（采购代理机构）将于收到质疑文件后七个工作日内答复。</w:t>
            </w:r>
          </w:p>
          <w:p w14:paraId="6498A45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kern w:val="0"/>
                <w:sz w:val="24"/>
                <w:szCs w:val="24"/>
                <w:highlight w:val="none"/>
                <w:lang w:val="en-US" w:eastAsia="zh-CN"/>
              </w:rPr>
              <w:t>2</w:t>
            </w:r>
            <w:r>
              <w:rPr>
                <w:rFonts w:hint="eastAsia" w:ascii="宋体" w:hAnsi="宋体" w:eastAsia="宋体" w:cs="宋体"/>
                <w:b w:val="0"/>
                <w:color w:val="auto"/>
                <w:kern w:val="0"/>
                <w:sz w:val="24"/>
                <w:szCs w:val="24"/>
                <w:highlight w:val="none"/>
              </w:rPr>
              <w:t>、请各潜在供应商在响应截止时间前，务必登录安徽霍山国有资产投资控股集团有限公司（http://</w:t>
            </w:r>
            <w:r>
              <w:rPr>
                <w:rFonts w:hint="eastAsia" w:ascii="宋体" w:hAnsi="宋体" w:eastAsia="宋体" w:cs="宋体"/>
                <w:b w:val="0"/>
                <w:color w:val="auto"/>
                <w:kern w:val="0"/>
                <w:sz w:val="24"/>
                <w:szCs w:val="24"/>
                <w:highlight w:val="none"/>
                <w:lang w:val="en-US" w:eastAsia="zh-CN"/>
              </w:rPr>
              <w:t>www.</w:t>
            </w:r>
            <w:r>
              <w:rPr>
                <w:rFonts w:hint="eastAsia" w:ascii="宋体" w:hAnsi="宋体" w:eastAsia="宋体" w:cs="宋体"/>
                <w:b w:val="0"/>
                <w:color w:val="auto"/>
                <w:kern w:val="0"/>
                <w:sz w:val="24"/>
                <w:szCs w:val="24"/>
                <w:highlight w:val="none"/>
              </w:rPr>
              <w:t>ahdmig.cn）“补充公告”栏目，查看是否发布有关项目更正公告。更正公告为采购文件的有效组成部分，一经发布即为视同已通知所有潜在供应商，若因未及时关注而造成的一切后果，由供应商自行承担。</w:t>
            </w:r>
          </w:p>
        </w:tc>
      </w:tr>
      <w:tr w14:paraId="376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403" w:type="pct"/>
            <w:vAlign w:val="center"/>
          </w:tcPr>
          <w:p w14:paraId="223FE0B8">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30</w:t>
            </w:r>
          </w:p>
        </w:tc>
        <w:tc>
          <w:tcPr>
            <w:tcW w:w="788" w:type="pct"/>
            <w:vAlign w:val="center"/>
          </w:tcPr>
          <w:p w14:paraId="6D93B80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其他内容</w:t>
            </w:r>
          </w:p>
        </w:tc>
        <w:tc>
          <w:tcPr>
            <w:tcW w:w="3807" w:type="pct"/>
            <w:vAlign w:val="center"/>
          </w:tcPr>
          <w:p w14:paraId="658FC898">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1、解释权：</w:t>
            </w:r>
          </w:p>
          <w:p w14:paraId="7A2A94BC">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w:t>
            </w:r>
            <w:r>
              <w:rPr>
                <w:rFonts w:hint="eastAsia" w:ascii="宋体" w:hAnsi="宋体" w:eastAsia="宋体" w:cs="宋体"/>
                <w:bCs/>
                <w:color w:val="auto"/>
                <w:sz w:val="24"/>
                <w:szCs w:val="24"/>
                <w:highlight w:val="none"/>
                <w:lang w:val="en-US" w:eastAsia="zh-CN"/>
              </w:rPr>
              <w:t>谈判</w:t>
            </w:r>
            <w:r>
              <w:rPr>
                <w:rFonts w:hint="eastAsia" w:ascii="宋体" w:hAnsi="宋体" w:eastAsia="宋体" w:cs="宋体"/>
                <w:bCs/>
                <w:color w:val="auto"/>
                <w:sz w:val="24"/>
                <w:szCs w:val="24"/>
                <w:highlight w:val="none"/>
              </w:rPr>
              <w:t>文件的各个组成文件应互为解释，互为说明；</w:t>
            </w:r>
          </w:p>
          <w:p w14:paraId="3328FE2D">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0E22499B">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060216CF">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（4）除谈判文件中有特别规定外，仅适用于谈判及响应文件提交阶段的规定，按</w:t>
            </w:r>
            <w:r>
              <w:rPr>
                <w:rFonts w:hint="eastAsia" w:ascii="宋体" w:hAnsi="宋体" w:eastAsia="宋体" w:cs="宋体"/>
                <w:bCs/>
                <w:color w:val="auto"/>
                <w:sz w:val="24"/>
                <w:szCs w:val="24"/>
                <w:highlight w:val="none"/>
                <w:lang w:eastAsia="zh-CN"/>
              </w:rPr>
              <w:t>采购邀请</w:t>
            </w:r>
            <w:r>
              <w:rPr>
                <w:rFonts w:hint="eastAsia" w:ascii="宋体" w:hAnsi="宋体" w:eastAsia="宋体" w:cs="宋体"/>
                <w:bCs/>
                <w:color w:val="auto"/>
                <w:sz w:val="24"/>
                <w:szCs w:val="24"/>
                <w:highlight w:val="none"/>
              </w:rPr>
              <w:t>、供应商须知、评审方法和标准、响应文件格式的先后顺序解释；</w:t>
            </w:r>
          </w:p>
          <w:p w14:paraId="500BCE37">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（5）按本款前述规定仍不能形成结论的，由采购人负责解释。</w:t>
            </w:r>
          </w:p>
          <w:p w14:paraId="125BAD1E">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2、采购文件中，按日计算期间的，开始当日不计入，从次日开始计算。期限的最后一日是国家法定节假日的，顺延到节假日后的次日为期限的最后一日。</w:t>
            </w:r>
          </w:p>
          <w:p w14:paraId="74D64CBF">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u w:val="none"/>
                <w:lang w:val="en-US" w:eastAsia="zh-CN"/>
              </w:rPr>
              <w:t>3、采购文件中，所称的“以上”、“以下”、“内”、“以内”，包括本数；所称的“不足”，不包括本数。</w:t>
            </w:r>
          </w:p>
        </w:tc>
      </w:tr>
    </w:tbl>
    <w:p w14:paraId="08C25B3F">
      <w:pPr>
        <w:spacing w:line="360" w:lineRule="auto"/>
        <w:jc w:val="center"/>
        <w:outlineLvl w:val="1"/>
        <w:rPr>
          <w:rFonts w:hint="eastAsia" w:ascii="宋体" w:hAnsi="宋体" w:eastAsia="宋体" w:cs="宋体"/>
          <w:color w:val="auto"/>
          <w:sz w:val="24"/>
          <w:highlight w:val="none"/>
        </w:rPr>
      </w:pPr>
      <w:r>
        <w:rPr>
          <w:rFonts w:hint="eastAsia" w:ascii="宋体" w:hAnsi="宋体" w:eastAsia="宋体" w:cs="宋体"/>
          <w:b/>
          <w:color w:val="auto"/>
          <w:sz w:val="28"/>
          <w:highlight w:val="none"/>
        </w:rPr>
        <w:br w:type="page"/>
      </w:r>
      <w:bookmarkStart w:id="63" w:name="_Toc19150"/>
      <w:bookmarkStart w:id="64" w:name="_Toc11602"/>
      <w:r>
        <w:rPr>
          <w:rFonts w:hint="eastAsia" w:ascii="宋体" w:hAnsi="宋体" w:eastAsia="宋体" w:cs="宋体"/>
          <w:b/>
          <w:color w:val="auto"/>
          <w:sz w:val="24"/>
          <w:highlight w:val="none"/>
        </w:rPr>
        <w:t>二、供应商须知正文</w:t>
      </w:r>
      <w:bookmarkEnd w:id="63"/>
      <w:bookmarkEnd w:id="64"/>
    </w:p>
    <w:p w14:paraId="6E20280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w:t>
      </w:r>
      <w:r>
        <w:rPr>
          <w:rFonts w:hint="eastAsia" w:ascii="宋体" w:hAnsi="宋体" w:eastAsia="宋体" w:cs="宋体"/>
          <w:color w:val="auto"/>
          <w:highlight w:val="none"/>
        </w:rPr>
        <w:t xml:space="preserve"> </w:t>
      </w:r>
      <w:r>
        <w:rPr>
          <w:rFonts w:hint="eastAsia" w:ascii="宋体" w:hAnsi="宋体" w:eastAsia="宋体" w:cs="宋体"/>
          <w:b/>
          <w:color w:val="auto"/>
          <w:sz w:val="24"/>
          <w:highlight w:val="none"/>
        </w:rPr>
        <w:t>采购人、采购代理机构及供应商</w:t>
      </w:r>
    </w:p>
    <w:p w14:paraId="4139EAD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.1采购人：是指依法开展采购活动的国家机关、企事业单位、团体组织等。</w:t>
      </w:r>
    </w:p>
    <w:p w14:paraId="4F0714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.2采购代理机构：是指从事采购代理业务的社会中介机构。</w:t>
      </w:r>
    </w:p>
    <w:p w14:paraId="6ED801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.3监督部门：有关部门依法履行与</w:t>
      </w:r>
      <w:r>
        <w:rPr>
          <w:rFonts w:hint="eastAsia" w:ascii="宋体" w:hAnsi="宋体" w:eastAsia="宋体" w:cs="宋体"/>
          <w:color w:val="auto"/>
          <w:sz w:val="24"/>
          <w:highlight w:val="none"/>
          <w:lang w:val="en-US" w:eastAsia="zh-CN"/>
        </w:rPr>
        <w:t>本次</w:t>
      </w:r>
      <w:r>
        <w:rPr>
          <w:rFonts w:hint="eastAsia" w:ascii="宋体" w:hAnsi="宋体" w:eastAsia="宋体" w:cs="宋体"/>
          <w:color w:val="auto"/>
          <w:sz w:val="24"/>
          <w:highlight w:val="none"/>
        </w:rPr>
        <w:t>采购活动有关的监督管理职责。</w:t>
      </w:r>
    </w:p>
    <w:p w14:paraId="0A99B34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.4供应商：是指向采购人提供货物、工程或者服务的法人、</w:t>
      </w:r>
      <w:r>
        <w:rPr>
          <w:rFonts w:hint="eastAsia" w:ascii="宋体" w:hAnsi="宋体" w:eastAsia="宋体" w:cs="宋体"/>
          <w:color w:val="auto"/>
          <w:sz w:val="24"/>
          <w:highlight w:val="none"/>
          <w:lang w:val="en-US" w:eastAsia="zh-CN"/>
        </w:rPr>
        <w:t>其他</w:t>
      </w:r>
      <w:r>
        <w:rPr>
          <w:rFonts w:hint="eastAsia" w:ascii="宋体" w:hAnsi="宋体" w:eastAsia="宋体" w:cs="宋体"/>
          <w:color w:val="auto"/>
          <w:sz w:val="24"/>
          <w:highlight w:val="none"/>
        </w:rPr>
        <w:t>组织或者自然人。</w:t>
      </w:r>
      <w:bookmarkStart w:id="65" w:name="_Hlk60264251"/>
      <w:r>
        <w:rPr>
          <w:rFonts w:hint="eastAsia" w:ascii="宋体" w:hAnsi="宋体" w:eastAsia="宋体" w:cs="宋体"/>
          <w:color w:val="auto"/>
          <w:sz w:val="24"/>
          <w:highlight w:val="none"/>
        </w:rPr>
        <w:t>本项目的</w:t>
      </w:r>
      <w:r>
        <w:rPr>
          <w:rFonts w:hint="eastAsia" w:ascii="宋体" w:hAnsi="宋体" w:eastAsia="宋体" w:cs="宋体"/>
          <w:color w:val="auto"/>
          <w:sz w:val="24"/>
          <w:highlight w:val="none"/>
          <w:lang w:val="en-US" w:eastAsia="zh-CN"/>
        </w:rPr>
        <w:t>供应商及其所投货物</w:t>
      </w:r>
      <w:r>
        <w:rPr>
          <w:rFonts w:hint="eastAsia" w:ascii="宋体" w:hAnsi="宋体" w:eastAsia="宋体" w:cs="宋体"/>
          <w:color w:val="auto"/>
          <w:sz w:val="24"/>
          <w:highlight w:val="none"/>
        </w:rPr>
        <w:t>须满足以下条件：</w:t>
      </w:r>
    </w:p>
    <w:p w14:paraId="278A3CF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满足采购文件第一章采购邀请对申请人的资格要求。</w:t>
      </w:r>
    </w:p>
    <w:p w14:paraId="4369BF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以采购代理机构认可的方式获得了本项目的</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w:t>
      </w:r>
    </w:p>
    <w:p w14:paraId="3407DD9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若供应商所投货物含有进口产品，供应商应保证所投产品可履行合法报通关手续进入中国关境内。</w:t>
      </w:r>
    </w:p>
    <w:bookmarkEnd w:id="65"/>
    <w:p w14:paraId="4B803385">
      <w:pPr>
        <w:spacing w:line="360" w:lineRule="auto"/>
        <w:ind w:firstLine="435"/>
        <w:rPr>
          <w:rFonts w:hint="eastAsia" w:ascii="宋体" w:hAnsi="宋体" w:eastAsia="宋体" w:cs="宋体"/>
          <w:color w:val="auto"/>
          <w:sz w:val="24"/>
          <w:highlight w:val="none"/>
        </w:rPr>
      </w:pPr>
      <w:bookmarkStart w:id="66" w:name="_Hlk60611047"/>
      <w:r>
        <w:rPr>
          <w:rFonts w:hint="eastAsia" w:ascii="宋体" w:hAnsi="宋体" w:eastAsia="宋体" w:cs="宋体"/>
          <w:bCs/>
          <w:color w:val="auto"/>
          <w:kern w:val="0"/>
          <w:sz w:val="24"/>
          <w:szCs w:val="28"/>
          <w:highlight w:val="none"/>
          <w:lang w:val="en-US" w:eastAsia="zh-CN"/>
        </w:rPr>
        <w:t>1</w:t>
      </w:r>
      <w:r>
        <w:rPr>
          <w:rFonts w:hint="eastAsia" w:ascii="宋体" w:hAnsi="宋体" w:eastAsia="宋体" w:cs="宋体"/>
          <w:bCs/>
          <w:color w:val="auto"/>
          <w:kern w:val="0"/>
          <w:sz w:val="24"/>
          <w:szCs w:val="28"/>
          <w:highlight w:val="none"/>
        </w:rPr>
        <w:t>.5若</w:t>
      </w:r>
      <w:r>
        <w:rPr>
          <w:rFonts w:hint="eastAsia" w:ascii="宋体" w:hAnsi="宋体" w:eastAsia="宋体" w:cs="宋体"/>
          <w:bCs/>
          <w:color w:val="auto"/>
          <w:kern w:val="0"/>
          <w:sz w:val="24"/>
          <w:szCs w:val="28"/>
          <w:highlight w:val="none"/>
          <w:lang w:eastAsia="zh-CN"/>
        </w:rPr>
        <w:t>采购邀请</w:t>
      </w:r>
      <w:r>
        <w:rPr>
          <w:rFonts w:hint="eastAsia" w:ascii="宋体" w:hAnsi="宋体" w:eastAsia="宋体" w:cs="宋体"/>
          <w:bCs/>
          <w:color w:val="auto"/>
          <w:kern w:val="0"/>
          <w:sz w:val="24"/>
          <w:szCs w:val="28"/>
          <w:highlight w:val="none"/>
        </w:rPr>
        <w:t>中允许联合体参加谈判，对联合体规定如下：</w:t>
      </w:r>
    </w:p>
    <w:bookmarkEnd w:id="66"/>
    <w:p w14:paraId="390228D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.5.1两个以上供应商可以组成一个谈判联合体，以一个供应商的身份谈判。</w:t>
      </w:r>
    </w:p>
    <w:p w14:paraId="6B7D093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.5.2联合体各方应签订联合协议，明确约定联合体各方承担的工作和相应的责任，并将联合协议作为响应文件的一部分提交。</w:t>
      </w:r>
    </w:p>
    <w:p w14:paraId="169A97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联合体中有同类资质的供应商按照联合体分工承担相同工作的，应当按照资质等级较低的供应商确定资质等级。</w:t>
      </w:r>
    </w:p>
    <w:p w14:paraId="5204CB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以联合体形式参加采购活动的，联合体各方不得再单独参加或者与其他供应商另外组成联合体参加本项目</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，否则相关响应文件将被认定为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A5D3C9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对联合体参加</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的其他资格要求见</w:t>
      </w:r>
      <w:r>
        <w:rPr>
          <w:rFonts w:hint="eastAsia" w:ascii="宋体" w:hAnsi="宋体" w:eastAsia="宋体" w:cs="宋体"/>
          <w:color w:val="auto"/>
          <w:sz w:val="24"/>
          <w:highlight w:val="none"/>
          <w:lang w:val="en-US" w:eastAsia="zh-CN"/>
        </w:rPr>
        <w:t>申请人的</w:t>
      </w:r>
      <w:r>
        <w:rPr>
          <w:rFonts w:hint="eastAsia" w:ascii="宋体" w:hAnsi="宋体" w:eastAsia="宋体" w:cs="宋体"/>
          <w:color w:val="auto"/>
          <w:sz w:val="24"/>
          <w:highlight w:val="none"/>
        </w:rPr>
        <w:t>资格</w:t>
      </w:r>
      <w:r>
        <w:rPr>
          <w:rFonts w:hint="eastAsia" w:ascii="宋体" w:hAnsi="宋体" w:eastAsia="宋体" w:cs="宋体"/>
          <w:color w:val="auto"/>
          <w:sz w:val="24"/>
          <w:highlight w:val="none"/>
          <w:lang w:val="en-US" w:eastAsia="zh-CN"/>
        </w:rPr>
        <w:t>要求</w:t>
      </w:r>
      <w:r>
        <w:rPr>
          <w:rFonts w:hint="eastAsia" w:ascii="宋体" w:hAnsi="宋体" w:eastAsia="宋体" w:cs="宋体"/>
          <w:color w:val="auto"/>
          <w:sz w:val="24"/>
          <w:highlight w:val="none"/>
        </w:rPr>
        <w:t>。</w:t>
      </w:r>
    </w:p>
    <w:p w14:paraId="79F8873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.资金</w:t>
      </w:r>
      <w:r>
        <w:rPr>
          <w:rFonts w:hint="eastAsia" w:ascii="宋体" w:hAnsi="宋体" w:eastAsia="宋体" w:cs="宋体"/>
          <w:b/>
          <w:color w:val="auto"/>
          <w:sz w:val="24"/>
          <w:highlight w:val="none"/>
          <w:lang w:val="en-US" w:eastAsia="zh-CN"/>
        </w:rPr>
        <w:t>落实情况</w:t>
      </w:r>
    </w:p>
    <w:p w14:paraId="3648235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本项目的采购人已获得足以支付本次谈判后所签订的合同项下的资金。</w:t>
      </w:r>
    </w:p>
    <w:p w14:paraId="4A6342E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.谈判费用</w:t>
      </w:r>
    </w:p>
    <w:p w14:paraId="4E7821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不论谈判的结果如何，供应商应承担其所有与准备和参加谈判有关的费用。</w:t>
      </w:r>
    </w:p>
    <w:p w14:paraId="0500275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.适用法律</w:t>
      </w:r>
    </w:p>
    <w:p w14:paraId="011F1C5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本项目满足《</w:t>
      </w:r>
      <w:r>
        <w:rPr>
          <w:rFonts w:hint="eastAsia" w:ascii="宋体" w:hAnsi="宋体" w:eastAsia="宋体" w:cs="宋体"/>
          <w:color w:val="auto"/>
          <w:sz w:val="24"/>
          <w:highlight w:val="none"/>
        </w:rPr>
        <w:t>安徽省政府集中采购目录及标准（2026年版）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集中采购目录以外且分散采购限额标准以下的项目，不属于《中华人民共和国政府采购法》规定的政府采购项目，由采购人按照相关预算支出管理规定和本单位内部控制制度组织实施采购。</w:t>
      </w:r>
      <w:r>
        <w:rPr>
          <w:rFonts w:hint="eastAsia" w:ascii="宋体" w:hAnsi="宋体" w:eastAsia="宋体" w:cs="宋体"/>
          <w:color w:val="auto"/>
          <w:sz w:val="24"/>
          <w:highlight w:val="none"/>
          <w:lang w:eastAsia="zh-CN"/>
        </w:rPr>
        <w:t>”</w:t>
      </w:r>
    </w:p>
    <w:p w14:paraId="77A20C9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5</w:t>
      </w:r>
      <w:r>
        <w:rPr>
          <w:rFonts w:hint="eastAsia" w:ascii="宋体" w:hAnsi="宋体" w:eastAsia="宋体" w:cs="宋体"/>
          <w:b/>
          <w:color w:val="auto"/>
          <w:sz w:val="24"/>
          <w:highlight w:val="none"/>
        </w:rPr>
        <w:t>.谈判文件构成</w:t>
      </w:r>
    </w:p>
    <w:p w14:paraId="37F4B46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.1谈判文件包括下列内容：</w:t>
      </w:r>
    </w:p>
    <w:p w14:paraId="58578A5D">
      <w:pPr>
        <w:spacing w:line="360" w:lineRule="auto"/>
        <w:ind w:firstLine="840" w:firstLineChars="3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第一章  </w:t>
      </w:r>
      <w:r>
        <w:rPr>
          <w:rFonts w:hint="eastAsia" w:ascii="宋体" w:hAnsi="宋体" w:eastAsia="宋体" w:cs="宋体"/>
          <w:color w:val="auto"/>
          <w:sz w:val="24"/>
          <w:highlight w:val="none"/>
          <w:lang w:eastAsia="zh-CN"/>
        </w:rPr>
        <w:t>采购邀请</w:t>
      </w:r>
    </w:p>
    <w:p w14:paraId="19FB9B8F">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供应商须知</w:t>
      </w:r>
    </w:p>
    <w:p w14:paraId="36FC1059">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704CAB4E">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评审方法和标准</w:t>
      </w:r>
    </w:p>
    <w:p w14:paraId="2B24EC0E">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采购合同</w:t>
      </w:r>
    </w:p>
    <w:p w14:paraId="214A0049">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响应文件格式</w:t>
      </w:r>
    </w:p>
    <w:p w14:paraId="4B5ED227">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w:t>
      </w:r>
      <w:r>
        <w:rPr>
          <w:rFonts w:hint="eastAsia" w:ascii="宋体" w:hAnsi="宋体" w:eastAsia="宋体" w:cs="宋体"/>
          <w:color w:val="auto"/>
          <w:sz w:val="24"/>
          <w:highlight w:val="none"/>
          <w:lang w:val="en-US" w:eastAsia="zh-CN"/>
        </w:rPr>
        <w:t>七</w:t>
      </w:r>
      <w:r>
        <w:rPr>
          <w:rFonts w:hint="eastAsia" w:ascii="宋体" w:hAnsi="宋体" w:eastAsia="宋体" w:cs="宋体"/>
          <w:color w:val="auto"/>
          <w:sz w:val="24"/>
          <w:highlight w:val="none"/>
        </w:rPr>
        <w:t>章  供应商询问函和质疑函范本</w:t>
      </w:r>
    </w:p>
    <w:p w14:paraId="5B071C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现场考察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标前答疑会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及相关事项见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7BA1B213">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原则上采购人、采购代理机构不要求</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提供样品。仅凭书面方式不能准确描述采购需求，或者需要对样品进行主观判断以确认是否满足采购需求等特殊情况除外。</w:t>
      </w:r>
    </w:p>
    <w:p w14:paraId="2CA8A98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如需提供样品，对样品相关要求见采购需求，对样品的评审方法及评审标准见谈判文件第四章。</w:t>
      </w:r>
    </w:p>
    <w:p w14:paraId="3A2F163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供应商应认真阅读谈判文件所有的事项、格式、条款和技术规范等。</w:t>
      </w:r>
    </w:p>
    <w:p w14:paraId="05142BE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6</w:t>
      </w:r>
      <w:r>
        <w:rPr>
          <w:rFonts w:hint="eastAsia" w:ascii="宋体" w:hAnsi="宋体" w:eastAsia="宋体" w:cs="宋体"/>
          <w:b/>
          <w:color w:val="auto"/>
          <w:sz w:val="24"/>
          <w:highlight w:val="none"/>
        </w:rPr>
        <w:t>.谈判文件的澄清与修改</w:t>
      </w:r>
    </w:p>
    <w:p w14:paraId="2065692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.1供应商如对谈判文件内容有疑问，</w:t>
      </w:r>
      <w:r>
        <w:rPr>
          <w:rFonts w:hint="eastAsia" w:ascii="宋体" w:hAnsi="宋体" w:eastAsia="宋体" w:cs="宋体"/>
          <w:color w:val="auto"/>
          <w:sz w:val="24"/>
          <w:highlight w:val="none"/>
          <w:lang w:eastAsia="zh-CN"/>
        </w:rPr>
        <w:t>可通过</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规定的形式提交给</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w:t>
      </w:r>
    </w:p>
    <w:p w14:paraId="69946D3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可主动地或在</w:t>
      </w:r>
      <w:r>
        <w:rPr>
          <w:rFonts w:hint="eastAsia" w:ascii="宋体" w:hAnsi="宋体" w:eastAsia="宋体" w:cs="宋体"/>
          <w:color w:val="auto"/>
          <w:sz w:val="24"/>
          <w:highlight w:val="none"/>
          <w:lang w:val="en-US" w:eastAsia="zh-CN"/>
        </w:rPr>
        <w:t>答复供应商</w:t>
      </w:r>
      <w:r>
        <w:rPr>
          <w:rFonts w:hint="eastAsia" w:ascii="宋体" w:hAnsi="宋体" w:eastAsia="宋体" w:cs="宋体"/>
          <w:color w:val="auto"/>
          <w:sz w:val="24"/>
          <w:highlight w:val="none"/>
        </w:rPr>
        <w:t>提出的</w:t>
      </w:r>
      <w:r>
        <w:rPr>
          <w:rFonts w:hint="eastAsia" w:ascii="宋体" w:hAnsi="宋体" w:eastAsia="宋体" w:cs="宋体"/>
          <w:color w:val="auto"/>
          <w:sz w:val="24"/>
          <w:highlight w:val="none"/>
          <w:lang w:val="en-US" w:eastAsia="zh-CN"/>
        </w:rPr>
        <w:t>询问</w:t>
      </w:r>
      <w:r>
        <w:rPr>
          <w:rFonts w:hint="eastAsia" w:ascii="宋体" w:hAnsi="宋体" w:eastAsia="宋体" w:cs="宋体"/>
          <w:color w:val="auto"/>
          <w:sz w:val="24"/>
          <w:highlight w:val="none"/>
        </w:rPr>
        <w:t>时对</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文件进行澄清与修改。</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将在</w:t>
      </w:r>
      <w:r>
        <w:rPr>
          <w:rFonts w:hint="eastAsia" w:ascii="宋体" w:hAnsi="宋体" w:eastAsia="宋体" w:cs="宋体"/>
          <w:color w:val="auto"/>
          <w:sz w:val="24"/>
          <w:szCs w:val="18"/>
          <w:highlight w:val="none"/>
          <w:lang w:val="en-US" w:eastAsia="zh-CN"/>
        </w:rPr>
        <w:t>以</w:t>
      </w:r>
      <w:r>
        <w:rPr>
          <w:rFonts w:hint="eastAsia" w:ascii="宋体" w:hAnsi="宋体" w:eastAsia="宋体" w:cs="宋体"/>
          <w:color w:val="auto"/>
          <w:sz w:val="24"/>
          <w:highlight w:val="none"/>
        </w:rPr>
        <w:t>发布更正公告的方式澄清或者修改谈判文件，更正公告的内容作为谈判文件的组成部分，对供应商起约束作用。供应商应主动上网查询。</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不承担供应商未及时关注相关信息引发的相关责任。</w:t>
      </w:r>
    </w:p>
    <w:p w14:paraId="166A802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.3任何人或任何组织向供应商提供的任何书面或口头资料，未经</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在网上发布或书面通知，均作无效处理，不得作为谈判文件的组成部分。</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对供应商由此而做出的推论、理解和结论概不负责。</w:t>
      </w:r>
    </w:p>
    <w:p w14:paraId="07552978">
      <w:pPr>
        <w:spacing w:line="360" w:lineRule="auto"/>
        <w:ind w:firstLine="435"/>
        <w:rPr>
          <w:rFonts w:hint="eastAsia" w:ascii="宋体" w:hAnsi="宋体" w:eastAsia="宋体" w:cs="宋体"/>
          <w:iCs/>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.4对于没有提出询问又参与了本项目谈判的供应商将被视为完全认同本谈判文件（含更正公告的内容）</w:t>
      </w:r>
      <w:r>
        <w:rPr>
          <w:rFonts w:hint="eastAsia" w:ascii="宋体" w:hAnsi="宋体" w:eastAsia="宋体" w:cs="宋体"/>
          <w:i w:val="0"/>
          <w:iCs/>
          <w:color w:val="auto"/>
          <w:sz w:val="24"/>
          <w:highlight w:val="none"/>
        </w:rPr>
        <w:t>。</w:t>
      </w:r>
    </w:p>
    <w:p w14:paraId="6EC94C7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7</w:t>
      </w:r>
      <w:r>
        <w:rPr>
          <w:rFonts w:hint="eastAsia" w:ascii="宋体" w:hAnsi="宋体" w:eastAsia="宋体" w:cs="宋体"/>
          <w:b/>
          <w:color w:val="auto"/>
          <w:sz w:val="24"/>
          <w:highlight w:val="none"/>
        </w:rPr>
        <w:t>.谈判范围及响应文件中标准和计量单位的使用</w:t>
      </w:r>
    </w:p>
    <w:p w14:paraId="591C90D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.1项目有分包的，供应商可参与其中某一个或多个分包的谈判，成交包数详见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w:t>
      </w:r>
    </w:p>
    <w:p w14:paraId="180F7A9C">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7.2供应商</w:t>
      </w:r>
      <w:r>
        <w:rPr>
          <w:rFonts w:hint="eastAsia" w:ascii="宋体" w:hAnsi="宋体" w:eastAsia="宋体" w:cs="宋体"/>
          <w:color w:val="auto"/>
          <w:sz w:val="24"/>
          <w:highlight w:val="none"/>
        </w:rPr>
        <w:t>应当对所投分包</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文件中“采购需求”所列的所有内容进行</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，如仅响应所投包别中的部分内容，其所投包别的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将被认定为</w:t>
      </w:r>
      <w:r>
        <w:rPr>
          <w:rFonts w:hint="eastAsia" w:ascii="宋体" w:hAnsi="宋体" w:eastAsia="宋体" w:cs="宋体"/>
          <w:b/>
          <w:color w:val="auto"/>
          <w:sz w:val="24"/>
          <w:highlight w:val="none"/>
          <w:lang w:val="en-US" w:eastAsia="zh-CN"/>
        </w:rPr>
        <w:t>响应</w:t>
      </w:r>
      <w:r>
        <w:rPr>
          <w:rFonts w:hint="eastAsia" w:ascii="宋体" w:hAnsi="宋体" w:eastAsia="宋体" w:cs="宋体"/>
          <w:b/>
          <w:color w:val="auto"/>
          <w:sz w:val="24"/>
          <w:highlight w:val="none"/>
        </w:rPr>
        <w:t>无效</w:t>
      </w:r>
      <w:r>
        <w:rPr>
          <w:rFonts w:hint="eastAsia" w:ascii="宋体" w:hAnsi="宋体" w:eastAsia="宋体" w:cs="宋体"/>
          <w:color w:val="auto"/>
          <w:sz w:val="24"/>
          <w:highlight w:val="none"/>
        </w:rPr>
        <w:t>。</w:t>
      </w:r>
    </w:p>
    <w:p w14:paraId="16F71EF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无论谈判文件中是否要求，供应商所投货物及伴随的服务和工程均应符合国家强制性标准。</w:t>
      </w:r>
    </w:p>
    <w:p w14:paraId="5996A1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7D6051F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除谈判文件中有特殊要求外，响应文件中所使用的计量单位，应采用中华人民共和国法定计量单位。</w:t>
      </w:r>
    </w:p>
    <w:p w14:paraId="60320C39">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8</w:t>
      </w:r>
      <w:r>
        <w:rPr>
          <w:rFonts w:hint="eastAsia" w:ascii="宋体" w:hAnsi="宋体" w:eastAsia="宋体" w:cs="宋体"/>
          <w:b/>
          <w:color w:val="auto"/>
          <w:sz w:val="24"/>
          <w:highlight w:val="none"/>
        </w:rPr>
        <w:t>.响应文件构成</w:t>
      </w:r>
    </w:p>
    <w:p w14:paraId="5A6326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.1供应商应完整地按谈判文件提供的响应文件格式及要求编写响应文件，具体内容详见</w:t>
      </w:r>
      <w:r>
        <w:rPr>
          <w:rFonts w:hint="eastAsia" w:ascii="宋体" w:hAnsi="宋体" w:eastAsia="宋体" w:cs="宋体"/>
          <w:color w:val="auto"/>
          <w:sz w:val="24"/>
          <w:highlight w:val="none"/>
          <w:lang w:val="en-US" w:eastAsia="zh-CN"/>
        </w:rPr>
        <w:t>本项目</w:t>
      </w:r>
      <w:r>
        <w:rPr>
          <w:rFonts w:hint="eastAsia" w:ascii="宋体" w:hAnsi="宋体" w:eastAsia="宋体" w:cs="宋体"/>
          <w:color w:val="auto"/>
          <w:sz w:val="24"/>
          <w:highlight w:val="none"/>
        </w:rPr>
        <w:t>响应文件格式的相关内容。</w:t>
      </w:r>
    </w:p>
    <w:p w14:paraId="2F98ED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8.2</w:t>
      </w:r>
      <w:r>
        <w:rPr>
          <w:rFonts w:hint="eastAsia" w:ascii="宋体" w:hAnsi="宋体" w:eastAsia="宋体" w:cs="宋体"/>
          <w:color w:val="auto"/>
          <w:sz w:val="24"/>
          <w:highlight w:val="none"/>
        </w:rPr>
        <w:t>供应商应提交谈判文件要求的证明文件，证明其响应内容符合谈判文件规定。该证明文件是响应文件的一部分。证明文件</w:t>
      </w:r>
      <w:r>
        <w:rPr>
          <w:rFonts w:hint="eastAsia" w:ascii="宋体" w:hAnsi="宋体" w:eastAsia="宋体" w:cs="宋体"/>
          <w:color w:val="auto"/>
          <w:sz w:val="24"/>
          <w:highlight w:val="none"/>
          <w:lang w:val="en-US" w:eastAsia="zh-CN"/>
        </w:rPr>
        <w:t>形式</w:t>
      </w:r>
      <w:r>
        <w:rPr>
          <w:rFonts w:hint="eastAsia" w:ascii="宋体" w:hAnsi="宋体" w:eastAsia="宋体" w:cs="宋体"/>
          <w:color w:val="auto"/>
          <w:sz w:val="24"/>
          <w:highlight w:val="none"/>
        </w:rPr>
        <w:t>可以是文字资料、图纸和数据</w:t>
      </w:r>
      <w:bookmarkStart w:id="67" w:name="_Hlk11703583"/>
      <w:r>
        <w:rPr>
          <w:rFonts w:hint="eastAsia" w:ascii="宋体" w:hAnsi="宋体" w:eastAsia="宋体" w:cs="宋体"/>
          <w:color w:val="auto"/>
          <w:sz w:val="24"/>
          <w:highlight w:val="none"/>
        </w:rPr>
        <w:t>。</w:t>
      </w:r>
    </w:p>
    <w:bookmarkEnd w:id="67"/>
    <w:p w14:paraId="50DE84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8.3</w:t>
      </w:r>
      <w:r>
        <w:rPr>
          <w:rFonts w:hint="eastAsia" w:ascii="宋体" w:hAnsi="宋体" w:eastAsia="宋体" w:cs="宋体"/>
          <w:color w:val="auto"/>
          <w:sz w:val="24"/>
          <w:highlight w:val="none"/>
        </w:rPr>
        <w:t>为保证公平公正，除非谈判文件另有规定或说明，供应商对同一项目谈判时，不得同时提供备选谈判方案。</w:t>
      </w:r>
    </w:p>
    <w:p w14:paraId="4D0DD71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9</w:t>
      </w:r>
      <w:r>
        <w:rPr>
          <w:rFonts w:hint="eastAsia" w:ascii="宋体" w:hAnsi="宋体" w:eastAsia="宋体" w:cs="宋体"/>
          <w:b/>
          <w:color w:val="auto"/>
          <w:sz w:val="24"/>
          <w:highlight w:val="none"/>
        </w:rPr>
        <w:t>.报价</w:t>
      </w:r>
    </w:p>
    <w:p w14:paraId="2491472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.1供应商的报价应当包括满足本次谈判全部采购需求所应提供的货物，以及伴随的服务和工程。</w:t>
      </w:r>
      <w:r>
        <w:rPr>
          <w:rFonts w:hint="eastAsia" w:ascii="宋体" w:hAnsi="宋体" w:eastAsia="宋体" w:cs="宋体"/>
          <w:color w:val="auto"/>
          <w:sz w:val="24"/>
          <w:highlight w:val="none"/>
          <w:lang w:val="en-US" w:eastAsia="zh-CN"/>
        </w:rPr>
        <w:t>除谈判文件另有规定外，</w:t>
      </w:r>
      <w:r>
        <w:rPr>
          <w:rFonts w:hint="eastAsia" w:ascii="宋体" w:hAnsi="宋体" w:eastAsia="宋体" w:cs="宋体"/>
          <w:color w:val="auto"/>
          <w:sz w:val="24"/>
          <w:highlight w:val="none"/>
        </w:rPr>
        <w:t>所有内容均应以人民币报价，供应商的谈判报价应遵守《中华人民共和国价格法》。</w:t>
      </w:r>
    </w:p>
    <w:p w14:paraId="1F91F4E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除非谈判文件另有规定或经采购人同意支付的，最后报价均不得高于谈判文件（公告）列明的项目预算，否则其响应文件将被认定为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58DB11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报价在合同履行过程中是固定不变的，不得以任何理由予以变更。任何包含价格调整要求的谈判，其响应文件将被认定为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304A32A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9.4参照财政部《关于推动解决政府采购异常低价问题的通知》（财库〔2026〕2号），</w:t>
      </w:r>
      <w:r>
        <w:rPr>
          <w:rFonts w:hint="eastAsia" w:ascii="宋体" w:hAnsi="宋体" w:eastAsia="宋体" w:cs="宋体"/>
          <w:color w:val="auto"/>
          <w:sz w:val="24"/>
          <w:szCs w:val="24"/>
          <w:highlight w:val="none"/>
          <w:lang w:val="en-US" w:eastAsia="zh-CN"/>
        </w:rPr>
        <w:t>评审中出现</w:t>
      </w:r>
      <w:r>
        <w:rPr>
          <w:rFonts w:hint="eastAsia" w:ascii="宋体" w:hAnsi="宋体" w:eastAsia="宋体" w:cs="宋体"/>
          <w:color w:val="auto"/>
          <w:sz w:val="24"/>
          <w:szCs w:val="24"/>
          <w:highlight w:val="none"/>
          <w:u w:val="single"/>
          <w:lang w:val="en-US" w:eastAsia="zh-CN"/>
        </w:rPr>
        <w:t>供应商须知前附表</w:t>
      </w:r>
      <w:r>
        <w:rPr>
          <w:rFonts w:hint="eastAsia" w:ascii="宋体" w:hAnsi="宋体" w:eastAsia="宋体" w:cs="宋体"/>
          <w:color w:val="auto"/>
          <w:sz w:val="24"/>
          <w:szCs w:val="24"/>
          <w:highlight w:val="none"/>
          <w:u w:val="none"/>
          <w:lang w:val="en-US" w:eastAsia="zh-CN"/>
        </w:rPr>
        <w:t>所列</w:t>
      </w:r>
      <w:r>
        <w:rPr>
          <w:rFonts w:hint="eastAsia" w:ascii="宋体" w:hAnsi="宋体" w:eastAsia="宋体" w:cs="宋体"/>
          <w:color w:val="auto"/>
          <w:sz w:val="24"/>
          <w:szCs w:val="24"/>
          <w:highlight w:val="none"/>
          <w:lang w:val="en-US" w:eastAsia="zh-CN"/>
        </w:rPr>
        <w:t>情形之一的</w:t>
      </w:r>
      <w:r>
        <w:rPr>
          <w:rFonts w:hint="eastAsia" w:ascii="宋体" w:hAnsi="宋体" w:eastAsia="宋体" w:cs="宋体"/>
          <w:color w:val="auto"/>
          <w:sz w:val="24"/>
          <w:highlight w:val="none"/>
          <w:lang w:val="en-US" w:eastAsia="zh-CN"/>
        </w:rPr>
        <w:t>，谈判小组应当启动异常低价响应审查程序。</w:t>
      </w:r>
    </w:p>
    <w:p w14:paraId="2374D86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谈判小组启动异常低价响应审查后，属于表中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color w:val="auto"/>
          <w:sz w:val="24"/>
          <w:highlight w:val="none"/>
          <w:lang w:val="en-US" w:eastAsia="zh-CN"/>
        </w:rPr>
        <w:t>其中，属于第3项情形，供应商已随响应文件一并提交相关书面说明及必要的证明材料的，在评审现场可不再重复提交。</w:t>
      </w:r>
    </w:p>
    <w:p w14:paraId="18F3330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谈判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其响应文件将被认定为</w:t>
      </w:r>
      <w:r>
        <w:rPr>
          <w:rFonts w:hint="eastAsia" w:ascii="宋体" w:hAnsi="宋体" w:eastAsia="宋体" w:cs="宋体"/>
          <w:b/>
          <w:bCs/>
          <w:color w:val="auto"/>
          <w:sz w:val="24"/>
          <w:highlight w:val="none"/>
          <w:lang w:val="en-US" w:eastAsia="zh-CN"/>
        </w:rPr>
        <w:t>响应无效</w:t>
      </w:r>
      <w:r>
        <w:rPr>
          <w:rFonts w:hint="eastAsia" w:ascii="宋体" w:hAnsi="宋体" w:eastAsia="宋体" w:cs="宋体"/>
          <w:color w:val="auto"/>
          <w:sz w:val="24"/>
          <w:highlight w:val="none"/>
          <w:lang w:val="en-US" w:eastAsia="zh-CN"/>
        </w:rPr>
        <w:t>。</w:t>
      </w:r>
    </w:p>
    <w:p w14:paraId="420DE3D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采购人不接受具有附加条件的报价。</w:t>
      </w:r>
    </w:p>
    <w:p w14:paraId="7DAA900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10</w:t>
      </w:r>
      <w:r>
        <w:rPr>
          <w:rFonts w:hint="eastAsia" w:ascii="宋体" w:hAnsi="宋体" w:eastAsia="宋体" w:cs="宋体"/>
          <w:b/>
          <w:color w:val="auto"/>
          <w:sz w:val="24"/>
          <w:highlight w:val="none"/>
        </w:rPr>
        <w:t>.谈判保证金</w:t>
      </w:r>
    </w:p>
    <w:p w14:paraId="63E49E4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.1本项目不收取谈判保证金。</w:t>
      </w:r>
    </w:p>
    <w:p w14:paraId="3767BDE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11</w:t>
      </w:r>
      <w:r>
        <w:rPr>
          <w:rFonts w:hint="eastAsia" w:ascii="宋体" w:hAnsi="宋体" w:eastAsia="宋体" w:cs="宋体"/>
          <w:b/>
          <w:color w:val="auto"/>
          <w:sz w:val="24"/>
          <w:highlight w:val="none"/>
        </w:rPr>
        <w:t>.谈判有效期</w:t>
      </w:r>
    </w:p>
    <w:p w14:paraId="2D86DA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.1谈判有效期为从响应文件提交截止之日算起的日历天数，谈判有效期详见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48AC180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.2在谈判有效期内，供应商的谈判保持有效，供应商不得要求撤销或修改其响应文件。谈判有效期不满足要求的响应，其响应文件将被认定为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5546598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4D52B78">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12</w:t>
      </w:r>
      <w:r>
        <w:rPr>
          <w:rFonts w:hint="eastAsia" w:ascii="宋体" w:hAnsi="宋体" w:eastAsia="宋体" w:cs="宋体"/>
          <w:b/>
          <w:color w:val="auto"/>
          <w:sz w:val="24"/>
          <w:highlight w:val="none"/>
        </w:rPr>
        <w:t>.响应文件的提交、修改与撤回</w:t>
      </w:r>
    </w:p>
    <w:p w14:paraId="5001EA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.1供应商应当在第一章</w:t>
      </w:r>
      <w:r>
        <w:rPr>
          <w:rFonts w:hint="eastAsia" w:ascii="宋体" w:hAnsi="宋体" w:eastAsia="宋体" w:cs="宋体"/>
          <w:color w:val="auto"/>
          <w:sz w:val="24"/>
          <w:highlight w:val="none"/>
          <w:u w:val="none"/>
          <w:lang w:val="en-US" w:eastAsia="zh-CN"/>
        </w:rPr>
        <w:t>采购邀请</w:t>
      </w:r>
      <w:r>
        <w:rPr>
          <w:rFonts w:hint="eastAsia" w:ascii="宋体" w:hAnsi="宋体" w:eastAsia="宋体" w:cs="宋体"/>
          <w:color w:val="auto"/>
          <w:sz w:val="24"/>
          <w:highlight w:val="none"/>
        </w:rPr>
        <w:t>规定的响应文件提交截止时间前</w:t>
      </w:r>
      <w:r>
        <w:rPr>
          <w:rFonts w:hint="eastAsia" w:ascii="宋体" w:hAnsi="宋体" w:eastAsia="宋体" w:cs="宋体"/>
          <w:color w:val="auto"/>
          <w:sz w:val="24"/>
          <w:highlight w:val="none"/>
          <w:lang w:val="en-US" w:eastAsia="zh-CN"/>
        </w:rPr>
        <w:t>提交</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val="en-US" w:eastAsia="zh-CN"/>
        </w:rPr>
        <w:t>至指定地点</w:t>
      </w:r>
      <w:r>
        <w:rPr>
          <w:rFonts w:hint="eastAsia" w:ascii="宋体" w:hAnsi="宋体" w:eastAsia="宋体" w:cs="宋体"/>
          <w:color w:val="auto"/>
          <w:sz w:val="24"/>
          <w:highlight w:val="none"/>
        </w:rPr>
        <w:t>，并可以补充、修改或者撤回响应文件。</w:t>
      </w:r>
    </w:p>
    <w:p w14:paraId="7AB96C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提交截止时间</w:t>
      </w:r>
      <w:r>
        <w:rPr>
          <w:rFonts w:hint="eastAsia" w:ascii="宋体" w:hAnsi="宋体" w:eastAsia="宋体" w:cs="宋体"/>
          <w:color w:val="auto"/>
          <w:sz w:val="24"/>
          <w:highlight w:val="none"/>
          <w:lang w:val="en-US" w:eastAsia="zh-CN"/>
        </w:rPr>
        <w:t>后</w:t>
      </w:r>
      <w:r>
        <w:rPr>
          <w:rFonts w:hint="eastAsia" w:ascii="宋体" w:hAnsi="宋体" w:eastAsia="宋体" w:cs="宋体"/>
          <w:color w:val="auto"/>
          <w:sz w:val="24"/>
          <w:highlight w:val="none"/>
        </w:rPr>
        <w:t>送达的</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响应文件将被拒绝并原封退给供应商。</w:t>
      </w:r>
    </w:p>
    <w:p w14:paraId="70DA480D">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.3供应商应</w:t>
      </w:r>
      <w:r>
        <w:rPr>
          <w:rFonts w:hint="eastAsia" w:ascii="宋体" w:hAnsi="宋体" w:eastAsia="宋体" w:cs="宋体"/>
          <w:color w:val="auto"/>
          <w:sz w:val="24"/>
          <w:highlight w:val="none"/>
          <w:lang w:val="en-US" w:eastAsia="zh-CN"/>
        </w:rPr>
        <w:t>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要求制作响应文件</w:t>
      </w:r>
      <w:r>
        <w:rPr>
          <w:rFonts w:hint="eastAsia" w:ascii="宋体" w:hAnsi="宋体" w:eastAsia="宋体" w:cs="宋体"/>
          <w:b/>
          <w:bCs/>
          <w:color w:val="auto"/>
          <w:sz w:val="24"/>
          <w:highlight w:val="none"/>
          <w:lang w:val="en-US" w:eastAsia="zh-CN"/>
        </w:rPr>
        <w:t>。</w:t>
      </w:r>
    </w:p>
    <w:p w14:paraId="3A2C0F7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169933E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.谈判小组</w:t>
      </w:r>
    </w:p>
    <w:p w14:paraId="3938847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.1本项目将依法组建谈判小组，谈判小组成员由3人以上（含）单数组成，谈判小组及其成员应当依照政府采购的有关规定履行相关职责和义务。</w:t>
      </w:r>
      <w:r>
        <w:rPr>
          <w:rFonts w:hint="eastAsia" w:ascii="宋体" w:hAnsi="宋体" w:eastAsia="宋体" w:cs="宋体"/>
          <w:color w:val="auto"/>
          <w:sz w:val="24"/>
          <w:highlight w:val="none"/>
          <w:lang w:val="en-US" w:eastAsia="zh-CN"/>
        </w:rPr>
        <w:t>本项目谈判小组人数：</w:t>
      </w:r>
      <w:r>
        <w:rPr>
          <w:rFonts w:hint="eastAsia" w:ascii="宋体" w:hAnsi="宋体" w:eastAsia="宋体" w:cs="宋体"/>
          <w:color w:val="auto"/>
          <w:sz w:val="24"/>
          <w:highlight w:val="none"/>
          <w:u w:val="single"/>
          <w:lang w:val="en-US" w:eastAsia="zh-CN"/>
        </w:rPr>
        <w:t>见供应商须知前附表</w:t>
      </w:r>
      <w:r>
        <w:rPr>
          <w:rFonts w:hint="eastAsia" w:ascii="宋体" w:hAnsi="宋体" w:eastAsia="宋体" w:cs="宋体"/>
          <w:color w:val="auto"/>
          <w:sz w:val="24"/>
          <w:highlight w:val="none"/>
          <w:lang w:val="en-US" w:eastAsia="zh-CN"/>
        </w:rPr>
        <w:t>。</w:t>
      </w:r>
    </w:p>
    <w:p w14:paraId="1FDE5F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.2谈判小组依法对响应文件进行评审，并根据谈判文件规定的程序、评定成交的标准等事项与实质性响应谈判文件要求的供应商进行谈判。</w:t>
      </w:r>
    </w:p>
    <w:p w14:paraId="17BDCCC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.3谈判小组应当从质量和服务均能满足谈判文件实质性响应要求的供应商中，按照评审办法和标准推荐成交候选人，并编写评审报告。</w:t>
      </w:r>
    </w:p>
    <w:p w14:paraId="2AF64C7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.响应文件的评审与谈判</w:t>
      </w:r>
    </w:p>
    <w:p w14:paraId="4627F5E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.1采购人和采购代理机构将在</w:t>
      </w:r>
      <w:r>
        <w:rPr>
          <w:rFonts w:hint="eastAsia" w:ascii="宋体" w:hAnsi="宋体" w:eastAsia="宋体" w:cs="宋体"/>
          <w:color w:val="auto"/>
          <w:sz w:val="24"/>
          <w:highlight w:val="none"/>
          <w:u w:val="none"/>
          <w:lang w:val="en-US" w:eastAsia="zh-CN"/>
        </w:rPr>
        <w:t>采购邀请</w:t>
      </w:r>
      <w:r>
        <w:rPr>
          <w:rFonts w:hint="eastAsia" w:ascii="宋体" w:hAnsi="宋体" w:eastAsia="宋体" w:cs="宋体"/>
          <w:color w:val="auto"/>
          <w:sz w:val="24"/>
          <w:highlight w:val="none"/>
        </w:rPr>
        <w:t>规定的时间和地点组织谈判。</w:t>
      </w:r>
    </w:p>
    <w:p w14:paraId="6A1F6F2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.2竞争性谈判采用最低评标价法评审。</w:t>
      </w:r>
    </w:p>
    <w:p w14:paraId="62DD63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最低评标价法，是指响应文件满足谈判文件全部实质性要求且最后报价最低的供应商为成交候选人的评标方法。</w:t>
      </w:r>
    </w:p>
    <w:p w14:paraId="0149F65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.3谈判小组将按照谈判文件规定的评审方法和标准对供应商独立进行评审。评审程序如下：</w:t>
      </w:r>
    </w:p>
    <w:p w14:paraId="4E256E2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.3.1</w:t>
      </w:r>
      <w:r>
        <w:rPr>
          <w:rFonts w:hint="eastAsia" w:ascii="宋体" w:hAnsi="宋体" w:eastAsia="宋体" w:cs="宋体"/>
          <w:b/>
          <w:bCs/>
          <w:color w:val="auto"/>
          <w:sz w:val="24"/>
          <w:highlight w:val="none"/>
        </w:rPr>
        <w:t>初审。</w:t>
      </w:r>
      <w:r>
        <w:rPr>
          <w:rFonts w:hint="eastAsia" w:ascii="宋体" w:hAnsi="宋体" w:eastAsia="宋体" w:cs="宋体"/>
          <w:color w:val="auto"/>
          <w:sz w:val="24"/>
          <w:szCs w:val="24"/>
          <w:highlight w:val="none"/>
        </w:rPr>
        <w:t>采购人或采购代理机构依据法律法规和</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4B7443F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《财政部关于在政府采购活动中查询及使用信用记录有关问题的通知》(财库〔2016〕125号)</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要求，根据评审时“信用中国”网站(www.creditchina.gov.cn)、“中国政府采购网”(www.ccgp.gov.cn)的信息，对列入失信被执行人、重大税收违法案件当事人名单、政府采购严重违法失信行为记录名单的供应商，拒绝其参与采购活动。两个以上的自然人、法人或者其他组织组成一个联合体，以一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的身份共同参加采购活动的，应当对所有联合体成员进行信用记录查询，联合体成员之一存在不良信用记录的，视同联合体存在不良信用记录。</w:t>
      </w:r>
    </w:p>
    <w:p w14:paraId="529D899B">
      <w:pPr>
        <w:spacing w:line="360" w:lineRule="auto"/>
        <w:ind w:firstLine="435"/>
        <w:rPr>
          <w:rFonts w:hint="eastAsia" w:ascii="宋体" w:hAnsi="宋体" w:eastAsia="宋体" w:cs="宋体"/>
          <w:color w:val="auto"/>
          <w:sz w:val="24"/>
          <w:highlight w:val="none"/>
        </w:rPr>
      </w:pPr>
      <w:r>
        <w:rPr>
          <w:rFonts w:hint="eastAsia" w:ascii="宋体" w:hAnsi="宋体" w:eastAsia="宋体" w:cs="宋体"/>
          <w:strike w:val="0"/>
          <w:dstrike w:val="0"/>
          <w:color w:val="auto"/>
          <w:sz w:val="24"/>
          <w:highlight w:val="none"/>
          <w:lang w:eastAsia="zh-CN"/>
        </w:rPr>
        <w:t>谈判</w:t>
      </w:r>
      <w:r>
        <w:rPr>
          <w:rFonts w:hint="eastAsia" w:ascii="宋体" w:hAnsi="宋体" w:eastAsia="宋体" w:cs="宋体"/>
          <w:strike w:val="0"/>
          <w:dstrike w:val="0"/>
          <w:color w:val="auto"/>
          <w:sz w:val="24"/>
          <w:highlight w:val="none"/>
        </w:rPr>
        <w:t>小组对供应商必须满足和实质性响应的内容进行评审，供应商未实质性响应</w:t>
      </w:r>
      <w:r>
        <w:rPr>
          <w:rFonts w:hint="eastAsia" w:ascii="宋体" w:hAnsi="宋体" w:eastAsia="宋体" w:cs="宋体"/>
          <w:strike w:val="0"/>
          <w:dstrike w:val="0"/>
          <w:color w:val="auto"/>
          <w:sz w:val="24"/>
          <w:highlight w:val="none"/>
          <w:lang w:eastAsia="zh-CN"/>
        </w:rPr>
        <w:t>谈判</w:t>
      </w:r>
      <w:r>
        <w:rPr>
          <w:rFonts w:hint="eastAsia" w:ascii="宋体" w:hAnsi="宋体" w:eastAsia="宋体" w:cs="宋体"/>
          <w:strike w:val="0"/>
          <w:dstrike w:val="0"/>
          <w:color w:val="auto"/>
          <w:sz w:val="24"/>
          <w:highlight w:val="none"/>
        </w:rPr>
        <w:t>文件要求导致响应无效的，</w:t>
      </w:r>
      <w:r>
        <w:rPr>
          <w:rFonts w:hint="eastAsia" w:ascii="宋体" w:hAnsi="宋体" w:eastAsia="宋体" w:cs="宋体"/>
          <w:strike w:val="0"/>
          <w:dstrike w:val="0"/>
          <w:color w:val="auto"/>
          <w:sz w:val="24"/>
          <w:highlight w:val="none"/>
          <w:lang w:val="en-US" w:eastAsia="zh-CN"/>
        </w:rPr>
        <w:t>不得进入后续评审环节。</w:t>
      </w:r>
    </w:p>
    <w:p w14:paraId="4144927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.3.2</w:t>
      </w:r>
      <w:r>
        <w:rPr>
          <w:rFonts w:hint="eastAsia" w:ascii="宋体" w:hAnsi="宋体" w:eastAsia="宋体" w:cs="宋体"/>
          <w:b/>
          <w:bCs/>
          <w:color w:val="auto"/>
          <w:sz w:val="24"/>
          <w:highlight w:val="none"/>
        </w:rPr>
        <w:t>谈判。</w:t>
      </w:r>
      <w:r>
        <w:rPr>
          <w:rFonts w:hint="eastAsia" w:ascii="宋体" w:hAnsi="宋体" w:eastAsia="宋体" w:cs="宋体"/>
          <w:color w:val="auto"/>
          <w:sz w:val="24"/>
          <w:highlight w:val="none"/>
        </w:rPr>
        <w:t>初审合格后，谈判小组将集中与单一供应商分别进行谈判，并给予所有参加谈判的供应商平等的谈判机会。</w:t>
      </w:r>
    </w:p>
    <w:p w14:paraId="3D21295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.3.3</w:t>
      </w:r>
      <w:r>
        <w:rPr>
          <w:rFonts w:hint="eastAsia" w:ascii="宋体" w:hAnsi="宋体" w:eastAsia="宋体" w:cs="宋体"/>
          <w:b/>
          <w:bCs/>
          <w:color w:val="auto"/>
          <w:sz w:val="24"/>
          <w:highlight w:val="none"/>
        </w:rPr>
        <w:t>报价。</w:t>
      </w:r>
      <w:r>
        <w:rPr>
          <w:rFonts w:hint="eastAsia" w:ascii="宋体" w:hAnsi="宋体" w:eastAsia="宋体" w:cs="宋体"/>
          <w:color w:val="auto"/>
          <w:sz w:val="24"/>
          <w:highlight w:val="none"/>
        </w:rPr>
        <w:t>谈判结束后，谈判小组应当要求所有继续参加谈判的供应商在规定时间内提交最后报价。供应商应在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小组发出</w:t>
      </w:r>
      <w:r>
        <w:rPr>
          <w:rFonts w:hint="eastAsia" w:ascii="宋体" w:hAnsi="宋体" w:eastAsia="宋体" w:cs="宋体"/>
          <w:color w:val="auto"/>
          <w:sz w:val="24"/>
          <w:highlight w:val="none"/>
          <w:lang w:val="en-US" w:eastAsia="zh-CN"/>
        </w:rPr>
        <w:t>多轮</w:t>
      </w:r>
      <w:r>
        <w:rPr>
          <w:rFonts w:hint="eastAsia" w:ascii="宋体" w:hAnsi="宋体" w:eastAsia="宋体" w:cs="宋体"/>
          <w:color w:val="auto"/>
          <w:sz w:val="24"/>
          <w:highlight w:val="none"/>
        </w:rPr>
        <w:t>报价指令后30分钟内完成报价</w:t>
      </w:r>
      <w:r>
        <w:rPr>
          <w:rFonts w:hint="eastAsia" w:ascii="宋体" w:hAnsi="宋体" w:eastAsia="宋体" w:cs="宋体"/>
          <w:color w:val="auto"/>
          <w:sz w:val="24"/>
          <w:highlight w:val="none"/>
          <w:lang w:eastAsia="zh-CN"/>
        </w:rPr>
        <w:t>。</w:t>
      </w:r>
    </w:p>
    <w:p w14:paraId="4F40D3A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.4相关说明。</w:t>
      </w:r>
    </w:p>
    <w:p w14:paraId="0ACC481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.4.1为保证谈判活动顺利进行，供应商应派授权代表进行现场答疑；供应商必须在规定的时间内将自己在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中作出的澄清、变动以及最终的报价，经供应商签章或后授权代表签字后，</w:t>
      </w:r>
      <w:r>
        <w:rPr>
          <w:rFonts w:hint="eastAsia" w:ascii="宋体" w:hAnsi="宋体" w:eastAsia="宋体" w:cs="宋体"/>
          <w:color w:val="auto"/>
          <w:sz w:val="24"/>
          <w:highlight w:val="none"/>
          <w:lang w:val="en-US" w:eastAsia="zh-CN"/>
        </w:rPr>
        <w:t>现场</w:t>
      </w:r>
      <w:r>
        <w:rPr>
          <w:rFonts w:hint="eastAsia" w:ascii="宋体" w:hAnsi="宋体" w:eastAsia="宋体" w:cs="宋体"/>
          <w:color w:val="auto"/>
          <w:sz w:val="24"/>
          <w:highlight w:val="none"/>
        </w:rPr>
        <w:t>提交给</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小组。</w:t>
      </w:r>
    </w:p>
    <w:p w14:paraId="6EBBC66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19FFA8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27E20E1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.4.4谈判小组决定响应文件的响应性及符合性只根据响应文件本身的内容，而不寻求其他外部证据。</w:t>
      </w:r>
    </w:p>
    <w:p w14:paraId="61A8307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.5供应商授权代表对谈判过程有疑义，以及认为采购人、采购代理机构相关工作人员有需要回避的情形的，应当场提出询问或者回避申请，并说明理由。</w:t>
      </w:r>
    </w:p>
    <w:p w14:paraId="72E647E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15</w:t>
      </w:r>
      <w:r>
        <w:rPr>
          <w:rFonts w:hint="eastAsia" w:ascii="宋体" w:hAnsi="宋体" w:eastAsia="宋体" w:cs="宋体"/>
          <w:b/>
          <w:color w:val="auto"/>
          <w:sz w:val="24"/>
          <w:highlight w:val="none"/>
        </w:rPr>
        <w:t>.终止竞争性谈判</w:t>
      </w:r>
    </w:p>
    <w:p w14:paraId="4059348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.1出现下列情况之一时，采购人和采购代理机构有权宣布终止竞争性谈判采购，并将理由通知所有供应商：</w:t>
      </w:r>
    </w:p>
    <w:p w14:paraId="657287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（1）有效供应商数量不足，导致本次谈判缺乏竞争的；</w:t>
      </w:r>
    </w:p>
    <w:p w14:paraId="2F03A58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备注：采用竞争性谈判采购方式采购下在采购过程中符合要求的供应商只有2家的，竞争性谈判采购活动可以继续进行，符合要求的供应商只有1家的，经采购人批准可转入单一来源采购程序。</w:t>
      </w:r>
    </w:p>
    <w:p w14:paraId="3057687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230E9D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（3）因重大变故，采购任务取消的；</w:t>
      </w:r>
    </w:p>
    <w:p w14:paraId="5F8A184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（4）法律法规规定的其他情形。</w:t>
      </w:r>
    </w:p>
    <w:p w14:paraId="001223D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16</w:t>
      </w:r>
      <w:r>
        <w:rPr>
          <w:rFonts w:hint="eastAsia" w:ascii="宋体" w:hAnsi="宋体" w:eastAsia="宋体" w:cs="宋体"/>
          <w:b/>
          <w:color w:val="auto"/>
          <w:sz w:val="24"/>
          <w:highlight w:val="none"/>
        </w:rPr>
        <w:t>.响应文件的澄清、说明或更正</w:t>
      </w:r>
    </w:p>
    <w:p w14:paraId="222C4F78">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323FDD35">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.2谈判小组要求供应商澄清、说明或者更正响应文件应当以书面形式（询标）作出。供应商的澄清、说明或者更正应当由法定代表人或其授权代表签字或者加盖公章。</w:t>
      </w:r>
    </w:p>
    <w:p w14:paraId="051E94FF">
      <w:pPr>
        <w:spacing w:line="360" w:lineRule="auto"/>
        <w:ind w:firstLine="437"/>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各供应商</w:t>
      </w:r>
      <w:r>
        <w:rPr>
          <w:rFonts w:hint="eastAsia" w:ascii="宋体" w:hAnsi="宋体" w:eastAsia="宋体" w:cs="宋体"/>
          <w:b/>
          <w:color w:val="auto"/>
          <w:sz w:val="24"/>
          <w:highlight w:val="none"/>
          <w:lang w:val="en-US" w:eastAsia="zh-CN"/>
        </w:rPr>
        <w:t>法定代表人或授权代表</w:t>
      </w:r>
      <w:r>
        <w:rPr>
          <w:rFonts w:hint="eastAsia" w:ascii="宋体" w:hAnsi="宋体" w:eastAsia="宋体" w:cs="宋体"/>
          <w:b/>
          <w:color w:val="auto"/>
          <w:sz w:val="24"/>
          <w:highlight w:val="none"/>
        </w:rPr>
        <w:t>在项目开标、评审期间应</w:t>
      </w:r>
      <w:r>
        <w:rPr>
          <w:rFonts w:hint="eastAsia" w:ascii="宋体" w:hAnsi="宋体" w:eastAsia="宋体" w:cs="宋体"/>
          <w:b/>
          <w:color w:val="auto"/>
          <w:sz w:val="24"/>
          <w:highlight w:val="none"/>
          <w:lang w:val="en-US" w:eastAsia="zh-CN"/>
        </w:rPr>
        <w:t>留在开标现场</w:t>
      </w:r>
      <w:r>
        <w:rPr>
          <w:rFonts w:hint="eastAsia" w:ascii="宋体" w:hAnsi="宋体" w:eastAsia="宋体" w:cs="宋体"/>
          <w:b/>
          <w:color w:val="auto"/>
          <w:sz w:val="24"/>
          <w:highlight w:val="none"/>
        </w:rPr>
        <w:t>，随时接受</w:t>
      </w:r>
      <w:r>
        <w:rPr>
          <w:rFonts w:hint="eastAsia" w:ascii="宋体" w:hAnsi="宋体" w:eastAsia="宋体" w:cs="宋体"/>
          <w:b/>
          <w:color w:val="auto"/>
          <w:sz w:val="24"/>
          <w:highlight w:val="none"/>
          <w:lang w:eastAsia="zh-CN"/>
        </w:rPr>
        <w:t>谈判小组</w:t>
      </w:r>
      <w:r>
        <w:rPr>
          <w:rFonts w:hint="eastAsia" w:ascii="宋体" w:hAnsi="宋体" w:eastAsia="宋体" w:cs="宋体"/>
          <w:b/>
          <w:color w:val="auto"/>
          <w:sz w:val="24"/>
          <w:highlight w:val="none"/>
        </w:rPr>
        <w:t>发出的询标信息，并在规定时间内答复，未能按时答复的，</w:t>
      </w:r>
      <w:r>
        <w:rPr>
          <w:rFonts w:hint="eastAsia" w:ascii="宋体" w:hAnsi="宋体" w:eastAsia="宋体" w:cs="宋体"/>
          <w:b/>
          <w:color w:val="auto"/>
          <w:sz w:val="24"/>
          <w:highlight w:val="none"/>
          <w:lang w:eastAsia="zh-CN"/>
        </w:rPr>
        <w:t>谈判小组</w:t>
      </w:r>
      <w:r>
        <w:rPr>
          <w:rFonts w:hint="eastAsia" w:ascii="宋体" w:hAnsi="宋体" w:eastAsia="宋体" w:cs="宋体"/>
          <w:b/>
          <w:color w:val="auto"/>
          <w:sz w:val="24"/>
          <w:highlight w:val="none"/>
        </w:rPr>
        <w:t>将视同其放弃澄清。</w:t>
      </w:r>
    </w:p>
    <w:p w14:paraId="44BC0C9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17</w:t>
      </w:r>
      <w:r>
        <w:rPr>
          <w:rFonts w:hint="eastAsia" w:ascii="宋体" w:hAnsi="宋体" w:eastAsia="宋体" w:cs="宋体"/>
          <w:b/>
          <w:color w:val="auto"/>
          <w:sz w:val="24"/>
          <w:highlight w:val="none"/>
        </w:rPr>
        <w:t>.最后报价</w:t>
      </w:r>
    </w:p>
    <w:p w14:paraId="765BAFE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.1谈判并不限定只进行二轮报价，如果谈判小组认为有必要，可以要求供应商进行多轮报价。</w:t>
      </w:r>
    </w:p>
    <w:p w14:paraId="76A8843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.2在谈判内容不做实质性变更或重大调整的前提下，供应商下轮报价不得高于上一轮报价。</w:t>
      </w:r>
    </w:p>
    <w:p w14:paraId="2CCF4F43">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17.3</w:t>
      </w:r>
      <w:r>
        <w:rPr>
          <w:rFonts w:hint="eastAsia" w:ascii="宋体" w:hAnsi="宋体" w:eastAsia="宋体" w:cs="宋体"/>
          <w:color w:val="auto"/>
          <w:sz w:val="24"/>
          <w:highlight w:val="none"/>
        </w:rPr>
        <w:t>最后报价是供应商响应文件的有效组成部分，最后报价也是签订合同的依据。</w:t>
      </w:r>
    </w:p>
    <w:p w14:paraId="585A851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18</w:t>
      </w:r>
      <w:r>
        <w:rPr>
          <w:rFonts w:hint="eastAsia" w:ascii="宋体" w:hAnsi="宋体" w:eastAsia="宋体" w:cs="宋体"/>
          <w:b/>
          <w:color w:val="auto"/>
          <w:sz w:val="24"/>
          <w:highlight w:val="none"/>
        </w:rPr>
        <w:t>.成交候选人的推荐原则及标准</w:t>
      </w:r>
    </w:p>
    <w:p w14:paraId="685952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.1谈判小组依据本项目谈判文件所约定的评审方法和标准，按照最后报价由低到高的顺序依次推荐成交候选人</w:t>
      </w:r>
      <w:r>
        <w:rPr>
          <w:rFonts w:hint="eastAsia" w:ascii="宋体" w:hAnsi="宋体" w:eastAsia="宋体" w:cs="宋体"/>
          <w:color w:val="auto"/>
          <w:sz w:val="24"/>
          <w:highlight w:val="none"/>
          <w:lang w:eastAsia="zh-CN"/>
        </w:rPr>
        <w:t>；最后报价相同的，则由谈判小组采取随机抽取方式确定。</w:t>
      </w:r>
    </w:p>
    <w:p w14:paraId="40A593F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19</w:t>
      </w:r>
      <w:r>
        <w:rPr>
          <w:rFonts w:hint="eastAsia" w:ascii="宋体" w:hAnsi="宋体" w:eastAsia="宋体" w:cs="宋体"/>
          <w:b/>
          <w:color w:val="auto"/>
          <w:sz w:val="24"/>
          <w:highlight w:val="none"/>
        </w:rPr>
        <w:t>.确定成交候选人和成交供应商</w:t>
      </w:r>
    </w:p>
    <w:p w14:paraId="3EC0BAE2">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19</w:t>
      </w:r>
      <w:r>
        <w:rPr>
          <w:rFonts w:hint="eastAsia" w:ascii="宋体" w:hAnsi="宋体" w:eastAsia="宋体" w:cs="宋体"/>
          <w:color w:val="auto"/>
          <w:sz w:val="24"/>
          <w:highlight w:val="none"/>
        </w:rPr>
        <w:t>.1谈判小组按照最后报价由低到高的顺序和</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中规定确定成交候选人，并标明排列顺序。按</w:t>
      </w:r>
      <w:r>
        <w:rPr>
          <w:rFonts w:hint="eastAsia" w:ascii="宋体" w:hAnsi="宋体" w:eastAsia="宋体" w:cs="宋体"/>
          <w:color w:val="auto"/>
          <w:sz w:val="24"/>
          <w:highlight w:val="none"/>
          <w:u w:val="single"/>
          <w:lang w:val="en-US" w:eastAsia="zh-CN"/>
        </w:rPr>
        <w:t>供应商</w:t>
      </w:r>
      <w:r>
        <w:rPr>
          <w:rFonts w:hint="eastAsia" w:ascii="宋体" w:hAnsi="宋体" w:eastAsia="宋体" w:cs="宋体"/>
          <w:color w:val="auto"/>
          <w:sz w:val="24"/>
          <w:highlight w:val="none"/>
          <w:u w:val="single"/>
        </w:rPr>
        <w:t>须知前附表</w:t>
      </w:r>
      <w:r>
        <w:rPr>
          <w:rFonts w:hint="eastAsia" w:ascii="宋体" w:hAnsi="宋体" w:eastAsia="宋体" w:cs="宋体"/>
          <w:color w:val="auto"/>
          <w:sz w:val="24"/>
          <w:highlight w:val="none"/>
        </w:rPr>
        <w:t>中规定，由</w:t>
      </w:r>
      <w:r>
        <w:rPr>
          <w:rFonts w:hint="eastAsia" w:ascii="宋体" w:hAnsi="宋体" w:eastAsia="宋体" w:cs="宋体"/>
          <w:color w:val="auto"/>
          <w:sz w:val="24"/>
          <w:highlight w:val="none"/>
          <w:lang w:val="en-US" w:eastAsia="zh-CN"/>
        </w:rPr>
        <w:t>谈判小组</w:t>
      </w:r>
      <w:r>
        <w:rPr>
          <w:rFonts w:hint="eastAsia" w:ascii="宋体" w:hAnsi="宋体" w:eastAsia="宋体" w:cs="宋体"/>
          <w:color w:val="auto"/>
          <w:sz w:val="24"/>
          <w:highlight w:val="none"/>
        </w:rPr>
        <w:t>或采购人确定</w:t>
      </w:r>
      <w:r>
        <w:rPr>
          <w:rFonts w:hint="eastAsia" w:ascii="宋体" w:hAnsi="宋体" w:eastAsia="宋体" w:cs="宋体"/>
          <w:color w:val="auto"/>
          <w:sz w:val="24"/>
          <w:highlight w:val="none"/>
          <w:lang w:val="en-US" w:eastAsia="zh-CN"/>
        </w:rPr>
        <w:t>成交供应商</w:t>
      </w:r>
      <w:r>
        <w:rPr>
          <w:rFonts w:hint="eastAsia" w:ascii="宋体" w:hAnsi="宋体" w:eastAsia="宋体" w:cs="宋体"/>
          <w:color w:val="auto"/>
          <w:sz w:val="24"/>
          <w:highlight w:val="none"/>
        </w:rPr>
        <w:t>。</w:t>
      </w:r>
    </w:p>
    <w:p w14:paraId="37A84817">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20</w:t>
      </w:r>
      <w:r>
        <w:rPr>
          <w:rFonts w:hint="eastAsia" w:ascii="宋体" w:hAnsi="宋体" w:eastAsia="宋体" w:cs="宋体"/>
          <w:b/>
          <w:color w:val="auto"/>
          <w:sz w:val="24"/>
          <w:highlight w:val="none"/>
        </w:rPr>
        <w:t>.编写评审报告</w:t>
      </w:r>
    </w:p>
    <w:p w14:paraId="0968CEC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31513DD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.保密要求</w:t>
      </w:r>
    </w:p>
    <w:p w14:paraId="56F9B53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.1评审将在严格保密的情况下进行。</w:t>
      </w:r>
    </w:p>
    <w:p w14:paraId="353BCBC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.2有关人员应当遵守评审工作纪律，不得泄露评审文件、评审情况和评审中获悉的国家秘密、商业秘密。</w:t>
      </w:r>
    </w:p>
    <w:p w14:paraId="22237AF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.成交结果公告</w:t>
      </w:r>
    </w:p>
    <w:p w14:paraId="36E84E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.1谈判结束后，</w:t>
      </w:r>
      <w:r>
        <w:rPr>
          <w:rFonts w:hint="eastAsia" w:ascii="宋体" w:hAnsi="宋体" w:eastAsia="宋体" w:cs="宋体"/>
          <w:color w:val="auto"/>
          <w:sz w:val="24"/>
          <w:highlight w:val="none"/>
          <w:lang w:val="en-US" w:eastAsia="zh-CN"/>
        </w:rPr>
        <w:t>采购人及</w:t>
      </w:r>
      <w:r>
        <w:rPr>
          <w:rFonts w:hint="eastAsia" w:ascii="宋体" w:hAnsi="宋体" w:eastAsia="宋体" w:cs="宋体"/>
          <w:color w:val="auto"/>
          <w:sz w:val="24"/>
          <w:highlight w:val="none"/>
        </w:rPr>
        <w:t>采购代理机构将</w:t>
      </w:r>
      <w:r>
        <w:rPr>
          <w:rFonts w:hint="eastAsia" w:ascii="宋体" w:hAnsi="宋体" w:eastAsia="宋体" w:cs="宋体"/>
          <w:color w:val="auto"/>
          <w:sz w:val="24"/>
          <w:szCs w:val="18"/>
          <w:highlight w:val="none"/>
        </w:rPr>
        <w:t>在</w:t>
      </w:r>
      <w:bookmarkStart w:id="68" w:name="_Hlk169612915"/>
      <w:r>
        <w:rPr>
          <w:rFonts w:hint="eastAsia" w:ascii="宋体" w:hAnsi="宋体" w:eastAsia="宋体" w:cs="宋体"/>
          <w:color w:val="auto"/>
          <w:sz w:val="24"/>
          <w:szCs w:val="18"/>
          <w:highlight w:val="none"/>
          <w:lang w:eastAsia="zh-CN"/>
        </w:rPr>
        <w:t>安徽霍山国有资产投资控股集团有限公司</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eastAsia="zh-CN"/>
        </w:rPr>
        <w:t>http://www.ahdmig.cn</w:t>
      </w:r>
      <w:r>
        <w:rPr>
          <w:rFonts w:hint="eastAsia" w:ascii="宋体" w:hAnsi="宋体" w:eastAsia="宋体" w:cs="宋体"/>
          <w:color w:val="auto"/>
          <w:sz w:val="24"/>
          <w:szCs w:val="18"/>
          <w:highlight w:val="none"/>
        </w:rPr>
        <w:t>）</w:t>
      </w:r>
      <w:bookmarkEnd w:id="68"/>
      <w:r>
        <w:rPr>
          <w:rFonts w:hint="eastAsia" w:ascii="宋体" w:hAnsi="宋体" w:eastAsia="宋体" w:cs="宋体"/>
          <w:color w:val="auto"/>
          <w:sz w:val="24"/>
          <w:szCs w:val="18"/>
          <w:highlight w:val="none"/>
        </w:rPr>
        <w:t>上</w:t>
      </w:r>
      <w:r>
        <w:rPr>
          <w:rFonts w:hint="eastAsia" w:ascii="宋体" w:hAnsi="宋体" w:eastAsia="宋体" w:cs="宋体"/>
          <w:color w:val="auto"/>
          <w:sz w:val="24"/>
          <w:highlight w:val="none"/>
        </w:rPr>
        <w:t>发布成交结果公告。</w:t>
      </w:r>
    </w:p>
    <w:p w14:paraId="5F5F47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.2成交结果公告内容应当包括采购人及其委托的采购代理机构的名称、地址、联系方式，项目名称和项目编号，成交供应商名称、地址和成交金额，主要成交标的的名称、规格型号、数量、单价、服务要求。</w:t>
      </w:r>
    </w:p>
    <w:p w14:paraId="77B9915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.成交通知书</w:t>
      </w:r>
    </w:p>
    <w:p w14:paraId="0A3387F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.1采购代理机构发布成交结果公告的同时以</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规定的形式向成交供应商发出成交通知书。</w:t>
      </w:r>
    </w:p>
    <w:p w14:paraId="4DC403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.2成交通知书对采购人和成交供应商具有同等法律效力。成交通知书发出以后，采购人改变成交结果或者成交供应商放弃成交资格，应当承担相应的法律责任。</w:t>
      </w:r>
    </w:p>
    <w:p w14:paraId="1D34FA5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.3成交通知书是合同的组成部分。</w:t>
      </w:r>
    </w:p>
    <w:p w14:paraId="6305EC2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.告知谈判结果</w:t>
      </w:r>
    </w:p>
    <w:p w14:paraId="5844B6B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6B7F7D3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p>
    <w:p w14:paraId="4678BED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25</w:t>
      </w:r>
      <w:r>
        <w:rPr>
          <w:rFonts w:hint="eastAsia" w:ascii="宋体" w:hAnsi="宋体" w:eastAsia="宋体" w:cs="宋体"/>
          <w:b/>
          <w:color w:val="auto"/>
          <w:sz w:val="24"/>
          <w:highlight w:val="none"/>
        </w:rPr>
        <w:t>.履约保证金</w:t>
      </w:r>
    </w:p>
    <w:p w14:paraId="1985340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.1成交供应商应按照</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规定缴纳履约保证金。</w:t>
      </w:r>
    </w:p>
    <w:p w14:paraId="47727DE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.2如果成交供应商没有按照上述履约保证金的规定执行，将视为放弃成交资格。在此情况下，采购人可确定下一成交候选人为成交供应商，也可以重新开展采购活动。</w:t>
      </w:r>
    </w:p>
    <w:p w14:paraId="58839EFD">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26</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代理费用</w:t>
      </w:r>
    </w:p>
    <w:p w14:paraId="0E3060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rPr>
        <w:t>.1本项目</w:t>
      </w:r>
      <w:r>
        <w:rPr>
          <w:rFonts w:hint="eastAsia" w:ascii="宋体" w:hAnsi="宋体" w:eastAsia="宋体" w:cs="宋体"/>
          <w:color w:val="auto"/>
          <w:sz w:val="24"/>
          <w:highlight w:val="none"/>
          <w:lang w:val="en-US" w:eastAsia="zh-CN"/>
        </w:rPr>
        <w:t>代理费用</w:t>
      </w:r>
      <w:r>
        <w:rPr>
          <w:rFonts w:hint="eastAsia" w:ascii="宋体" w:hAnsi="宋体" w:eastAsia="宋体" w:cs="宋体"/>
          <w:color w:val="auto"/>
          <w:sz w:val="24"/>
          <w:highlight w:val="none"/>
        </w:rPr>
        <w:t>的收取按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的规定执行。</w:t>
      </w:r>
    </w:p>
    <w:p w14:paraId="6071BA6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27</w:t>
      </w:r>
      <w:r>
        <w:rPr>
          <w:rFonts w:hint="eastAsia" w:ascii="宋体" w:hAnsi="宋体" w:eastAsia="宋体" w:cs="宋体"/>
          <w:b/>
          <w:color w:val="auto"/>
          <w:sz w:val="24"/>
          <w:highlight w:val="none"/>
        </w:rPr>
        <w:t>.签订合同</w:t>
      </w:r>
    </w:p>
    <w:p w14:paraId="3A3250D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的时间内完成采购合同签订及合同公告。</w:t>
      </w:r>
    </w:p>
    <w:p w14:paraId="7EE0491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.2谈判文件、成交供应商的响应文件及其澄清文件等，均为签订合同的依据。</w:t>
      </w:r>
    </w:p>
    <w:p w14:paraId="18CE1F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3成交供应商拒绝与采购人签订合同的，采购人可以按照评审报告推荐的成交候选人名单排序，确定下一成交候选人为成交供应商，也可以重新开展采购活动。成交供应商拒绝签订采购合同的不得参加对该项目重新开展的采购活动。</w:t>
      </w:r>
    </w:p>
    <w:p w14:paraId="615D7EB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28</w:t>
      </w:r>
      <w:r>
        <w:rPr>
          <w:rFonts w:hint="eastAsia" w:ascii="宋体" w:hAnsi="宋体" w:eastAsia="宋体" w:cs="宋体"/>
          <w:b/>
          <w:color w:val="auto"/>
          <w:sz w:val="24"/>
          <w:highlight w:val="none"/>
        </w:rPr>
        <w:t>.廉洁自律规定</w:t>
      </w:r>
    </w:p>
    <w:p w14:paraId="42B28A5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.1采购代理机构工作人员不得以不正当手段获取采购代理业务，不得与采购人、供应商恶意串通。</w:t>
      </w:r>
    </w:p>
    <w:p w14:paraId="4B6DE67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5ED3382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29</w:t>
      </w:r>
      <w:r>
        <w:rPr>
          <w:rFonts w:hint="eastAsia" w:ascii="宋体" w:hAnsi="宋体" w:eastAsia="宋体" w:cs="宋体"/>
          <w:b/>
          <w:color w:val="auto"/>
          <w:sz w:val="24"/>
          <w:highlight w:val="none"/>
        </w:rPr>
        <w:t>.质疑的提出与接收</w:t>
      </w:r>
    </w:p>
    <w:p w14:paraId="1E4F711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.1供应商认为谈判文件、采购过程和成交结果使自己的权益受到损害的，可以在知道或者应知其权益受到损害之日起七个工作日内，以书面形式向采购人或其委托的采购代理机构提出质疑。</w:t>
      </w:r>
    </w:p>
    <w:p w14:paraId="56C550B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质疑供应商应</w:t>
      </w:r>
      <w:r>
        <w:rPr>
          <w:rFonts w:hint="eastAsia" w:ascii="宋体" w:hAnsi="宋体" w:eastAsia="宋体" w:cs="宋体"/>
          <w:color w:val="auto"/>
          <w:sz w:val="24"/>
          <w:highlight w:val="none"/>
          <w:lang w:val="en-US" w:eastAsia="zh-CN"/>
        </w:rPr>
        <w:t>参照</w:t>
      </w:r>
      <w:r>
        <w:rPr>
          <w:rFonts w:hint="eastAsia" w:ascii="宋体" w:hAnsi="宋体" w:eastAsia="宋体" w:cs="宋体"/>
          <w:color w:val="auto"/>
          <w:sz w:val="24"/>
          <w:highlight w:val="none"/>
        </w:rPr>
        <w:t>财政部制定的《政府采购质疑函范本》格式和《政府采购质疑和投诉办法》的要求，在法定质疑期内以书面形式提出质疑，超出法定质疑期提交的质疑将被拒绝。针对同一采购程序环节的质疑应一次性提出。</w:t>
      </w:r>
    </w:p>
    <w:p w14:paraId="37FB7F9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质疑函</w:t>
      </w:r>
      <w:r>
        <w:rPr>
          <w:rFonts w:hint="eastAsia" w:ascii="宋体" w:hAnsi="宋体" w:eastAsia="宋体" w:cs="宋体"/>
          <w:color w:val="auto"/>
          <w:sz w:val="24"/>
          <w:highlight w:val="none"/>
          <w:lang w:val="en-US" w:eastAsia="zh-CN"/>
        </w:rPr>
        <w:t>递交方式</w:t>
      </w:r>
      <w:r>
        <w:rPr>
          <w:rFonts w:hint="eastAsia" w:ascii="宋体" w:hAnsi="宋体" w:eastAsia="宋体" w:cs="宋体"/>
          <w:color w:val="auto"/>
          <w:sz w:val="24"/>
          <w:highlight w:val="none"/>
        </w:rPr>
        <w:t>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103A23A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30.</w:t>
      </w:r>
      <w:r>
        <w:rPr>
          <w:rFonts w:hint="eastAsia" w:ascii="宋体" w:hAnsi="宋体" w:eastAsia="宋体" w:cs="宋体"/>
          <w:b/>
          <w:color w:val="auto"/>
          <w:sz w:val="24"/>
          <w:highlight w:val="none"/>
        </w:rPr>
        <w:t>需要补充的其他内容</w:t>
      </w:r>
    </w:p>
    <w:p w14:paraId="21B703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需要补充的其他内容，见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56ED1BA2">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5112ACE">
      <w:pPr>
        <w:spacing w:line="360" w:lineRule="auto"/>
        <w:jc w:val="center"/>
        <w:outlineLvl w:val="0"/>
        <w:rPr>
          <w:rFonts w:hint="eastAsia" w:ascii="宋体" w:hAnsi="宋体" w:eastAsia="宋体" w:cs="宋体"/>
          <w:b/>
          <w:color w:val="auto"/>
          <w:sz w:val="28"/>
          <w:highlight w:val="none"/>
        </w:rPr>
      </w:pPr>
      <w:bookmarkStart w:id="69" w:name="_Toc25461"/>
      <w:r>
        <w:rPr>
          <w:rFonts w:hint="eastAsia" w:ascii="宋体" w:hAnsi="宋体" w:eastAsia="宋体" w:cs="宋体"/>
          <w:b/>
          <w:color w:val="auto"/>
          <w:sz w:val="28"/>
          <w:highlight w:val="none"/>
        </w:rPr>
        <w:t>第三章  采购需求</w:t>
      </w:r>
      <w:bookmarkEnd w:id="69"/>
    </w:p>
    <w:p w14:paraId="124F68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bookmarkStart w:id="70" w:name="_Toc16712"/>
      <w:bookmarkStart w:id="71" w:name="_Toc18135"/>
      <w:r>
        <w:rPr>
          <w:rFonts w:hint="eastAsia" w:ascii="宋体" w:hAnsi="宋体" w:eastAsia="宋体" w:cs="宋体"/>
          <w:b w:val="0"/>
          <w:bCs w:val="0"/>
          <w:color w:val="auto"/>
          <w:sz w:val="24"/>
          <w:szCs w:val="18"/>
          <w:highlight w:val="none"/>
        </w:rPr>
        <w:t>1、采购内容、数量、质量。采购生物有机肥165吨，质量符合NY884-2012标准，颗粒状，40kg每袋。</w:t>
      </w:r>
    </w:p>
    <w:p w14:paraId="2B5E20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2、投标人资格要求。</w:t>
      </w:r>
    </w:p>
    <w:p w14:paraId="04F28C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持有有效的营业执照、提供微生物肥料登记证。</w:t>
      </w:r>
    </w:p>
    <w:p w14:paraId="1FA0EF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3、主要技术参数。</w:t>
      </w:r>
    </w:p>
    <w:p w14:paraId="6DDB27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（1）执行标准NY884-2012</w:t>
      </w:r>
    </w:p>
    <w:p w14:paraId="641840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（2）有机质≥40%；</w:t>
      </w:r>
    </w:p>
    <w:p w14:paraId="346E06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（3）有效活菌数≥0.2亿/g；</w:t>
      </w:r>
    </w:p>
    <w:p w14:paraId="229C24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（4）酸碱度（PH）6.5-8.0；</w:t>
      </w:r>
    </w:p>
    <w:p w14:paraId="51D63C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（5）剂型：颗粒状</w:t>
      </w:r>
    </w:p>
    <w:p w14:paraId="3591C1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有效期≥6个月（到货时剩余有效期不低于4个月）</w:t>
      </w:r>
    </w:p>
    <w:p w14:paraId="049786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3.货款结算。预算价为人民币19.8万元（结算以实际采购价为准），包括运输、二次转运、上下车费、各项税费等。项目完成通过验收后，采购人一次性付清合同款项。</w:t>
      </w:r>
    </w:p>
    <w:p w14:paraId="231BCE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4.交货及验收。</w:t>
      </w:r>
    </w:p>
    <w:p w14:paraId="69BDC0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供应商需按采购方要求按时将肥料送至指定地点后，双方当面抽查验收，做好记录，并出具收据，作为验收凭证。</w:t>
      </w:r>
    </w:p>
    <w:p w14:paraId="7FD53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交货地点：霍山县太平畈乡高山铺村五峰山林场大别山山核桃基地，有4.5公里左右陡峭山路，需要用三轮车转运。</w:t>
      </w:r>
    </w:p>
    <w:p w14:paraId="73C1D9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合同签订后20个日历天内完成供货82.5吨，2027年3-4月份完成供货82.5吨。</w:t>
      </w:r>
    </w:p>
    <w:p w14:paraId="37DD4B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5.参照《关于推动解决政府采购异常低价问题的通知》有关规定，评审中出现下列情形之一的，</w:t>
      </w:r>
      <w:r>
        <w:rPr>
          <w:rFonts w:hint="eastAsia" w:ascii="宋体" w:hAnsi="宋体" w:eastAsia="宋体" w:cs="宋体"/>
          <w:color w:val="auto"/>
          <w:sz w:val="24"/>
          <w:highlight w:val="none"/>
          <w:lang w:val="en-US" w:eastAsia="zh-CN"/>
        </w:rPr>
        <w:t>谈判</w:t>
      </w:r>
      <w:r>
        <w:rPr>
          <w:rFonts w:hint="eastAsia" w:ascii="宋体" w:hAnsi="宋体" w:eastAsia="宋体" w:cs="宋体"/>
          <w:b w:val="0"/>
          <w:bCs w:val="0"/>
          <w:color w:val="auto"/>
          <w:sz w:val="24"/>
          <w:szCs w:val="18"/>
          <w:highlight w:val="none"/>
        </w:rPr>
        <w:t>小组应当启动异常低价投标（响应）审查程序：</w:t>
      </w:r>
    </w:p>
    <w:p w14:paraId="5BF4C4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1.投标（响应）报价低于全部通过符合性审查供应商投标（响应）报价平均值65%的，即投标（响应）报价&lt;全部通过符合性审查供应商投标（响应）报价平均值×65%；</w:t>
      </w:r>
    </w:p>
    <w:p w14:paraId="17EC08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2.投标（响应）报价低于通过符合性审查的次低报价供应商投标（响应）报价65%的，即投标（响应）报价&lt;通过符合性审查的次低报价供应商投标（响应）报价×65%；</w:t>
      </w:r>
    </w:p>
    <w:p w14:paraId="412BE9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3.投标（响应）报价低于采购项目最高限价65%的，即投标（响应）报价&lt;采购项目最高限价×65%；</w:t>
      </w:r>
    </w:p>
    <w:p w14:paraId="678A74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4.</w:t>
      </w:r>
      <w:r>
        <w:rPr>
          <w:rFonts w:hint="eastAsia" w:ascii="宋体" w:hAnsi="宋体" w:eastAsia="宋体" w:cs="宋体"/>
          <w:color w:val="auto"/>
          <w:sz w:val="24"/>
          <w:highlight w:val="none"/>
          <w:lang w:val="en-US" w:eastAsia="zh-CN"/>
        </w:rPr>
        <w:t>谈判</w:t>
      </w:r>
      <w:r>
        <w:rPr>
          <w:rFonts w:hint="eastAsia" w:ascii="宋体" w:hAnsi="宋体" w:eastAsia="宋体" w:cs="宋体"/>
          <w:b w:val="0"/>
          <w:bCs w:val="0"/>
          <w:color w:val="auto"/>
          <w:sz w:val="24"/>
          <w:szCs w:val="18"/>
          <w:highlight w:val="none"/>
        </w:rPr>
        <w:t>小组基于专业判断，认为供应商报价过低，有可能影响产品质量或者不能诚信履约的其他情形。</w:t>
      </w:r>
    </w:p>
    <w:p w14:paraId="7250DF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启动异常低价投标（响应）审查后，应当要求相关供应商在评审现场合理的时间内对投标（响应）价格作出解释，提供项目具体成本测算等与报价合理性相关的书面说明及必要的证明材料，供应商不能提供书面说明、证明材料，或者提供的书面说明、证明材料不能证明其报价合理性的，</w:t>
      </w:r>
      <w:r>
        <w:rPr>
          <w:rFonts w:hint="eastAsia" w:ascii="宋体" w:hAnsi="宋体" w:eastAsia="宋体" w:cs="宋体"/>
          <w:color w:val="auto"/>
          <w:sz w:val="24"/>
          <w:highlight w:val="none"/>
          <w:lang w:val="en-US" w:eastAsia="zh-CN"/>
        </w:rPr>
        <w:t>谈判</w:t>
      </w:r>
      <w:r>
        <w:rPr>
          <w:rFonts w:hint="eastAsia" w:ascii="宋体" w:hAnsi="宋体" w:eastAsia="宋体" w:cs="宋体"/>
          <w:b w:val="0"/>
          <w:bCs w:val="0"/>
          <w:color w:val="auto"/>
          <w:sz w:val="24"/>
          <w:szCs w:val="18"/>
          <w:highlight w:val="none"/>
        </w:rPr>
        <w:t>小组应当将其作为无效投标（响应）处理。</w:t>
      </w:r>
    </w:p>
    <w:p w14:paraId="2AFD18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p>
    <w:p w14:paraId="5DE48A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rPr>
      </w:pPr>
      <w:r>
        <w:rPr>
          <w:rFonts w:hint="eastAsia" w:ascii="宋体" w:hAnsi="宋体" w:eastAsia="宋体" w:cs="宋体"/>
          <w:b w:val="0"/>
          <w:bCs w:val="0"/>
          <w:color w:val="auto"/>
          <w:sz w:val="24"/>
          <w:szCs w:val="18"/>
          <w:highlight w:val="none"/>
        </w:rPr>
        <w:t>备注：采用竞争性谈判采购方式采购下在采购过程中符合要求的供应商只有2家的，竞争性谈判采购活动可以继续进行，符合要求的供应商只有1家的，经采购人批准可转入单一来源采购程序。</w:t>
      </w:r>
    </w:p>
    <w:bookmarkEnd w:id="70"/>
    <w:bookmarkEnd w:id="71"/>
    <w:p w14:paraId="176725D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98903B5">
      <w:pPr>
        <w:spacing w:line="360" w:lineRule="auto"/>
        <w:jc w:val="center"/>
        <w:outlineLvl w:val="0"/>
        <w:rPr>
          <w:rFonts w:hint="eastAsia" w:ascii="宋体" w:hAnsi="宋体" w:eastAsia="宋体" w:cs="宋体"/>
          <w:b/>
          <w:color w:val="auto"/>
          <w:sz w:val="28"/>
          <w:highlight w:val="none"/>
        </w:rPr>
      </w:pPr>
      <w:bookmarkStart w:id="72" w:name="_Toc20811"/>
      <w:r>
        <w:rPr>
          <w:rFonts w:hint="eastAsia" w:ascii="宋体" w:hAnsi="宋体" w:eastAsia="宋体" w:cs="宋体"/>
          <w:b/>
          <w:color w:val="auto"/>
          <w:sz w:val="28"/>
          <w:highlight w:val="none"/>
        </w:rPr>
        <w:t>第四章  评审方法和标准</w:t>
      </w:r>
      <w:bookmarkEnd w:id="72"/>
    </w:p>
    <w:p w14:paraId="1603570D">
      <w:pPr>
        <w:spacing w:line="360" w:lineRule="auto"/>
        <w:ind w:firstLine="437"/>
        <w:outlineLvl w:val="1"/>
        <w:rPr>
          <w:rFonts w:hint="eastAsia" w:ascii="宋体" w:hAnsi="宋体" w:eastAsia="宋体" w:cs="宋体"/>
          <w:b/>
          <w:color w:val="auto"/>
          <w:sz w:val="24"/>
          <w:highlight w:val="none"/>
        </w:rPr>
      </w:pPr>
      <w:bookmarkStart w:id="73" w:name="_Toc10142"/>
      <w:bookmarkStart w:id="74" w:name="_Toc5230"/>
      <w:r>
        <w:rPr>
          <w:rFonts w:hint="eastAsia" w:ascii="宋体" w:hAnsi="宋体" w:eastAsia="宋体" w:cs="宋体"/>
          <w:b/>
          <w:color w:val="auto"/>
          <w:sz w:val="24"/>
          <w:highlight w:val="none"/>
        </w:rPr>
        <w:t>一、总则</w:t>
      </w:r>
      <w:bookmarkEnd w:id="73"/>
      <w:bookmarkEnd w:id="74"/>
    </w:p>
    <w:p w14:paraId="6C8354B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本项目将按照谈判文件第二章 供应商须知的相关要求及本章的规定评审。</w:t>
      </w:r>
    </w:p>
    <w:p w14:paraId="05F7FF15">
      <w:pPr>
        <w:spacing w:line="360" w:lineRule="auto"/>
        <w:ind w:firstLine="437"/>
        <w:outlineLvl w:val="1"/>
        <w:rPr>
          <w:rFonts w:hint="eastAsia" w:ascii="宋体" w:hAnsi="宋体" w:eastAsia="宋体" w:cs="宋体"/>
          <w:b/>
          <w:color w:val="auto"/>
          <w:sz w:val="24"/>
          <w:highlight w:val="none"/>
        </w:rPr>
      </w:pPr>
      <w:bookmarkStart w:id="75" w:name="_Toc25812"/>
      <w:bookmarkStart w:id="76" w:name="_Toc30817"/>
      <w:r>
        <w:rPr>
          <w:rFonts w:hint="eastAsia" w:ascii="宋体" w:hAnsi="宋体" w:eastAsia="宋体" w:cs="宋体"/>
          <w:b/>
          <w:color w:val="auto"/>
          <w:sz w:val="24"/>
          <w:highlight w:val="none"/>
        </w:rPr>
        <w:t>二、评审方法</w:t>
      </w:r>
      <w:bookmarkEnd w:id="75"/>
      <w:bookmarkEnd w:id="76"/>
    </w:p>
    <w:tbl>
      <w:tblPr>
        <w:tblStyle w:val="15"/>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1"/>
        <w:gridCol w:w="1265"/>
        <w:gridCol w:w="3900"/>
        <w:gridCol w:w="3685"/>
      </w:tblGrid>
      <w:tr w14:paraId="0FAC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noWrap w:val="0"/>
            <w:vAlign w:val="center"/>
          </w:tcPr>
          <w:p w14:paraId="2849A93F">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初审表</w:t>
            </w:r>
          </w:p>
        </w:tc>
      </w:tr>
      <w:tr w14:paraId="3201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noWrap w:val="0"/>
            <w:vAlign w:val="center"/>
          </w:tcPr>
          <w:p w14:paraId="0C06FE4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资格审查</w:t>
            </w:r>
          </w:p>
        </w:tc>
      </w:tr>
      <w:tr w14:paraId="6D61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atLeast"/>
          <w:jc w:val="center"/>
        </w:trPr>
        <w:tc>
          <w:tcPr>
            <w:tcW w:w="332" w:type="pct"/>
            <w:tcBorders>
              <w:bottom w:val="single" w:color="auto" w:sz="4" w:space="0"/>
            </w:tcBorders>
            <w:noWrap w:val="0"/>
            <w:vAlign w:val="center"/>
          </w:tcPr>
          <w:p w14:paraId="4135044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667" w:type="pct"/>
            <w:tcBorders>
              <w:bottom w:val="single" w:color="auto" w:sz="4" w:space="0"/>
            </w:tcBorders>
            <w:noWrap w:val="0"/>
            <w:vAlign w:val="center"/>
          </w:tcPr>
          <w:p w14:paraId="5951CDA3">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审查指标</w:t>
            </w:r>
          </w:p>
        </w:tc>
        <w:tc>
          <w:tcPr>
            <w:tcW w:w="2056" w:type="pct"/>
            <w:tcBorders>
              <w:bottom w:val="single" w:color="auto" w:sz="4" w:space="0"/>
            </w:tcBorders>
            <w:noWrap w:val="0"/>
            <w:vAlign w:val="center"/>
          </w:tcPr>
          <w:p w14:paraId="5767BD16">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审查标准</w:t>
            </w:r>
          </w:p>
        </w:tc>
        <w:tc>
          <w:tcPr>
            <w:tcW w:w="1943" w:type="pct"/>
            <w:tcBorders>
              <w:bottom w:val="single" w:color="auto" w:sz="4" w:space="0"/>
            </w:tcBorders>
            <w:noWrap w:val="0"/>
            <w:vAlign w:val="center"/>
          </w:tcPr>
          <w:p w14:paraId="6E2552D7">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格式要求</w:t>
            </w:r>
          </w:p>
        </w:tc>
      </w:tr>
      <w:tr w14:paraId="4F7C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35" w:hRule="atLeast"/>
          <w:jc w:val="center"/>
        </w:trPr>
        <w:tc>
          <w:tcPr>
            <w:tcW w:w="332" w:type="pct"/>
            <w:tcBorders>
              <w:bottom w:val="single" w:color="auto" w:sz="4" w:space="0"/>
            </w:tcBorders>
            <w:noWrap w:val="0"/>
            <w:vAlign w:val="center"/>
          </w:tcPr>
          <w:p w14:paraId="2E3D7914">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67" w:type="pct"/>
            <w:tcBorders>
              <w:bottom w:val="single" w:color="auto" w:sz="4" w:space="0"/>
            </w:tcBorders>
            <w:noWrap w:val="0"/>
            <w:vAlign w:val="center"/>
          </w:tcPr>
          <w:p w14:paraId="18778087">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056" w:type="pct"/>
            <w:tcBorders>
              <w:bottom w:val="single" w:color="auto" w:sz="4" w:space="0"/>
            </w:tcBorders>
            <w:noWrap w:val="0"/>
            <w:vAlign w:val="center"/>
          </w:tcPr>
          <w:p w14:paraId="6A09B7A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（1）供应商为企业（包括合伙企业）的，应提供有效的营业执照；</w:t>
            </w:r>
          </w:p>
          <w:p w14:paraId="01333C5E">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（2）供应商为事业单位的，应提供有效的事业单位法人证书；</w:t>
            </w:r>
          </w:p>
          <w:p w14:paraId="246064F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（3）供应商是非企业机构的，应提供有效的执业许可证或登记证书等证明文件；</w:t>
            </w:r>
          </w:p>
          <w:p w14:paraId="2707F9DF">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（4）供应商是个体工商户的，应提供有效的个体工商户营业执照；</w:t>
            </w:r>
          </w:p>
          <w:p w14:paraId="23BB77D8">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（5）供应商是自然人的，应提供有效的自然人身份证明。</w:t>
            </w:r>
          </w:p>
        </w:tc>
        <w:tc>
          <w:tcPr>
            <w:tcW w:w="1943" w:type="pct"/>
            <w:noWrap w:val="0"/>
            <w:vAlign w:val="center"/>
          </w:tcPr>
          <w:p w14:paraId="774FDA9D">
            <w:pPr>
              <w:keepNext w:val="0"/>
              <w:keepLines w:val="0"/>
              <w:pageBreakBefore w:val="0"/>
              <w:widowControl w:val="0"/>
              <w:kinsoku/>
              <w:wordWrap/>
              <w:overflowPunct/>
              <w:topLinePunct w:val="0"/>
              <w:autoSpaceDE/>
              <w:autoSpaceDN/>
              <w:bidi w:val="0"/>
              <w:spacing w:line="40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提供材料或电子证照</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color w:val="auto"/>
                <w:sz w:val="24"/>
                <w:szCs w:val="24"/>
                <w:highlight w:val="none"/>
              </w:rPr>
              <w:t>，应完整的体现出材料或电子证照全部内容。联合体</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szCs w:val="24"/>
                <w:highlight w:val="none"/>
              </w:rPr>
              <w:t>的联合体各方均须提供。</w:t>
            </w:r>
          </w:p>
        </w:tc>
      </w:tr>
      <w:tr w14:paraId="45C4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noWrap w:val="0"/>
            <w:vAlign w:val="center"/>
          </w:tcPr>
          <w:p w14:paraId="186E5CF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667" w:type="pct"/>
            <w:tcBorders>
              <w:bottom w:val="single" w:color="auto" w:sz="4" w:space="0"/>
            </w:tcBorders>
            <w:noWrap w:val="0"/>
            <w:vAlign w:val="center"/>
          </w:tcPr>
          <w:p w14:paraId="6A36A90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供应商信用记录</w:t>
            </w:r>
          </w:p>
        </w:tc>
        <w:tc>
          <w:tcPr>
            <w:tcW w:w="2056" w:type="pct"/>
            <w:tcBorders>
              <w:bottom w:val="single" w:color="auto" w:sz="4" w:space="0"/>
            </w:tcBorders>
            <w:noWrap w:val="0"/>
            <w:vAlign w:val="center"/>
          </w:tcPr>
          <w:p w14:paraId="516AFA7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不得存在</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条中的不良信用记录情形</w:t>
            </w:r>
          </w:p>
        </w:tc>
        <w:tc>
          <w:tcPr>
            <w:tcW w:w="1943" w:type="pct"/>
            <w:tcBorders>
              <w:bottom w:val="single" w:color="auto" w:sz="4" w:space="0"/>
            </w:tcBorders>
            <w:noWrap w:val="0"/>
            <w:vAlign w:val="center"/>
          </w:tcPr>
          <w:p w14:paraId="0553B974">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，通过网络对投标人（含联合体成员）进行人工查询，</w:t>
            </w:r>
            <w:r>
              <w:rPr>
                <w:rFonts w:hint="eastAsia" w:ascii="宋体" w:hAnsi="宋体" w:eastAsia="宋体" w:cs="宋体"/>
                <w:color w:val="auto"/>
                <w:sz w:val="24"/>
                <w:szCs w:val="24"/>
                <w:highlight w:val="none"/>
              </w:rPr>
              <w:t>以评标时“信用中国”网站（www.creditchina.gov.cn）、“中国政府采购网”（www.ccgp.gov.cn）的信息平台实时</w:t>
            </w:r>
            <w:r>
              <w:rPr>
                <w:rFonts w:hint="eastAsia" w:ascii="宋体" w:hAnsi="宋体" w:eastAsia="宋体" w:cs="宋体"/>
                <w:color w:val="auto"/>
                <w:sz w:val="24"/>
                <w:szCs w:val="24"/>
                <w:highlight w:val="none"/>
                <w:lang w:val="en-US" w:eastAsia="zh-CN"/>
              </w:rPr>
              <w:t>查询结果</w:t>
            </w:r>
            <w:r>
              <w:rPr>
                <w:rFonts w:hint="eastAsia" w:ascii="宋体" w:hAnsi="宋体" w:eastAsia="宋体" w:cs="宋体"/>
                <w:color w:val="auto"/>
                <w:sz w:val="24"/>
                <w:szCs w:val="24"/>
                <w:highlight w:val="none"/>
              </w:rPr>
              <w:t>为准。</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w:t>
            </w:r>
            <w:r>
              <w:rPr>
                <w:rFonts w:hint="eastAsia" w:ascii="宋体" w:hAnsi="宋体" w:eastAsia="宋体" w:cs="宋体"/>
                <w:color w:val="auto"/>
                <w:sz w:val="24"/>
                <w:szCs w:val="24"/>
                <w:highlight w:val="none"/>
                <w:lang w:val="en-US" w:eastAsia="zh-CN"/>
              </w:rPr>
              <w:t>网络</w:t>
            </w:r>
            <w:r>
              <w:rPr>
                <w:rFonts w:hint="eastAsia" w:ascii="宋体" w:hAnsi="宋体" w:eastAsia="宋体" w:cs="宋体"/>
                <w:color w:val="auto"/>
                <w:sz w:val="24"/>
                <w:szCs w:val="24"/>
                <w:highlight w:val="none"/>
              </w:rPr>
              <w:t>故障，则此项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3177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00798A6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667" w:type="pct"/>
            <w:noWrap w:val="0"/>
            <w:vAlign w:val="center"/>
          </w:tcPr>
          <w:p w14:paraId="15EE174C">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其他特定资格要求</w:t>
            </w:r>
          </w:p>
        </w:tc>
        <w:tc>
          <w:tcPr>
            <w:tcW w:w="2056" w:type="pct"/>
            <w:noWrap w:val="0"/>
            <w:vAlign w:val="center"/>
          </w:tcPr>
          <w:p w14:paraId="5DB5BFD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采购邀请</w:t>
            </w:r>
            <w:r>
              <w:rPr>
                <w:rFonts w:hint="eastAsia" w:ascii="宋体" w:hAnsi="宋体" w:eastAsia="宋体" w:cs="宋体"/>
                <w:color w:val="auto"/>
                <w:spacing w:val="10"/>
                <w:sz w:val="24"/>
                <w:szCs w:val="24"/>
                <w:highlight w:val="none"/>
              </w:rPr>
              <w:t>》</w:t>
            </w:r>
          </w:p>
        </w:tc>
        <w:tc>
          <w:tcPr>
            <w:tcW w:w="1943" w:type="pct"/>
            <w:noWrap w:val="0"/>
            <w:vAlign w:val="center"/>
          </w:tcPr>
          <w:p w14:paraId="7E4C538B">
            <w:pPr>
              <w:keepNext w:val="0"/>
              <w:keepLines w:val="0"/>
              <w:pageBreakBefore w:val="0"/>
              <w:widowControl w:val="0"/>
              <w:kinsoku/>
              <w:wordWrap/>
              <w:overflowPunct/>
              <w:topLinePunct w:val="0"/>
              <w:autoSpaceDE/>
              <w:autoSpaceDN/>
              <w:bidi w:val="0"/>
              <w:spacing w:line="400" w:lineRule="exact"/>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提供材料或电子证照</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color w:val="auto"/>
                <w:sz w:val="24"/>
                <w:szCs w:val="24"/>
                <w:highlight w:val="none"/>
              </w:rPr>
              <w:t>，应完整体现出材料或电子证照全部内容。</w:t>
            </w:r>
          </w:p>
        </w:tc>
      </w:tr>
      <w:tr w14:paraId="093A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5000" w:type="pct"/>
            <w:gridSpan w:val="4"/>
            <w:noWrap w:val="0"/>
            <w:vAlign w:val="center"/>
          </w:tcPr>
          <w:p w14:paraId="7407B2DB">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符合性评审</w:t>
            </w:r>
          </w:p>
        </w:tc>
      </w:tr>
      <w:tr w14:paraId="1C32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332" w:type="pct"/>
            <w:noWrap w:val="0"/>
            <w:vAlign w:val="center"/>
          </w:tcPr>
          <w:p w14:paraId="009932EC">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序号</w:t>
            </w:r>
          </w:p>
        </w:tc>
        <w:tc>
          <w:tcPr>
            <w:tcW w:w="667" w:type="pct"/>
            <w:noWrap w:val="0"/>
            <w:vAlign w:val="center"/>
          </w:tcPr>
          <w:p w14:paraId="470BECAE">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rPr>
              <w:t>审查指标</w:t>
            </w:r>
          </w:p>
        </w:tc>
        <w:tc>
          <w:tcPr>
            <w:tcW w:w="2056" w:type="pct"/>
            <w:noWrap w:val="0"/>
            <w:vAlign w:val="center"/>
          </w:tcPr>
          <w:p w14:paraId="3CB27248">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审查标准</w:t>
            </w:r>
          </w:p>
        </w:tc>
        <w:tc>
          <w:tcPr>
            <w:tcW w:w="1943" w:type="pct"/>
            <w:noWrap w:val="0"/>
            <w:vAlign w:val="center"/>
          </w:tcPr>
          <w:p w14:paraId="79C1A2B4">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格式要求</w:t>
            </w:r>
          </w:p>
        </w:tc>
      </w:tr>
      <w:tr w14:paraId="4056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173F8F8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667" w:type="pct"/>
            <w:noWrap w:val="0"/>
            <w:vAlign w:val="center"/>
          </w:tcPr>
          <w:p w14:paraId="4C2D97E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响应函</w:t>
            </w:r>
          </w:p>
        </w:tc>
        <w:tc>
          <w:tcPr>
            <w:tcW w:w="2056" w:type="pct"/>
            <w:noWrap w:val="0"/>
            <w:vAlign w:val="center"/>
          </w:tcPr>
          <w:p w14:paraId="347C8B9A">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格式、填写要求符合</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文件规定并加盖供应商电子签章</w:t>
            </w:r>
          </w:p>
        </w:tc>
        <w:tc>
          <w:tcPr>
            <w:tcW w:w="1943" w:type="pct"/>
            <w:noWrap w:val="0"/>
            <w:vAlign w:val="center"/>
          </w:tcPr>
          <w:p w14:paraId="65638A7F">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2ABC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3BFF0305">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667" w:type="pct"/>
            <w:noWrap w:val="0"/>
            <w:vAlign w:val="center"/>
          </w:tcPr>
          <w:p w14:paraId="47AA3DE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授权书</w:t>
            </w:r>
          </w:p>
        </w:tc>
        <w:tc>
          <w:tcPr>
            <w:tcW w:w="2056" w:type="pct"/>
            <w:noWrap w:val="0"/>
            <w:vAlign w:val="center"/>
          </w:tcPr>
          <w:p w14:paraId="5059A4D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格式、填写要求符合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文件规定并加盖供应商电子签章</w:t>
            </w:r>
          </w:p>
        </w:tc>
        <w:tc>
          <w:tcPr>
            <w:tcW w:w="1943" w:type="pct"/>
            <w:noWrap w:val="0"/>
            <w:vAlign w:val="center"/>
          </w:tcPr>
          <w:p w14:paraId="5BD7F537">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法定代表人参加</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的无需此件，提供身份证明即可。详见第六章响应文件格式。</w:t>
            </w:r>
          </w:p>
        </w:tc>
      </w:tr>
      <w:tr w14:paraId="5E4D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5D3D9F62">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p>
        </w:tc>
        <w:tc>
          <w:tcPr>
            <w:tcW w:w="667" w:type="pct"/>
            <w:noWrap w:val="0"/>
            <w:vAlign w:val="center"/>
          </w:tcPr>
          <w:p w14:paraId="2ABDA042">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报价</w:t>
            </w:r>
          </w:p>
        </w:tc>
        <w:tc>
          <w:tcPr>
            <w:tcW w:w="2056" w:type="pct"/>
            <w:noWrap w:val="0"/>
            <w:vAlign w:val="center"/>
          </w:tcPr>
          <w:p w14:paraId="6A2CD082">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文件供应商须知正文第9条要求</w:t>
            </w:r>
          </w:p>
        </w:tc>
        <w:tc>
          <w:tcPr>
            <w:tcW w:w="1943" w:type="pct"/>
            <w:noWrap w:val="0"/>
            <w:vAlign w:val="center"/>
          </w:tcPr>
          <w:p w14:paraId="3E7B2F97">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63F1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077F2925">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p>
        </w:tc>
        <w:tc>
          <w:tcPr>
            <w:tcW w:w="667" w:type="pct"/>
            <w:noWrap w:val="0"/>
            <w:vAlign w:val="center"/>
          </w:tcPr>
          <w:p w14:paraId="48E8A6D9">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商务响应情况</w:t>
            </w:r>
          </w:p>
        </w:tc>
        <w:tc>
          <w:tcPr>
            <w:tcW w:w="2056" w:type="pct"/>
            <w:noWrap w:val="0"/>
            <w:vAlign w:val="center"/>
          </w:tcPr>
          <w:p w14:paraId="5F9C3F35">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文件采购需求中对付款方式、供货及安装期限、供货及安装地点、免费质保期等实质性要求</w:t>
            </w:r>
          </w:p>
        </w:tc>
        <w:tc>
          <w:tcPr>
            <w:tcW w:w="1943" w:type="pct"/>
            <w:noWrap w:val="0"/>
            <w:vAlign w:val="center"/>
          </w:tcPr>
          <w:p w14:paraId="7DA239C5">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46AF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3" w:hRule="atLeast"/>
          <w:jc w:val="center"/>
        </w:trPr>
        <w:tc>
          <w:tcPr>
            <w:tcW w:w="332" w:type="pct"/>
            <w:noWrap w:val="0"/>
            <w:vAlign w:val="center"/>
          </w:tcPr>
          <w:p w14:paraId="7630080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667" w:type="pct"/>
            <w:noWrap w:val="0"/>
            <w:vAlign w:val="center"/>
          </w:tcPr>
          <w:p w14:paraId="0C1522E4">
            <w:pPr>
              <w:keepNext w:val="0"/>
              <w:keepLines w:val="0"/>
              <w:pageBreakBefore w:val="0"/>
              <w:widowControl w:val="0"/>
              <w:kinsoku/>
              <w:wordWrap/>
              <w:overflowPunct/>
              <w:topLinePunct w:val="0"/>
              <w:autoSpaceDE/>
              <w:autoSpaceDN/>
              <w:bidi w:val="0"/>
              <w:spacing w:line="400" w:lineRule="exact"/>
              <w:ind w:right="0"/>
              <w:jc w:val="center"/>
              <w:textAlignment w:val="auto"/>
              <w:outlineLvl w:val="2"/>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技术响应情况</w:t>
            </w:r>
          </w:p>
        </w:tc>
        <w:tc>
          <w:tcPr>
            <w:tcW w:w="2056" w:type="pct"/>
            <w:noWrap w:val="0"/>
            <w:vAlign w:val="center"/>
          </w:tcPr>
          <w:p w14:paraId="2758BD7B">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符合</w:t>
            </w:r>
            <w:r>
              <w:rPr>
                <w:rFonts w:hint="eastAsia" w:ascii="宋体" w:hAnsi="宋体" w:eastAsia="宋体" w:cs="宋体"/>
                <w:color w:val="auto"/>
                <w:spacing w:val="10"/>
                <w:sz w:val="24"/>
                <w:szCs w:val="24"/>
                <w:highlight w:val="none"/>
                <w:lang w:val="en-US" w:eastAsia="zh-CN"/>
              </w:rPr>
              <w:t>谈判</w:t>
            </w:r>
            <w:r>
              <w:rPr>
                <w:rFonts w:hint="eastAsia" w:ascii="宋体" w:hAnsi="宋体" w:eastAsia="宋体" w:cs="宋体"/>
                <w:color w:val="auto"/>
                <w:spacing w:val="10"/>
                <w:sz w:val="24"/>
                <w:szCs w:val="24"/>
                <w:highlight w:val="none"/>
              </w:rPr>
              <w:t>文件采购需求中</w:t>
            </w:r>
            <w:r>
              <w:rPr>
                <w:rFonts w:hint="eastAsia" w:ascii="宋体" w:hAnsi="宋体" w:eastAsia="宋体" w:cs="宋体"/>
                <w:color w:val="auto"/>
                <w:spacing w:val="10"/>
                <w:sz w:val="24"/>
                <w:szCs w:val="24"/>
                <w:highlight w:val="none"/>
                <w:lang w:val="en-US" w:eastAsia="zh-CN"/>
              </w:rPr>
              <w:t>实质性响应技术参数</w:t>
            </w:r>
            <w:r>
              <w:rPr>
                <w:rFonts w:hint="eastAsia" w:ascii="宋体" w:hAnsi="宋体" w:eastAsia="宋体" w:cs="宋体"/>
                <w:color w:val="auto"/>
                <w:spacing w:val="10"/>
                <w:sz w:val="24"/>
                <w:szCs w:val="24"/>
                <w:highlight w:val="none"/>
              </w:rPr>
              <w:t>要求</w:t>
            </w:r>
          </w:p>
        </w:tc>
        <w:tc>
          <w:tcPr>
            <w:tcW w:w="1943" w:type="pct"/>
            <w:noWrap w:val="0"/>
            <w:vAlign w:val="center"/>
          </w:tcPr>
          <w:p w14:paraId="6079A6F5">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42D7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762F30A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p>
        </w:tc>
        <w:tc>
          <w:tcPr>
            <w:tcW w:w="667" w:type="pct"/>
            <w:noWrap w:val="0"/>
            <w:vAlign w:val="center"/>
          </w:tcPr>
          <w:p w14:paraId="302EC136">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其他要求</w:t>
            </w:r>
          </w:p>
        </w:tc>
        <w:tc>
          <w:tcPr>
            <w:tcW w:w="2056" w:type="pct"/>
            <w:noWrap w:val="0"/>
            <w:vAlign w:val="center"/>
          </w:tcPr>
          <w:p w14:paraId="052BE74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符合法律、行政法规规定的其他条件或</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文件列明的其他实质性要求</w:t>
            </w:r>
          </w:p>
        </w:tc>
        <w:tc>
          <w:tcPr>
            <w:tcW w:w="1943" w:type="pct"/>
            <w:noWrap w:val="0"/>
            <w:vAlign w:val="center"/>
          </w:tcPr>
          <w:p w14:paraId="760F1E14">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p>
        </w:tc>
      </w:tr>
    </w:tbl>
    <w:p w14:paraId="05D0F54F">
      <w:pPr>
        <w:spacing w:line="360" w:lineRule="auto"/>
        <w:ind w:firstLine="435"/>
        <w:rPr>
          <w:rFonts w:hint="eastAsia" w:ascii="宋体" w:hAnsi="宋体" w:eastAsia="宋体" w:cs="宋体"/>
          <w:b/>
          <w:bCs/>
          <w:color w:val="auto"/>
          <w:sz w:val="24"/>
          <w:highlight w:val="none"/>
        </w:rPr>
      </w:pPr>
    </w:p>
    <w:p w14:paraId="0149871A">
      <w:pPr>
        <w:spacing w:line="360" w:lineRule="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初审指标通过标准：</w:t>
      </w:r>
      <w:r>
        <w:rPr>
          <w:rFonts w:hint="eastAsia" w:ascii="宋体" w:hAnsi="宋体" w:eastAsia="宋体" w:cs="宋体"/>
          <w:color w:val="auto"/>
          <w:sz w:val="24"/>
          <w:highlight w:val="none"/>
        </w:rPr>
        <w:t>供应商必须通过初审表中的全部评审指标。</w:t>
      </w:r>
    </w:p>
    <w:p w14:paraId="12A41B56">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5ECA7784">
      <w:pPr>
        <w:spacing w:line="360" w:lineRule="auto"/>
        <w:jc w:val="center"/>
        <w:outlineLvl w:val="0"/>
        <w:rPr>
          <w:rFonts w:hint="eastAsia" w:ascii="宋体" w:hAnsi="宋体" w:eastAsia="宋体" w:cs="宋体"/>
          <w:b/>
          <w:color w:val="auto"/>
          <w:sz w:val="28"/>
          <w:highlight w:val="none"/>
          <w:lang w:eastAsia="zh-CN"/>
        </w:rPr>
      </w:pPr>
      <w:bookmarkStart w:id="77" w:name="_Toc35525217"/>
      <w:bookmarkStart w:id="78" w:name="_Toc6738"/>
      <w:r>
        <w:rPr>
          <w:rFonts w:hint="eastAsia" w:ascii="宋体" w:hAnsi="宋体" w:eastAsia="宋体" w:cs="宋体"/>
          <w:b/>
          <w:color w:val="auto"/>
          <w:sz w:val="28"/>
          <w:highlight w:val="none"/>
        </w:rPr>
        <w:t>第五章  采购合同</w:t>
      </w:r>
      <w:bookmarkEnd w:id="77"/>
      <w:bookmarkEnd w:id="78"/>
    </w:p>
    <w:p w14:paraId="5871AC1C">
      <w:pPr>
        <w:rPr>
          <w:rFonts w:hint="eastAsia" w:ascii="宋体" w:hAnsi="宋体" w:eastAsia="宋体" w:cs="宋体"/>
          <w:color w:val="auto"/>
          <w:sz w:val="28"/>
          <w:szCs w:val="28"/>
          <w:highlight w:val="none"/>
        </w:rPr>
      </w:pPr>
      <w:bookmarkStart w:id="79" w:name="_Toc24145"/>
      <w:r>
        <w:rPr>
          <w:rFonts w:hint="eastAsia" w:ascii="宋体" w:hAnsi="宋体" w:eastAsia="宋体" w:cs="宋体"/>
          <w:color w:val="auto"/>
          <w:sz w:val="28"/>
          <w:szCs w:val="28"/>
          <w:highlight w:val="none"/>
        </w:rPr>
        <w:br w:type="page"/>
      </w:r>
    </w:p>
    <w:p w14:paraId="61E6EB80">
      <w:pPr>
        <w:spacing w:line="360" w:lineRule="auto"/>
        <w:jc w:val="center"/>
        <w:outlineLvl w:val="0"/>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第六章  响应文件格式</w:t>
      </w:r>
      <w:bookmarkEnd w:id="79"/>
    </w:p>
    <w:p w14:paraId="470E27EE">
      <w:pPr>
        <w:spacing w:line="500" w:lineRule="exact"/>
        <w:jc w:val="center"/>
        <w:outlineLvl w:val="9"/>
        <w:rPr>
          <w:rFonts w:hint="eastAsia" w:ascii="宋体" w:hAnsi="宋体" w:eastAsia="宋体" w:cs="宋体"/>
          <w:b/>
          <w:color w:val="auto"/>
          <w:sz w:val="32"/>
          <w:highlight w:val="none"/>
        </w:rPr>
      </w:pPr>
    </w:p>
    <w:p w14:paraId="742C1102">
      <w:pPr>
        <w:spacing w:line="900" w:lineRule="exact"/>
        <w:jc w:val="center"/>
        <w:rPr>
          <w:rFonts w:hint="eastAsia" w:ascii="宋体" w:hAnsi="宋体" w:eastAsia="宋体" w:cs="宋体"/>
          <w:b/>
          <w:color w:val="auto"/>
          <w:sz w:val="72"/>
          <w:highlight w:val="none"/>
        </w:rPr>
      </w:pPr>
    </w:p>
    <w:p w14:paraId="2D400789">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响</w:t>
      </w:r>
    </w:p>
    <w:p w14:paraId="191198B8">
      <w:pPr>
        <w:spacing w:line="900" w:lineRule="exact"/>
        <w:jc w:val="center"/>
        <w:outlineLvl w:val="9"/>
        <w:rPr>
          <w:rFonts w:hint="eastAsia" w:ascii="宋体" w:hAnsi="宋体" w:eastAsia="宋体" w:cs="宋体"/>
          <w:b/>
          <w:color w:val="auto"/>
          <w:sz w:val="72"/>
          <w:highlight w:val="none"/>
        </w:rPr>
      </w:pPr>
    </w:p>
    <w:p w14:paraId="70481F9B">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应</w:t>
      </w:r>
    </w:p>
    <w:p w14:paraId="768E02D7">
      <w:pPr>
        <w:spacing w:line="900" w:lineRule="exact"/>
        <w:jc w:val="center"/>
        <w:outlineLvl w:val="9"/>
        <w:rPr>
          <w:rFonts w:hint="eastAsia" w:ascii="宋体" w:hAnsi="宋体" w:eastAsia="宋体" w:cs="宋体"/>
          <w:b/>
          <w:color w:val="auto"/>
          <w:sz w:val="72"/>
          <w:highlight w:val="none"/>
        </w:rPr>
      </w:pPr>
    </w:p>
    <w:p w14:paraId="31CB614B">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193CDE6C">
      <w:pPr>
        <w:spacing w:line="900" w:lineRule="exact"/>
        <w:jc w:val="center"/>
        <w:outlineLvl w:val="9"/>
        <w:rPr>
          <w:rFonts w:hint="eastAsia" w:ascii="宋体" w:hAnsi="宋体" w:eastAsia="宋体" w:cs="宋体"/>
          <w:b/>
          <w:color w:val="auto"/>
          <w:sz w:val="72"/>
          <w:highlight w:val="none"/>
        </w:rPr>
      </w:pPr>
    </w:p>
    <w:p w14:paraId="2CCFD963">
      <w:pPr>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60476FEB">
      <w:pPr>
        <w:spacing w:after="156" w:afterLines="50"/>
        <w:jc w:val="center"/>
        <w:outlineLvl w:val="9"/>
        <w:rPr>
          <w:rFonts w:hint="eastAsia" w:ascii="宋体" w:hAnsi="宋体" w:eastAsia="宋体" w:cs="宋体"/>
          <w:b/>
          <w:color w:val="auto"/>
          <w:sz w:val="72"/>
          <w:highlight w:val="none"/>
        </w:rPr>
      </w:pPr>
    </w:p>
    <w:p w14:paraId="66589FC6">
      <w:pPr>
        <w:spacing w:before="156" w:beforeLines="50" w:after="156" w:afterLines="50"/>
        <w:jc w:val="center"/>
        <w:outlineLvl w:val="9"/>
        <w:rPr>
          <w:rFonts w:hint="eastAsia" w:ascii="宋体" w:hAnsi="宋体" w:eastAsia="宋体" w:cs="宋体"/>
          <w:b/>
          <w:color w:val="auto"/>
          <w:sz w:val="32"/>
          <w:szCs w:val="32"/>
          <w:highlight w:val="none"/>
        </w:rPr>
      </w:pPr>
      <w:bookmarkStart w:id="80" w:name="_Toc25043"/>
      <w:bookmarkStart w:id="81" w:name="_Toc20908"/>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u w:val="single"/>
        </w:rPr>
        <w:t xml:space="preserve">   </w:t>
      </w:r>
      <w:r>
        <w:rPr>
          <w:rFonts w:hint="eastAsia" w:ascii="宋体" w:hAnsi="宋体" w:eastAsia="宋体" w:cs="宋体"/>
          <w:b/>
          <w:color w:val="auto"/>
          <w:sz w:val="32"/>
          <w:szCs w:val="32"/>
          <w:highlight w:val="none"/>
        </w:rPr>
        <w:t>包】</w:t>
      </w:r>
      <w:bookmarkEnd w:id="80"/>
      <w:r>
        <w:rPr>
          <w:rFonts w:hint="eastAsia" w:ascii="宋体" w:hAnsi="宋体" w:eastAsia="宋体" w:cs="宋体"/>
          <w:b w:val="0"/>
          <w:bCs w:val="0"/>
          <w:i/>
          <w:iCs/>
          <w:color w:val="auto"/>
          <w:kern w:val="2"/>
          <w:sz w:val="24"/>
          <w:szCs w:val="18"/>
          <w:highlight w:val="none"/>
          <w:lang w:val="en-US" w:eastAsia="zh-CN" w:bidi="ar-SA"/>
        </w:rPr>
        <w:t>（如不分包，请删去本行）</w:t>
      </w:r>
      <w:bookmarkEnd w:id="81"/>
    </w:p>
    <w:p w14:paraId="58A3F50F">
      <w:pPr>
        <w:spacing w:after="156" w:afterLines="50" w:line="500" w:lineRule="exact"/>
        <w:jc w:val="center"/>
        <w:rPr>
          <w:rFonts w:hint="eastAsia" w:ascii="宋体" w:hAnsi="宋体" w:eastAsia="宋体" w:cs="宋体"/>
          <w:b/>
          <w:color w:val="auto"/>
          <w:sz w:val="28"/>
          <w:szCs w:val="28"/>
          <w:highlight w:val="none"/>
        </w:rPr>
      </w:pPr>
    </w:p>
    <w:p w14:paraId="4569277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pacing w:val="20"/>
          <w:kern w:val="0"/>
          <w:sz w:val="32"/>
          <w:szCs w:val="32"/>
          <w:highlight w:val="none"/>
          <w:lang w:val="en-US" w:eastAsia="zh-CN"/>
        </w:rPr>
      </w:pPr>
      <w:r>
        <w:rPr>
          <w:rFonts w:hint="eastAsia" w:ascii="宋体" w:hAnsi="宋体" w:eastAsia="宋体" w:cs="宋体"/>
          <w:b/>
          <w:color w:val="auto"/>
          <w:sz w:val="32"/>
          <w:highlight w:val="none"/>
        </w:rPr>
        <w:t>项目名称：</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3FC893F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项目编号：</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2DE9D24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u w:val="single"/>
          <w:lang w:val="en-US" w:eastAsia="zh-CN"/>
        </w:rPr>
      </w:pPr>
      <w:r>
        <w:rPr>
          <w:rFonts w:hint="eastAsia" w:ascii="宋体" w:hAnsi="宋体" w:eastAsia="宋体" w:cs="宋体"/>
          <w:b/>
          <w:color w:val="auto"/>
          <w:sz w:val="32"/>
          <w:highlight w:val="none"/>
        </w:rPr>
        <w:t>供</w:t>
      </w:r>
      <w:r>
        <w:rPr>
          <w:rFonts w:hint="eastAsia" w:ascii="宋体" w:hAnsi="宋体" w:eastAsia="宋体" w:cs="宋体"/>
          <w:b/>
          <w:color w:val="auto"/>
          <w:sz w:val="32"/>
          <w:highlight w:val="none"/>
          <w:lang w:val="en-US" w:eastAsia="zh-CN"/>
        </w:rPr>
        <w:t xml:space="preserve"> </w:t>
      </w:r>
      <w:r>
        <w:rPr>
          <w:rFonts w:hint="eastAsia" w:ascii="宋体" w:hAnsi="宋体" w:eastAsia="宋体" w:cs="宋体"/>
          <w:b/>
          <w:color w:val="auto"/>
          <w:sz w:val="32"/>
          <w:highlight w:val="none"/>
        </w:rPr>
        <w:t>应</w:t>
      </w:r>
      <w:r>
        <w:rPr>
          <w:rFonts w:hint="eastAsia" w:ascii="宋体" w:hAnsi="宋体" w:eastAsia="宋体" w:cs="宋体"/>
          <w:b/>
          <w:color w:val="auto"/>
          <w:sz w:val="32"/>
          <w:highlight w:val="none"/>
          <w:lang w:val="en-US" w:eastAsia="zh-CN"/>
        </w:rPr>
        <w:t xml:space="preserve"> </w:t>
      </w:r>
      <w:r>
        <w:rPr>
          <w:rFonts w:hint="eastAsia" w:ascii="宋体" w:hAnsi="宋体" w:eastAsia="宋体" w:cs="宋体"/>
          <w:b/>
          <w:color w:val="auto"/>
          <w:sz w:val="32"/>
          <w:highlight w:val="none"/>
        </w:rPr>
        <w:t>商：</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eastAsia="zh-CN"/>
        </w:rPr>
        <w:t>（签电子章）</w:t>
      </w:r>
      <w:r>
        <w:rPr>
          <w:rFonts w:hint="eastAsia" w:ascii="宋体" w:hAnsi="宋体" w:eastAsia="宋体" w:cs="宋体"/>
          <w:b/>
          <w:color w:val="auto"/>
          <w:sz w:val="32"/>
          <w:highlight w:val="none"/>
          <w:u w:val="single"/>
          <w:lang w:val="en-US" w:eastAsia="zh-CN"/>
        </w:rPr>
        <w:t xml:space="preserve">   </w:t>
      </w:r>
    </w:p>
    <w:p w14:paraId="10CA464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u w:val="single"/>
          <w:lang w:eastAsia="zh-CN"/>
        </w:rPr>
      </w:pPr>
    </w:p>
    <w:p w14:paraId="0B45C740">
      <w:pPr>
        <w:spacing w:after="156" w:afterLines="50" w:line="500" w:lineRule="exact"/>
        <w:jc w:val="center"/>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 xml:space="preserve">    </w:t>
      </w:r>
      <w:bookmarkStart w:id="82" w:name="_Toc12430"/>
      <w:bookmarkStart w:id="83" w:name="_Toc12150"/>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月</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日</w:t>
      </w:r>
      <w:bookmarkEnd w:id="82"/>
      <w:bookmarkEnd w:id="83"/>
    </w:p>
    <w:p w14:paraId="550A36D6">
      <w:pPr>
        <w:widowControl/>
        <w:jc w:val="left"/>
        <w:rPr>
          <w:rFonts w:hint="eastAsia" w:ascii="宋体" w:hAnsi="宋体" w:eastAsia="宋体" w:cs="宋体"/>
          <w:b/>
          <w:color w:val="auto"/>
          <w:sz w:val="28"/>
          <w:highlight w:val="none"/>
        </w:rPr>
      </w:pPr>
    </w:p>
    <w:p w14:paraId="1B56D33B">
      <w:pPr>
        <w:spacing w:line="360" w:lineRule="auto"/>
        <w:jc w:val="center"/>
        <w:outlineLvl w:val="1"/>
        <w:rPr>
          <w:rFonts w:hint="eastAsia" w:ascii="宋体" w:hAnsi="宋体" w:eastAsia="宋体" w:cs="宋体"/>
          <w:b/>
          <w:color w:val="auto"/>
          <w:sz w:val="24"/>
          <w:highlight w:val="none"/>
          <w:lang w:eastAsia="zh-CN"/>
        </w:rPr>
      </w:pPr>
      <w:bookmarkStart w:id="84" w:name="_Toc17986"/>
      <w:bookmarkStart w:id="85" w:name="_Toc28960"/>
      <w:r>
        <w:rPr>
          <w:rFonts w:hint="eastAsia" w:ascii="宋体" w:hAnsi="宋体" w:eastAsia="宋体" w:cs="宋体"/>
          <w:b/>
          <w:color w:val="auto"/>
          <w:sz w:val="24"/>
          <w:highlight w:val="none"/>
          <w:lang w:val="en-US" w:eastAsia="zh-CN"/>
        </w:rPr>
        <w:t>一、</w:t>
      </w:r>
      <w:bookmarkStart w:id="86" w:name="_Toc6441"/>
      <w:bookmarkStart w:id="87" w:name="_Toc6120"/>
      <w:r>
        <w:rPr>
          <w:rFonts w:hint="eastAsia" w:ascii="宋体" w:hAnsi="宋体" w:eastAsia="宋体" w:cs="宋体"/>
          <w:b/>
          <w:color w:val="auto"/>
          <w:sz w:val="24"/>
          <w:highlight w:val="none"/>
          <w:lang w:val="en-US" w:eastAsia="zh-CN"/>
        </w:rPr>
        <w:t>供应商基本情况</w:t>
      </w:r>
    </w:p>
    <w:p w14:paraId="5D0266B8">
      <w:pPr>
        <w:spacing w:line="360" w:lineRule="auto"/>
        <w:jc w:val="center"/>
        <w:outlineLvl w:val="9"/>
        <w:rPr>
          <w:rFonts w:hint="eastAsia" w:ascii="宋体" w:hAnsi="宋体" w:eastAsia="宋体" w:cs="宋体"/>
          <w:b/>
          <w:color w:val="auto"/>
          <w:sz w:val="24"/>
          <w:highlight w:val="none"/>
        </w:rPr>
      </w:pP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上传营业执照，供应商可根据自身情况另行提供单位简介等相关材料</w:t>
      </w:r>
      <w:r>
        <w:rPr>
          <w:rFonts w:hint="eastAsia" w:ascii="宋体" w:hAnsi="宋体" w:eastAsia="宋体" w:cs="宋体"/>
          <w:b w:val="0"/>
          <w:bCs/>
          <w:color w:val="auto"/>
          <w:sz w:val="24"/>
          <w:highlight w:val="none"/>
          <w:lang w:eastAsia="zh-CN"/>
        </w:rPr>
        <w:t>）</w:t>
      </w:r>
    </w:p>
    <w:p w14:paraId="5420C48B">
      <w:pPr>
        <w:rPr>
          <w:rFonts w:hint="eastAsia" w:ascii="宋体" w:hAnsi="宋体" w:eastAsia="宋体" w:cs="宋体"/>
          <w:b/>
          <w:color w:val="auto"/>
          <w:sz w:val="24"/>
          <w:highlight w:val="none"/>
        </w:rPr>
      </w:pPr>
    </w:p>
    <w:p w14:paraId="34F33495">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rPr>
        <w:t>二、</w:t>
      </w:r>
      <w:bookmarkEnd w:id="86"/>
      <w:bookmarkEnd w:id="87"/>
      <w:r>
        <w:rPr>
          <w:rFonts w:hint="eastAsia" w:ascii="宋体" w:hAnsi="宋体" w:eastAsia="宋体" w:cs="宋体"/>
          <w:b/>
          <w:color w:val="auto"/>
          <w:sz w:val="24"/>
          <w:highlight w:val="none"/>
          <w:lang w:eastAsia="zh-CN"/>
        </w:rPr>
        <w:t>谈判</w:t>
      </w:r>
      <w:r>
        <w:rPr>
          <w:rFonts w:hint="eastAsia" w:ascii="宋体" w:hAnsi="宋体" w:eastAsia="宋体" w:cs="宋体"/>
          <w:b/>
          <w:color w:val="auto"/>
          <w:sz w:val="24"/>
          <w:highlight w:val="none"/>
        </w:rPr>
        <w:t>响应函</w:t>
      </w:r>
    </w:p>
    <w:p w14:paraId="19310DAE">
      <w:pPr>
        <w:pStyle w:val="7"/>
        <w:spacing w:line="360" w:lineRule="auto"/>
        <w:rPr>
          <w:rFonts w:hint="eastAsia" w:ascii="宋体" w:hAnsi="宋体" w:eastAsia="宋体" w:cs="宋体"/>
          <w:color w:val="auto"/>
          <w:sz w:val="24"/>
          <w:highlight w:val="none"/>
        </w:rPr>
      </w:pPr>
    </w:p>
    <w:p w14:paraId="285D76F4">
      <w:pPr>
        <w:pStyle w:val="7"/>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u w:val="single"/>
          <w:lang w:val="en-US" w:eastAsia="zh-CN"/>
        </w:rPr>
        <w:t>名称</w:t>
      </w:r>
    </w:p>
    <w:p w14:paraId="653014CC">
      <w:pPr>
        <w:spacing w:line="360" w:lineRule="auto"/>
        <w:ind w:firstLine="480" w:firstLineChars="200"/>
        <w:rPr>
          <w:rFonts w:hint="eastAsia" w:ascii="宋体" w:hAnsi="宋体" w:eastAsia="宋体" w:cs="宋体"/>
          <w:dstrike/>
          <w:color w:val="auto"/>
          <w:sz w:val="24"/>
          <w:highlight w:val="none"/>
        </w:rPr>
      </w:pPr>
      <w:r>
        <w:rPr>
          <w:rFonts w:hint="eastAsia" w:ascii="宋体" w:hAnsi="宋体" w:eastAsia="宋体" w:cs="宋体"/>
          <w:color w:val="auto"/>
          <w:sz w:val="24"/>
          <w:highlight w:val="none"/>
        </w:rPr>
        <w:t>根据贵方的</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和</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lang w:val="en-US" w:eastAsia="zh-CN"/>
        </w:rPr>
        <w:t>文件</w:t>
      </w:r>
      <w:r>
        <w:rPr>
          <w:rFonts w:hint="eastAsia" w:ascii="宋体" w:hAnsi="宋体" w:eastAsia="宋体" w:cs="宋体"/>
          <w:color w:val="auto"/>
          <w:sz w:val="24"/>
          <w:highlight w:val="none"/>
        </w:rPr>
        <w:t>，我方兹宣布同意如下：</w:t>
      </w:r>
    </w:p>
    <w:p w14:paraId="16E0B1F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2703416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2.我方已详细审核全部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文件，包括</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文件附件及更正公告（如有），我方正式认可并遵守本次</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文件，并对</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文件各项条款、规定及要求均无异议。</w:t>
      </w:r>
    </w:p>
    <w:p w14:paraId="2030A7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3.我方同意从</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文件规定的</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日期起遵循本</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文件，并在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文件规定的</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有效期之前均具有约束力。</w:t>
      </w:r>
    </w:p>
    <w:p w14:paraId="44B606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4.我方声明响应文件所提供的一切资料均真实无误、及时、有效，企业运营正常。由于我方提供资料不实而造成的责任和后果由我方承担。我方同意按照贵方提出的要求，提供与</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有关的任何证据、数据或资料。</w:t>
      </w:r>
    </w:p>
    <w:p w14:paraId="48AF9830">
      <w:pPr>
        <w:spacing w:line="360" w:lineRule="auto"/>
        <w:ind w:firstLine="480" w:firstLineChars="200"/>
        <w:rPr>
          <w:rFonts w:hint="eastAsia" w:ascii="宋体" w:hAnsi="宋体" w:eastAsia="宋体" w:cs="宋体"/>
          <w:color w:val="auto"/>
          <w:sz w:val="24"/>
          <w:highlight w:val="none"/>
        </w:rPr>
      </w:pPr>
    </w:p>
    <w:p w14:paraId="247B201F">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7B96DFE9">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3A0D8D55">
      <w:pPr>
        <w:spacing w:line="360" w:lineRule="auto"/>
        <w:ind w:firstLine="4800" w:firstLineChars="2000"/>
        <w:rPr>
          <w:rFonts w:hint="eastAsia" w:ascii="宋体" w:hAnsi="宋体" w:eastAsia="宋体" w:cs="宋体"/>
          <w:color w:val="auto"/>
          <w:sz w:val="24"/>
          <w:highlight w:val="none"/>
          <w:u w:val="single"/>
        </w:rPr>
      </w:pPr>
    </w:p>
    <w:p w14:paraId="6A847968">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u w:val="single"/>
        </w:rPr>
        <w:br w:type="page"/>
      </w:r>
      <w:bookmarkStart w:id="88" w:name="_Toc18881"/>
      <w:r>
        <w:rPr>
          <w:rFonts w:hint="eastAsia" w:ascii="宋体" w:hAnsi="宋体" w:eastAsia="宋体" w:cs="宋体"/>
          <w:b/>
          <w:color w:val="auto"/>
          <w:sz w:val="24"/>
          <w:highlight w:val="none"/>
          <w:lang w:val="en-US" w:eastAsia="zh-CN"/>
        </w:rPr>
        <w:t>三</w:t>
      </w:r>
      <w:r>
        <w:rPr>
          <w:rFonts w:hint="eastAsia" w:ascii="宋体" w:hAnsi="宋体" w:eastAsia="宋体" w:cs="宋体"/>
          <w:b/>
          <w:color w:val="auto"/>
          <w:sz w:val="24"/>
          <w:highlight w:val="none"/>
        </w:rPr>
        <w:t>、授权书</w:t>
      </w:r>
    </w:p>
    <w:p w14:paraId="638CAD9F">
      <w:pPr>
        <w:spacing w:line="360" w:lineRule="auto"/>
        <w:jc w:val="center"/>
        <w:rPr>
          <w:rFonts w:hint="eastAsia" w:ascii="宋体" w:hAnsi="宋体" w:eastAsia="宋体" w:cs="宋体"/>
          <w:b/>
          <w:color w:val="auto"/>
          <w:sz w:val="24"/>
          <w:highlight w:val="none"/>
        </w:rPr>
      </w:pPr>
    </w:p>
    <w:p w14:paraId="0E120895">
      <w:pPr>
        <w:pStyle w:val="6"/>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w:t>
      </w:r>
      <w:r>
        <w:rPr>
          <w:rFonts w:hint="eastAsia" w:ascii="宋体" w:hAnsi="宋体" w:eastAsia="宋体" w:cs="宋体"/>
          <w:color w:val="auto"/>
          <w:sz w:val="24"/>
          <w:szCs w:val="28"/>
          <w:highlight w:val="none"/>
          <w:lang w:eastAsia="zh-CN"/>
        </w:rPr>
        <w:t>谈判</w:t>
      </w:r>
      <w:r>
        <w:rPr>
          <w:rFonts w:hint="eastAsia" w:ascii="宋体" w:hAnsi="宋体" w:eastAsia="宋体" w:cs="宋体"/>
          <w:color w:val="auto"/>
          <w:sz w:val="24"/>
          <w:szCs w:val="28"/>
          <w:highlight w:val="none"/>
        </w:rPr>
        <w:t>过程的一切事宜，包括但不限于：提交响应文件、参与</w:t>
      </w:r>
      <w:r>
        <w:rPr>
          <w:rFonts w:hint="eastAsia" w:ascii="宋体" w:hAnsi="宋体" w:eastAsia="宋体" w:cs="宋体"/>
          <w:color w:val="auto"/>
          <w:sz w:val="24"/>
          <w:szCs w:val="28"/>
          <w:highlight w:val="none"/>
          <w:lang w:eastAsia="zh-CN"/>
        </w:rPr>
        <w:t>谈判</w:t>
      </w:r>
      <w:r>
        <w:rPr>
          <w:rFonts w:hint="eastAsia" w:ascii="宋体" w:hAnsi="宋体" w:eastAsia="宋体" w:cs="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007734A3">
      <w:pPr>
        <w:pStyle w:val="6"/>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0046BE97">
      <w:pPr>
        <w:pStyle w:val="6"/>
        <w:snapToGrid w:val="0"/>
        <w:spacing w:line="360" w:lineRule="auto"/>
        <w:ind w:firstLine="480" w:firstLineChars="200"/>
        <w:jc w:val="left"/>
        <w:rPr>
          <w:rFonts w:hint="eastAsia" w:ascii="宋体" w:hAnsi="宋体" w:eastAsia="宋体" w:cs="宋体"/>
          <w:color w:val="auto"/>
          <w:sz w:val="24"/>
          <w:szCs w:val="28"/>
          <w:highlight w:val="none"/>
        </w:rPr>
      </w:pPr>
    </w:p>
    <w:p w14:paraId="62970A51">
      <w:pPr>
        <w:pStyle w:val="6"/>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授权代表</w:t>
      </w:r>
      <w:r>
        <w:rPr>
          <w:rFonts w:hint="eastAsia" w:ascii="宋体" w:hAnsi="宋体" w:eastAsia="宋体" w:cs="宋体"/>
          <w:color w:val="auto"/>
          <w:sz w:val="24"/>
          <w:highlight w:val="none"/>
        </w:rPr>
        <w:t>身份证明扫描件：</w:t>
      </w:r>
    </w:p>
    <w:p w14:paraId="36DA9A07">
      <w:pPr>
        <w:pStyle w:val="6"/>
        <w:snapToGrid w:val="0"/>
        <w:spacing w:line="360" w:lineRule="auto"/>
        <w:ind w:firstLine="480" w:firstLineChars="200"/>
        <w:jc w:val="left"/>
        <w:rPr>
          <w:rFonts w:hint="eastAsia" w:ascii="宋体" w:hAnsi="宋体" w:eastAsia="宋体" w:cs="宋体"/>
          <w:color w:val="auto"/>
          <w:sz w:val="24"/>
          <w:highlight w:val="none"/>
        </w:rPr>
      </w:pPr>
    </w:p>
    <w:p w14:paraId="7A0F8E4B">
      <w:pPr>
        <w:pStyle w:val="6"/>
        <w:snapToGrid w:val="0"/>
        <w:spacing w:line="360" w:lineRule="auto"/>
        <w:ind w:firstLine="480" w:firstLineChars="200"/>
        <w:jc w:val="left"/>
        <w:rPr>
          <w:rFonts w:hint="eastAsia" w:ascii="宋体" w:hAnsi="宋体" w:eastAsia="宋体" w:cs="宋体"/>
          <w:color w:val="auto"/>
          <w:sz w:val="24"/>
          <w:highlight w:val="none"/>
        </w:rPr>
      </w:pPr>
    </w:p>
    <w:p w14:paraId="63D828A0">
      <w:pPr>
        <w:pStyle w:val="6"/>
        <w:snapToGrid w:val="0"/>
        <w:spacing w:line="360" w:lineRule="auto"/>
        <w:ind w:firstLine="480" w:firstLineChars="200"/>
        <w:jc w:val="left"/>
        <w:rPr>
          <w:rFonts w:hint="eastAsia" w:ascii="宋体" w:hAnsi="宋体" w:eastAsia="宋体" w:cs="宋体"/>
          <w:color w:val="auto"/>
          <w:sz w:val="24"/>
          <w:highlight w:val="none"/>
        </w:rPr>
      </w:pPr>
    </w:p>
    <w:p w14:paraId="11FD811A">
      <w:pPr>
        <w:pStyle w:val="6"/>
        <w:snapToGrid w:val="0"/>
        <w:spacing w:line="360" w:lineRule="auto"/>
        <w:ind w:firstLine="480" w:firstLineChars="200"/>
        <w:jc w:val="left"/>
        <w:rPr>
          <w:rFonts w:hint="eastAsia" w:ascii="宋体" w:hAnsi="宋体" w:eastAsia="宋体" w:cs="宋体"/>
          <w:color w:val="auto"/>
          <w:sz w:val="24"/>
          <w:highlight w:val="none"/>
        </w:rPr>
      </w:pPr>
    </w:p>
    <w:p w14:paraId="3D551D62">
      <w:pPr>
        <w:pStyle w:val="6"/>
        <w:snapToGrid w:val="0"/>
        <w:spacing w:line="360" w:lineRule="auto"/>
        <w:ind w:firstLine="480" w:firstLineChars="200"/>
        <w:jc w:val="left"/>
        <w:rPr>
          <w:rFonts w:hint="eastAsia" w:ascii="宋体" w:hAnsi="宋体" w:eastAsia="宋体" w:cs="宋体"/>
          <w:color w:val="auto"/>
          <w:sz w:val="24"/>
          <w:szCs w:val="28"/>
          <w:highlight w:val="none"/>
          <w:u w:val="single"/>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u w:val="none"/>
        </w:rPr>
        <w:t>（请填写手机号码）</w:t>
      </w:r>
    </w:p>
    <w:p w14:paraId="2674210D">
      <w:pPr>
        <w:pStyle w:val="6"/>
        <w:snapToGrid w:val="0"/>
        <w:spacing w:line="360" w:lineRule="auto"/>
        <w:ind w:firstLine="480" w:firstLineChars="200"/>
        <w:jc w:val="left"/>
        <w:rPr>
          <w:rFonts w:hint="eastAsia" w:ascii="宋体" w:hAnsi="宋体" w:eastAsia="宋体" w:cs="宋体"/>
          <w:color w:val="auto"/>
          <w:sz w:val="24"/>
          <w:szCs w:val="28"/>
          <w:highlight w:val="none"/>
        </w:rPr>
      </w:pPr>
    </w:p>
    <w:p w14:paraId="6069E546">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特此声明。</w:t>
      </w:r>
    </w:p>
    <w:p w14:paraId="42535070">
      <w:pPr>
        <w:spacing w:line="360" w:lineRule="auto"/>
        <w:rPr>
          <w:rFonts w:hint="eastAsia" w:ascii="宋体" w:hAnsi="宋体" w:eastAsia="宋体" w:cs="宋体"/>
          <w:color w:val="auto"/>
          <w:sz w:val="24"/>
          <w:szCs w:val="28"/>
          <w:highlight w:val="none"/>
        </w:rPr>
      </w:pPr>
    </w:p>
    <w:p w14:paraId="78F4B14C">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41B8972B">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8490A7C">
      <w:pPr>
        <w:spacing w:line="360" w:lineRule="auto"/>
        <w:rPr>
          <w:rFonts w:hint="eastAsia" w:ascii="宋体" w:hAnsi="宋体" w:eastAsia="宋体" w:cs="宋体"/>
          <w:color w:val="auto"/>
          <w:sz w:val="24"/>
          <w:szCs w:val="28"/>
          <w:highlight w:val="none"/>
        </w:rPr>
      </w:pPr>
    </w:p>
    <w:p w14:paraId="0BDC119A">
      <w:pPr>
        <w:spacing w:line="360" w:lineRule="auto"/>
        <w:rPr>
          <w:rFonts w:hint="eastAsia" w:ascii="宋体" w:hAnsi="宋体" w:eastAsia="宋体" w:cs="宋体"/>
          <w:color w:val="auto"/>
          <w:sz w:val="24"/>
          <w:szCs w:val="28"/>
          <w:highlight w:val="none"/>
        </w:rPr>
      </w:pPr>
    </w:p>
    <w:p w14:paraId="5DE8430D">
      <w:pPr>
        <w:pStyle w:val="6"/>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5B92B8FC">
      <w:pPr>
        <w:pStyle w:val="6"/>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1.本项目只允许有唯一的供应商授权代表，提供身份证明扫描件；</w:t>
      </w:r>
    </w:p>
    <w:p w14:paraId="3A0AF20B">
      <w:pPr>
        <w:spacing w:line="360" w:lineRule="auto"/>
        <w:jc w:val="left"/>
        <w:rPr>
          <w:rFonts w:hint="eastAsia" w:ascii="宋体" w:hAnsi="宋体" w:eastAsia="宋体" w:cs="宋体"/>
          <w:b/>
          <w:color w:val="auto"/>
          <w:sz w:val="24"/>
          <w:highlight w:val="none"/>
          <w:lang w:val="en-US" w:eastAsia="zh-CN"/>
        </w:rPr>
      </w:pPr>
      <w:r>
        <w:rPr>
          <w:rFonts w:hint="eastAsia" w:ascii="宋体" w:hAnsi="宋体" w:eastAsia="宋体" w:cs="宋体"/>
          <w:color w:val="auto"/>
          <w:sz w:val="24"/>
          <w:highlight w:val="none"/>
        </w:rPr>
        <w:t>2.法定代表人参加</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的无需提供授权书，仅提供身份证明扫描件。</w:t>
      </w:r>
    </w:p>
    <w:p w14:paraId="40BF4FF8">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bookmarkEnd w:id="88"/>
      <w:bookmarkStart w:id="89" w:name="_Toc15154"/>
      <w:r>
        <w:rPr>
          <w:rFonts w:hint="eastAsia" w:ascii="宋体" w:hAnsi="宋体" w:eastAsia="宋体" w:cs="宋体"/>
          <w:b/>
          <w:color w:val="auto"/>
          <w:sz w:val="24"/>
          <w:highlight w:val="none"/>
          <w:lang w:val="en-US" w:eastAsia="zh-CN"/>
        </w:rPr>
        <w:t>四、其他资格</w:t>
      </w:r>
      <w:bookmarkEnd w:id="89"/>
      <w:r>
        <w:rPr>
          <w:rFonts w:hint="eastAsia" w:ascii="宋体" w:hAnsi="宋体" w:eastAsia="宋体" w:cs="宋体"/>
          <w:b/>
          <w:color w:val="auto"/>
          <w:sz w:val="24"/>
          <w:highlight w:val="none"/>
          <w:lang w:val="en-US" w:eastAsia="zh-CN"/>
        </w:rPr>
        <w:t>证明材料</w:t>
      </w:r>
    </w:p>
    <w:p w14:paraId="234D81B8">
      <w:pPr>
        <w:keepNext/>
        <w:keepLines/>
        <w:pageBreakBefore w:val="0"/>
        <w:widowControl w:val="0"/>
        <w:kinsoku/>
        <w:wordWrap/>
        <w:overflowPunct/>
        <w:topLinePunct w:val="0"/>
        <w:autoSpaceDE/>
        <w:autoSpaceDN/>
        <w:bidi w:val="0"/>
        <w:adjustRightInd/>
        <w:snapToGrid/>
        <w:spacing w:before="140" w:after="140" w:line="416" w:lineRule="auto"/>
        <w:jc w:val="center"/>
        <w:textAlignment w:val="auto"/>
        <w:outlineLvl w:val="9"/>
        <w:rPr>
          <w:rFonts w:hint="eastAsia" w:ascii="宋体" w:hAnsi="宋体" w:eastAsia="宋体" w:cs="宋体"/>
          <w:color w:val="auto"/>
          <w:sz w:val="24"/>
          <w:szCs w:val="24"/>
          <w:highlight w:val="none"/>
        </w:rPr>
      </w:pPr>
      <w:bookmarkStart w:id="90" w:name="_Toc31168"/>
      <w:bookmarkStart w:id="91" w:name="_Toc2753"/>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如有，</w:t>
      </w:r>
      <w:r>
        <w:rPr>
          <w:rFonts w:hint="eastAsia" w:ascii="宋体" w:hAnsi="宋体" w:eastAsia="宋体" w:cs="宋体"/>
          <w:b w:val="0"/>
          <w:bCs w:val="0"/>
          <w:color w:val="auto"/>
          <w:sz w:val="24"/>
          <w:szCs w:val="24"/>
          <w:highlight w:val="none"/>
        </w:rPr>
        <w:t>提供符合</w:t>
      </w:r>
      <w:r>
        <w:rPr>
          <w:rFonts w:hint="eastAsia" w:ascii="宋体" w:hAnsi="宋体" w:eastAsia="宋体" w:cs="宋体"/>
          <w:b w:val="0"/>
          <w:bCs w:val="0"/>
          <w:color w:val="auto"/>
          <w:sz w:val="24"/>
          <w:szCs w:val="24"/>
          <w:highlight w:val="none"/>
          <w:lang w:val="en-US" w:eastAsia="zh-CN"/>
        </w:rPr>
        <w:t>谈判文件要求的其他资格</w:t>
      </w:r>
      <w:r>
        <w:rPr>
          <w:rFonts w:hint="eastAsia" w:ascii="宋体" w:hAnsi="宋体" w:eastAsia="宋体" w:cs="宋体"/>
          <w:b w:val="0"/>
          <w:bCs w:val="0"/>
          <w:color w:val="auto"/>
          <w:sz w:val="24"/>
          <w:szCs w:val="24"/>
          <w:highlight w:val="none"/>
        </w:rPr>
        <w:t>证明</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w:t>
      </w:r>
      <w:bookmarkEnd w:id="90"/>
      <w:bookmarkEnd w:id="91"/>
    </w:p>
    <w:p w14:paraId="173D2EBC">
      <w:pPr>
        <w:rPr>
          <w:rFonts w:hint="eastAsia" w:ascii="宋体" w:hAnsi="宋体" w:eastAsia="宋体" w:cs="宋体"/>
          <w:b/>
          <w:color w:val="auto"/>
          <w:sz w:val="24"/>
          <w:highlight w:val="none"/>
        </w:rPr>
      </w:pPr>
    </w:p>
    <w:p w14:paraId="3F9532A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val="0"/>
          <w:bCs/>
          <w:color w:val="auto"/>
          <w:kern w:val="2"/>
          <w:sz w:val="24"/>
          <w:highlight w:val="none"/>
          <w:lang w:val="en-US" w:eastAsia="zh-CN" w:bidi="ar-SA"/>
        </w:rPr>
      </w:pPr>
      <w:r>
        <w:rPr>
          <w:rFonts w:hint="eastAsia" w:ascii="宋体" w:hAnsi="宋体" w:eastAsia="宋体" w:cs="宋体"/>
          <w:b/>
          <w:color w:val="auto"/>
          <w:sz w:val="24"/>
          <w:highlight w:val="none"/>
          <w:lang w:val="en-US" w:eastAsia="zh-CN"/>
        </w:rPr>
        <w:br w:type="page"/>
      </w:r>
    </w:p>
    <w:p w14:paraId="2226FD4F">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五、其他技术响应证明材料</w:t>
      </w:r>
    </w:p>
    <w:p w14:paraId="7FB0A574">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谈判文件要求的其他技术响应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1C168E4F">
      <w:pPr>
        <w:rPr>
          <w:rFonts w:hint="eastAsia" w:ascii="宋体" w:hAnsi="宋体" w:eastAsia="宋体" w:cs="宋体"/>
          <w:b/>
          <w:color w:val="auto"/>
          <w:sz w:val="24"/>
          <w:highlight w:val="none"/>
        </w:rPr>
      </w:pPr>
    </w:p>
    <w:p w14:paraId="65543C3E">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bookmarkEnd w:id="84"/>
      <w:bookmarkEnd w:id="85"/>
      <w:r>
        <w:rPr>
          <w:rFonts w:hint="eastAsia" w:ascii="宋体" w:hAnsi="宋体" w:eastAsia="宋体" w:cs="宋体"/>
          <w:b/>
          <w:color w:val="auto"/>
          <w:sz w:val="24"/>
          <w:highlight w:val="none"/>
          <w:lang w:val="en-US" w:eastAsia="zh-CN"/>
        </w:rPr>
        <w:t>六、报价表</w:t>
      </w:r>
    </w:p>
    <w:p w14:paraId="74192942">
      <w:pPr>
        <w:numPr>
          <w:ilvl w:val="0"/>
          <w:numId w:val="0"/>
        </w:numPr>
        <w:spacing w:line="360" w:lineRule="auto"/>
        <w:jc w:val="both"/>
        <w:outlineLvl w:val="9"/>
        <w:rPr>
          <w:rFonts w:hint="eastAsia" w:ascii="宋体" w:hAnsi="宋体" w:eastAsia="宋体" w:cs="宋体"/>
          <w:b/>
          <w:color w:val="auto"/>
          <w:sz w:val="24"/>
          <w:highlight w:val="none"/>
          <w:lang w:val="en-US" w:eastAsia="zh-CN"/>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409A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610A976F">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noWrap w:val="0"/>
            <w:vAlign w:val="center"/>
          </w:tcPr>
          <w:p w14:paraId="025A5C61">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r w14:paraId="7E80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26B0EB2A">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谈判</w:t>
            </w:r>
            <w:r>
              <w:rPr>
                <w:rFonts w:hint="eastAsia" w:ascii="宋体" w:hAnsi="宋体" w:eastAsia="宋体" w:cs="宋体"/>
                <w:b/>
                <w:color w:val="auto"/>
                <w:sz w:val="24"/>
                <w:highlight w:val="none"/>
              </w:rPr>
              <w:t>范围</w:t>
            </w:r>
          </w:p>
        </w:tc>
        <w:tc>
          <w:tcPr>
            <w:tcW w:w="3557" w:type="pct"/>
            <w:tcBorders>
              <w:left w:val="single" w:color="auto" w:sz="4" w:space="0"/>
            </w:tcBorders>
            <w:noWrap w:val="0"/>
            <w:vAlign w:val="center"/>
          </w:tcPr>
          <w:p w14:paraId="393CFD24">
            <w:pPr>
              <w:keepNext w:val="0"/>
              <w:keepLines w:val="0"/>
              <w:pageBreakBefore w:val="0"/>
              <w:widowControl/>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全部 / 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6615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1577B16C">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26F1DA54">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noWrap w:val="0"/>
            <w:vAlign w:val="center"/>
          </w:tcPr>
          <w:p w14:paraId="575B94AB">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szCs w:val="28"/>
                <w:highlight w:val="none"/>
              </w:rPr>
            </w:pPr>
          </w:p>
          <w:p w14:paraId="41147360">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E0B3BFD">
            <w:pPr>
              <w:keepNext w:val="0"/>
              <w:keepLines w:val="0"/>
              <w:pageBreakBefore w:val="0"/>
              <w:kinsoku/>
              <w:wordWrap/>
              <w:overflowPunct/>
              <w:topLinePunct w:val="0"/>
              <w:autoSpaceDE/>
              <w:autoSpaceDN/>
              <w:bidi w:val="0"/>
              <w:adjustRightInd/>
              <w:spacing w:line="480" w:lineRule="exact"/>
              <w:ind w:right="-670"/>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33136C2">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b/>
                <w:color w:val="auto"/>
                <w:sz w:val="24"/>
                <w:highlight w:val="none"/>
              </w:rPr>
            </w:pPr>
          </w:p>
        </w:tc>
      </w:tr>
      <w:tr w14:paraId="23BA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noWrap w:val="0"/>
            <w:vAlign w:val="center"/>
          </w:tcPr>
          <w:p w14:paraId="684F4AAB">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noWrap w:val="0"/>
            <w:vAlign w:val="center"/>
          </w:tcPr>
          <w:p w14:paraId="4F349730">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bl>
    <w:p w14:paraId="32E3A6D8">
      <w:pPr>
        <w:spacing w:line="360" w:lineRule="auto"/>
        <w:ind w:firstLine="4800" w:firstLineChars="2000"/>
        <w:rPr>
          <w:rFonts w:hint="eastAsia" w:ascii="宋体" w:hAnsi="宋体" w:eastAsia="宋体" w:cs="宋体"/>
          <w:color w:val="auto"/>
          <w:sz w:val="24"/>
          <w:highlight w:val="none"/>
        </w:rPr>
      </w:pPr>
    </w:p>
    <w:p w14:paraId="6E8588FB">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16F71345">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7428156A">
      <w:pPr>
        <w:adjustRightInd w:val="0"/>
        <w:snapToGrid w:val="0"/>
        <w:spacing w:line="360" w:lineRule="auto"/>
        <w:rPr>
          <w:rFonts w:hint="eastAsia" w:ascii="宋体" w:hAnsi="宋体" w:eastAsia="宋体" w:cs="宋体"/>
          <w:b/>
          <w:bCs/>
          <w:color w:val="auto"/>
          <w:sz w:val="24"/>
          <w:szCs w:val="28"/>
          <w:highlight w:val="none"/>
        </w:rPr>
      </w:pPr>
    </w:p>
    <w:p w14:paraId="7AE31993">
      <w:pPr>
        <w:adjustRightInd w:val="0"/>
        <w:snapToGrid w:val="0"/>
        <w:spacing w:line="360" w:lineRule="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注：</w:t>
      </w:r>
    </w:p>
    <w:p w14:paraId="15FD2895">
      <w:pPr>
        <w:adjustRightInd w:val="0"/>
        <w:snapToGrid w:val="0"/>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1.本表内容根据</w:t>
      </w:r>
      <w:r>
        <w:rPr>
          <w:rFonts w:hint="eastAsia" w:ascii="宋体" w:hAnsi="宋体" w:eastAsia="宋体" w:cs="宋体"/>
          <w:b w:val="0"/>
          <w:bCs w:val="0"/>
          <w:color w:val="auto"/>
          <w:sz w:val="24"/>
          <w:szCs w:val="28"/>
          <w:highlight w:val="none"/>
          <w:lang w:eastAsia="zh-CN"/>
        </w:rPr>
        <w:t>谈判</w:t>
      </w:r>
      <w:r>
        <w:rPr>
          <w:rFonts w:hint="eastAsia" w:ascii="宋体" w:hAnsi="宋体" w:eastAsia="宋体" w:cs="宋体"/>
          <w:b w:val="0"/>
          <w:bCs w:val="0"/>
          <w:color w:val="auto"/>
          <w:sz w:val="24"/>
          <w:szCs w:val="28"/>
          <w:highlight w:val="none"/>
        </w:rPr>
        <w:t>文件要求包括了</w:t>
      </w:r>
      <w:r>
        <w:rPr>
          <w:rFonts w:hint="eastAsia" w:ascii="宋体" w:hAnsi="宋体" w:eastAsia="宋体" w:cs="宋体"/>
          <w:b w:val="0"/>
          <w:bCs w:val="0"/>
          <w:color w:val="auto"/>
          <w:sz w:val="24"/>
          <w:szCs w:val="28"/>
          <w:highlight w:val="none"/>
          <w:lang w:val="en-US" w:eastAsia="zh-CN"/>
        </w:rPr>
        <w:t>货物</w:t>
      </w:r>
      <w:r>
        <w:rPr>
          <w:rFonts w:hint="eastAsia" w:ascii="宋体" w:hAnsi="宋体" w:eastAsia="宋体" w:cs="宋体"/>
          <w:b w:val="0"/>
          <w:bCs w:val="0"/>
          <w:color w:val="auto"/>
          <w:sz w:val="24"/>
          <w:szCs w:val="28"/>
          <w:highlight w:val="none"/>
        </w:rPr>
        <w:t>及其配套的设计、采购、制造、试验、运输、保险、仓储、税费以及现场落地、安装及安装耗损、调试、培训、技术服务（包括技术资料、图纸的提供）质保期内的售后服务保障等所有费用。</w:t>
      </w:r>
    </w:p>
    <w:p w14:paraId="426BEB73">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0899C2E2">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3.表中大写金额与小写金额不一致的，以大写金额为准。</w:t>
      </w:r>
    </w:p>
    <w:p w14:paraId="7EF9EC91">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color w:val="auto"/>
          <w:sz w:val="24"/>
          <w:highlight w:val="none"/>
        </w:rPr>
        <w:br w:type="page"/>
      </w:r>
      <w:bookmarkStart w:id="92" w:name="_Toc31027"/>
      <w:bookmarkStart w:id="93" w:name="_Toc32226"/>
      <w:r>
        <w:rPr>
          <w:rFonts w:hint="eastAsia" w:ascii="宋体" w:hAnsi="宋体" w:eastAsia="宋体" w:cs="宋体"/>
          <w:b/>
          <w:color w:val="auto"/>
          <w:sz w:val="24"/>
          <w:highlight w:val="none"/>
          <w:lang w:val="en-US" w:eastAsia="zh-CN"/>
        </w:rPr>
        <w:t>七、</w:t>
      </w:r>
      <w:bookmarkEnd w:id="92"/>
      <w:bookmarkEnd w:id="93"/>
      <w:r>
        <w:rPr>
          <w:rFonts w:hint="eastAsia" w:ascii="宋体" w:hAnsi="宋体" w:eastAsia="宋体" w:cs="宋体"/>
          <w:b/>
          <w:color w:val="auto"/>
          <w:sz w:val="24"/>
          <w:highlight w:val="none"/>
          <w:lang w:val="en-US" w:eastAsia="zh-CN"/>
        </w:rPr>
        <w:t>分项报价明细表</w:t>
      </w:r>
    </w:p>
    <w:tbl>
      <w:tblPr>
        <w:tblStyle w:val="15"/>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248"/>
        <w:gridCol w:w="1130"/>
        <w:gridCol w:w="1529"/>
        <w:gridCol w:w="646"/>
        <w:gridCol w:w="757"/>
        <w:gridCol w:w="839"/>
        <w:gridCol w:w="938"/>
        <w:gridCol w:w="814"/>
      </w:tblGrid>
      <w:tr w14:paraId="431E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vAlign w:val="center"/>
          </w:tcPr>
          <w:p w14:paraId="28A8C3A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序号</w:t>
            </w:r>
          </w:p>
        </w:tc>
        <w:tc>
          <w:tcPr>
            <w:tcW w:w="709" w:type="pct"/>
            <w:vAlign w:val="center"/>
          </w:tcPr>
          <w:p w14:paraId="43B0DB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货物名称</w:t>
            </w:r>
          </w:p>
        </w:tc>
        <w:tc>
          <w:tcPr>
            <w:tcW w:w="642" w:type="pct"/>
            <w:vAlign w:val="center"/>
          </w:tcPr>
          <w:p w14:paraId="25250C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品牌、型</w:t>
            </w:r>
          </w:p>
          <w:p w14:paraId="3262E0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号</w:t>
            </w:r>
          </w:p>
        </w:tc>
        <w:tc>
          <w:tcPr>
            <w:tcW w:w="869" w:type="pct"/>
            <w:vAlign w:val="center"/>
          </w:tcPr>
          <w:p w14:paraId="5B8D2F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原产地及</w:t>
            </w:r>
          </w:p>
          <w:p w14:paraId="71CB5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生产厂商</w:t>
            </w:r>
          </w:p>
        </w:tc>
        <w:tc>
          <w:tcPr>
            <w:tcW w:w="367" w:type="pct"/>
            <w:vAlign w:val="center"/>
          </w:tcPr>
          <w:p w14:paraId="2DC6F8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单位</w:t>
            </w:r>
          </w:p>
        </w:tc>
        <w:tc>
          <w:tcPr>
            <w:tcW w:w="430" w:type="pct"/>
            <w:vAlign w:val="center"/>
          </w:tcPr>
          <w:p w14:paraId="1CD304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数量</w:t>
            </w:r>
          </w:p>
        </w:tc>
        <w:tc>
          <w:tcPr>
            <w:tcW w:w="476" w:type="pct"/>
            <w:vAlign w:val="center"/>
          </w:tcPr>
          <w:p w14:paraId="54D793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单价</w:t>
            </w:r>
          </w:p>
          <w:p w14:paraId="4DF57C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（元）</w:t>
            </w:r>
          </w:p>
        </w:tc>
        <w:tc>
          <w:tcPr>
            <w:tcW w:w="533" w:type="pct"/>
            <w:vAlign w:val="center"/>
          </w:tcPr>
          <w:p w14:paraId="037537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小计</w:t>
            </w:r>
          </w:p>
          <w:p w14:paraId="588EE9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（元）</w:t>
            </w:r>
          </w:p>
        </w:tc>
        <w:tc>
          <w:tcPr>
            <w:tcW w:w="462" w:type="pct"/>
            <w:vAlign w:val="center"/>
          </w:tcPr>
          <w:p w14:paraId="4B1174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w:t>
            </w:r>
          </w:p>
        </w:tc>
      </w:tr>
      <w:tr w14:paraId="4458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tcBorders>
              <w:bottom w:val="single" w:color="auto" w:sz="4" w:space="0"/>
            </w:tcBorders>
            <w:vAlign w:val="center"/>
          </w:tcPr>
          <w:p w14:paraId="74B955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709" w:type="pct"/>
            <w:vAlign w:val="center"/>
          </w:tcPr>
          <w:p w14:paraId="4DCAD7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149CFE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4B5B3C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282825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7DE529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09CE1B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36E37B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6FBEBC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58F1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vAlign w:val="center"/>
          </w:tcPr>
          <w:p w14:paraId="56EBE7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709" w:type="pct"/>
            <w:vAlign w:val="center"/>
          </w:tcPr>
          <w:p w14:paraId="43F8E4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70C5B6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4AC5F3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6B8FA4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0329F3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68BBB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6C76A8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60A0C1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7875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718489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709" w:type="pct"/>
            <w:vAlign w:val="center"/>
          </w:tcPr>
          <w:p w14:paraId="7C39DE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2E8CD8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34C874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4AFFFA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15CE3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1FB2A6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490696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4294A6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7E90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vAlign w:val="center"/>
          </w:tcPr>
          <w:p w14:paraId="2878B4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tc>
        <w:tc>
          <w:tcPr>
            <w:tcW w:w="709" w:type="pct"/>
            <w:vAlign w:val="center"/>
          </w:tcPr>
          <w:p w14:paraId="00673B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17791C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58C241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3CCF02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0B0D2F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52F3B8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6A08D7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21370F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4BA4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00" w:type="pct"/>
            <w:gridSpan w:val="9"/>
            <w:vAlign w:val="center"/>
          </w:tcPr>
          <w:p w14:paraId="2D3FF6D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highlight w:val="none"/>
                <w:lang w:eastAsia="zh-CN"/>
              </w:rPr>
            </w:pPr>
            <w:r>
              <w:rPr>
                <w:rFonts w:hint="eastAsia" w:ascii="宋体" w:hAnsi="宋体" w:eastAsia="宋体" w:cs="宋体"/>
                <w:b/>
                <w:bCs/>
                <w:color w:val="auto"/>
                <w:sz w:val="24"/>
                <w:szCs w:val="22"/>
                <w:highlight w:val="none"/>
              </w:rPr>
              <w:t>其他费用</w:t>
            </w: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与货物配套有关服务等，供应商可自行制作格式，如无需可删除</w:t>
            </w:r>
            <w:r>
              <w:rPr>
                <w:rFonts w:hint="eastAsia" w:ascii="宋体" w:hAnsi="宋体" w:eastAsia="宋体" w:cs="宋体"/>
                <w:b w:val="0"/>
                <w:bCs w:val="0"/>
                <w:color w:val="auto"/>
                <w:sz w:val="24"/>
                <w:szCs w:val="22"/>
                <w:highlight w:val="none"/>
                <w:lang w:eastAsia="zh-CN"/>
              </w:rPr>
              <w:t>）</w:t>
            </w:r>
          </w:p>
        </w:tc>
      </w:tr>
      <w:tr w14:paraId="5EB6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shd w:val="clear" w:color="auto" w:fill="auto"/>
            <w:vAlign w:val="center"/>
          </w:tcPr>
          <w:p w14:paraId="371A7B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序号</w:t>
            </w:r>
          </w:p>
        </w:tc>
        <w:tc>
          <w:tcPr>
            <w:tcW w:w="1351" w:type="pct"/>
            <w:gridSpan w:val="2"/>
            <w:shd w:val="clear" w:color="auto" w:fill="auto"/>
            <w:vAlign w:val="center"/>
          </w:tcPr>
          <w:p w14:paraId="4EC7AC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lang w:val="en-US" w:eastAsia="zh-CN"/>
              </w:rPr>
              <w:t>名称</w:t>
            </w:r>
          </w:p>
        </w:tc>
        <w:tc>
          <w:tcPr>
            <w:tcW w:w="869" w:type="pct"/>
            <w:shd w:val="clear" w:color="auto" w:fill="auto"/>
            <w:vAlign w:val="center"/>
          </w:tcPr>
          <w:p w14:paraId="3CC5AE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lang w:val="en-US" w:eastAsia="zh-CN"/>
              </w:rPr>
              <w:t>数量/</w:t>
            </w:r>
            <w:r>
              <w:rPr>
                <w:rFonts w:hint="eastAsia" w:ascii="宋体" w:hAnsi="宋体" w:eastAsia="宋体" w:cs="宋体"/>
                <w:b/>
                <w:color w:val="auto"/>
                <w:sz w:val="24"/>
                <w:highlight w:val="none"/>
              </w:rPr>
              <w:t>项</w:t>
            </w:r>
          </w:p>
        </w:tc>
        <w:tc>
          <w:tcPr>
            <w:tcW w:w="797" w:type="pct"/>
            <w:gridSpan w:val="2"/>
            <w:shd w:val="clear" w:color="auto" w:fill="auto"/>
            <w:vAlign w:val="center"/>
          </w:tcPr>
          <w:p w14:paraId="60C35D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单价</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元</w:t>
            </w:r>
            <w:r>
              <w:rPr>
                <w:rFonts w:hint="eastAsia" w:ascii="宋体" w:hAnsi="宋体" w:eastAsia="宋体" w:cs="宋体"/>
                <w:b/>
                <w:color w:val="auto"/>
                <w:sz w:val="24"/>
                <w:highlight w:val="none"/>
                <w:lang w:eastAsia="zh-CN"/>
              </w:rPr>
              <w:t>）</w:t>
            </w:r>
          </w:p>
        </w:tc>
        <w:tc>
          <w:tcPr>
            <w:tcW w:w="1472" w:type="pct"/>
            <w:gridSpan w:val="3"/>
            <w:shd w:val="clear" w:color="auto" w:fill="auto"/>
            <w:vAlign w:val="center"/>
          </w:tcPr>
          <w:p w14:paraId="07EE3C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小计（元）</w:t>
            </w:r>
          </w:p>
        </w:tc>
      </w:tr>
      <w:tr w14:paraId="5839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656452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351" w:type="pct"/>
            <w:gridSpan w:val="2"/>
            <w:vAlign w:val="center"/>
          </w:tcPr>
          <w:p w14:paraId="2BE06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72BDD2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544609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6213EC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3918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1CB322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1351" w:type="pct"/>
            <w:gridSpan w:val="2"/>
            <w:vAlign w:val="center"/>
          </w:tcPr>
          <w:p w14:paraId="1DCEE6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2EA186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35D873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0C3602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1C3E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3A82D8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tc>
        <w:tc>
          <w:tcPr>
            <w:tcW w:w="1351" w:type="pct"/>
            <w:gridSpan w:val="2"/>
            <w:vAlign w:val="center"/>
          </w:tcPr>
          <w:p w14:paraId="6A22FF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6487C6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4F10DC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5385B6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3838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860" w:type="pct"/>
            <w:gridSpan w:val="3"/>
            <w:vAlign w:val="center"/>
          </w:tcPr>
          <w:p w14:paraId="54167F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总</w:t>
            </w:r>
            <w:r>
              <w:rPr>
                <w:rFonts w:hint="eastAsia" w:ascii="宋体" w:hAnsi="宋体" w:eastAsia="宋体" w:cs="宋体"/>
                <w:b/>
                <w:bCs/>
                <w:color w:val="auto"/>
                <w:sz w:val="24"/>
                <w:highlight w:val="none"/>
              </w:rPr>
              <w:t>计（元）</w:t>
            </w:r>
          </w:p>
        </w:tc>
        <w:tc>
          <w:tcPr>
            <w:tcW w:w="3139" w:type="pct"/>
            <w:gridSpan w:val="6"/>
            <w:vAlign w:val="center"/>
          </w:tcPr>
          <w:p w14:paraId="43BA24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bl>
    <w:p w14:paraId="4645BA4E">
      <w:pPr>
        <w:spacing w:line="360" w:lineRule="auto"/>
        <w:ind w:firstLine="4800" w:firstLineChars="2000"/>
        <w:rPr>
          <w:rFonts w:hint="eastAsia" w:ascii="宋体" w:hAnsi="宋体" w:eastAsia="宋体" w:cs="宋体"/>
          <w:color w:val="auto"/>
          <w:sz w:val="24"/>
          <w:highlight w:val="none"/>
        </w:rPr>
      </w:pPr>
    </w:p>
    <w:p w14:paraId="207123DF">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电子签章：</w:t>
      </w:r>
      <w:r>
        <w:rPr>
          <w:rFonts w:hint="eastAsia" w:ascii="宋体" w:hAnsi="宋体" w:eastAsia="宋体" w:cs="宋体"/>
          <w:color w:val="auto"/>
          <w:sz w:val="24"/>
          <w:highlight w:val="none"/>
          <w:u w:val="single"/>
        </w:rPr>
        <w:t xml:space="preserve">             </w:t>
      </w:r>
    </w:p>
    <w:p w14:paraId="443BABCA">
      <w:pPr>
        <w:tabs>
          <w:tab w:val="left" w:pos="630"/>
        </w:tabs>
        <w:spacing w:line="360" w:lineRule="auto"/>
        <w:ind w:firstLine="4800" w:firstLineChars="2000"/>
        <w:rPr>
          <w:rFonts w:hint="eastAsia" w:ascii="宋体" w:hAnsi="宋体" w:eastAsia="宋体" w:cs="宋体"/>
          <w:b/>
          <w:bCs/>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9020E40">
      <w:pPr>
        <w:adjustRightInd w:val="0"/>
        <w:snapToGrid w:val="0"/>
        <w:spacing w:line="360" w:lineRule="auto"/>
        <w:rPr>
          <w:rFonts w:hint="eastAsia" w:ascii="宋体" w:hAnsi="宋体" w:eastAsia="宋体" w:cs="宋体"/>
          <w:b/>
          <w:bCs/>
          <w:color w:val="auto"/>
          <w:sz w:val="24"/>
          <w:szCs w:val="28"/>
          <w:highlight w:val="none"/>
          <w:lang w:eastAsia="zh-CN"/>
        </w:rPr>
      </w:pPr>
      <w:r>
        <w:rPr>
          <w:rFonts w:hint="eastAsia" w:ascii="宋体" w:hAnsi="宋体" w:eastAsia="宋体" w:cs="宋体"/>
          <w:b/>
          <w:bCs/>
          <w:color w:val="auto"/>
          <w:sz w:val="24"/>
          <w:szCs w:val="28"/>
          <w:highlight w:val="none"/>
          <w:lang w:eastAsia="zh-CN"/>
        </w:rPr>
        <w:t>注：</w:t>
      </w:r>
    </w:p>
    <w:p w14:paraId="11B4869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6E594B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2.表中须明确列出所投产品的货物名称、品牌、型号、原产地及生产厂商，否则可能导致</w:t>
      </w:r>
      <w:r>
        <w:rPr>
          <w:rFonts w:hint="eastAsia" w:ascii="宋体" w:hAnsi="宋体" w:eastAsia="宋体" w:cs="宋体"/>
          <w:b/>
          <w:bCs/>
          <w:color w:val="auto"/>
          <w:sz w:val="24"/>
          <w:highlight w:val="none"/>
        </w:rPr>
        <w:t>响应无效</w:t>
      </w:r>
      <w:r>
        <w:rPr>
          <w:rFonts w:hint="eastAsia" w:ascii="宋体" w:hAnsi="宋体" w:eastAsia="宋体" w:cs="宋体"/>
          <w:color w:val="auto"/>
          <w:sz w:val="24"/>
          <w:highlight w:val="none"/>
        </w:rPr>
        <w:t>。</w:t>
      </w:r>
    </w:p>
    <w:p w14:paraId="6C92856D">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val="0"/>
          <w:bCs w:val="0"/>
          <w:color w:val="auto"/>
          <w:sz w:val="24"/>
          <w:highlight w:val="none"/>
          <w:lang w:val="en-US" w:eastAsia="zh-CN"/>
        </w:rPr>
        <w:t>3.考虑谈判报价的方便，若采购文件无特殊规定，供应商在填写最后报价后，根据（第一次报价-最后报价）除以第一次报价后得出的优惠率视同为分项报价明细表中全部分项设备、工程量或服务的优惠浮动值（特定分项优惠除外），而不考虑措施项目清单和规费税金清单的金额改变。此优惠率调整原则适用于合同内价格的计算及项目增减、变更时价格的计算。</w:t>
      </w:r>
      <w:bookmarkStart w:id="94" w:name="_Toc20329"/>
    </w:p>
    <w:bookmarkEnd w:id="94"/>
    <w:p w14:paraId="449FDE0D">
      <w:pPr>
        <w:spacing w:line="360" w:lineRule="auto"/>
        <w:jc w:val="center"/>
        <w:outlineLvl w:val="1"/>
        <w:rPr>
          <w:rFonts w:hint="eastAsia" w:ascii="宋体" w:hAnsi="宋体" w:eastAsia="宋体" w:cs="宋体"/>
          <w:b/>
          <w:color w:val="auto"/>
          <w:sz w:val="24"/>
          <w:highlight w:val="none"/>
          <w:lang w:val="en-US" w:eastAsia="zh-CN"/>
        </w:rPr>
      </w:pPr>
      <w:bookmarkStart w:id="95" w:name="_Toc26536"/>
      <w:bookmarkStart w:id="96" w:name="_Toc23860"/>
      <w:bookmarkStart w:id="97" w:name="_Hlk11701496"/>
      <w:bookmarkStart w:id="98" w:name="_Toc457768004"/>
      <w:bookmarkStart w:id="99" w:name="_Toc300210382"/>
      <w:bookmarkStart w:id="100" w:name="_Toc520299348"/>
      <w:r>
        <w:rPr>
          <w:rFonts w:hint="eastAsia" w:ascii="宋体" w:hAnsi="宋体" w:eastAsia="宋体" w:cs="宋体"/>
          <w:b/>
          <w:bCs w:val="0"/>
          <w:color w:val="auto"/>
          <w:sz w:val="24"/>
          <w:highlight w:val="none"/>
          <w:lang w:val="en-US" w:eastAsia="zh-CN"/>
        </w:rPr>
        <w:br w:type="page"/>
      </w:r>
      <w:bookmarkEnd w:id="95"/>
      <w:bookmarkEnd w:id="96"/>
      <w:bookmarkEnd w:id="97"/>
      <w:bookmarkEnd w:id="98"/>
      <w:bookmarkEnd w:id="99"/>
      <w:bookmarkEnd w:id="100"/>
      <w:r>
        <w:rPr>
          <w:rFonts w:hint="eastAsia" w:ascii="宋体" w:hAnsi="宋体" w:eastAsia="宋体" w:cs="宋体"/>
          <w:b/>
          <w:color w:val="auto"/>
          <w:sz w:val="24"/>
          <w:highlight w:val="none"/>
          <w:lang w:val="en-US" w:eastAsia="zh-CN"/>
        </w:rPr>
        <w:t>八、其他报价响应证明材料</w:t>
      </w:r>
    </w:p>
    <w:p w14:paraId="2761C067">
      <w:pPr>
        <w:widowControl/>
        <w:jc w:val="center"/>
        <w:rPr>
          <w:rFonts w:hint="eastAsia" w:ascii="宋体" w:hAnsi="宋体" w:eastAsia="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谈判文件要求的其他报价响应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48C5A063">
      <w:pPr>
        <w:widowControl/>
        <w:jc w:val="both"/>
        <w:rPr>
          <w:rFonts w:hint="eastAsia" w:ascii="宋体" w:hAnsi="宋体" w:eastAsia="宋体"/>
          <w:color w:val="auto"/>
          <w:sz w:val="24"/>
          <w:highlight w:val="none"/>
          <w:lang w:eastAsia="zh-CN"/>
        </w:rPr>
      </w:pPr>
    </w:p>
    <w:p w14:paraId="48508BAF">
      <w:pPr>
        <w:widowControl/>
        <w:jc w:val="center"/>
        <w:rPr>
          <w:rFonts w:hint="eastAsia" w:ascii="宋体" w:hAnsi="宋体" w:eastAsia="宋体"/>
          <w:color w:val="auto"/>
          <w:sz w:val="24"/>
          <w:highlight w:val="none"/>
          <w:lang w:eastAsia="zh-CN"/>
        </w:rPr>
      </w:pPr>
    </w:p>
    <w:p w14:paraId="075CEDF4">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2913C13A">
      <w:pPr>
        <w:spacing w:line="360" w:lineRule="auto"/>
        <w:jc w:val="center"/>
        <w:outlineLvl w:val="0"/>
        <w:rPr>
          <w:rFonts w:ascii="宋体" w:hAnsi="宋体" w:eastAsia="宋体"/>
          <w:b/>
          <w:bCs/>
          <w:color w:val="auto"/>
          <w:sz w:val="28"/>
          <w:highlight w:val="none"/>
        </w:rPr>
      </w:pPr>
      <w:bookmarkStart w:id="101" w:name="_Toc60608832"/>
      <w:bookmarkStart w:id="102" w:name="_Toc11034"/>
      <w:bookmarkStart w:id="103" w:name="_Toc10319"/>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101"/>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2"/>
      <w:bookmarkEnd w:id="103"/>
    </w:p>
    <w:p w14:paraId="55C5395E">
      <w:pPr>
        <w:spacing w:line="360" w:lineRule="auto"/>
        <w:jc w:val="center"/>
        <w:outlineLvl w:val="1"/>
        <w:rPr>
          <w:rFonts w:ascii="仿宋" w:hAnsi="仿宋" w:eastAsia="仿宋" w:cs="仿宋"/>
          <w:b/>
          <w:bCs/>
          <w:color w:val="auto"/>
          <w:sz w:val="32"/>
          <w:szCs w:val="44"/>
          <w:highlight w:val="none"/>
        </w:rPr>
      </w:pPr>
      <w:bookmarkStart w:id="104" w:name="_Toc12954"/>
      <w:bookmarkStart w:id="105" w:name="_Toc28375"/>
      <w:r>
        <w:rPr>
          <w:rFonts w:hint="eastAsia" w:ascii="仿宋" w:hAnsi="仿宋" w:eastAsia="仿宋" w:cs="仿宋"/>
          <w:b/>
          <w:bCs/>
          <w:color w:val="auto"/>
          <w:sz w:val="32"/>
          <w:szCs w:val="44"/>
          <w:highlight w:val="none"/>
        </w:rPr>
        <w:t>询问函范本</w:t>
      </w:r>
      <w:bookmarkEnd w:id="104"/>
      <w:bookmarkEnd w:id="105"/>
    </w:p>
    <w:p w14:paraId="6F6876D8">
      <w:pPr>
        <w:adjustRightInd w:val="0"/>
        <w:snapToGrid w:val="0"/>
        <w:spacing w:line="360" w:lineRule="auto"/>
        <w:jc w:val="center"/>
        <w:rPr>
          <w:rFonts w:hint="eastAsia" w:cs="仿宋" w:asciiTheme="minorEastAsia" w:hAnsiTheme="minorEastAsia" w:eastAsiaTheme="minorEastAsia"/>
          <w:i/>
          <w:iCs/>
          <w:color w:val="auto"/>
          <w:sz w:val="24"/>
          <w:szCs w:val="24"/>
          <w:highlight w:val="none"/>
        </w:rPr>
      </w:pPr>
      <w:r>
        <w:rPr>
          <w:rFonts w:hint="eastAsia" w:cs="仿宋" w:asciiTheme="minorEastAsia" w:hAnsiTheme="minorEastAsia" w:eastAsiaTheme="minorEastAsia"/>
          <w:i/>
          <w:iCs/>
          <w:color w:val="auto"/>
          <w:sz w:val="24"/>
          <w:szCs w:val="24"/>
          <w:highlight w:val="none"/>
        </w:rPr>
        <w:t>（如为对采购文件或采购程序的询问或疑问，</w:t>
      </w:r>
      <w:r>
        <w:rPr>
          <w:rFonts w:hint="eastAsia" w:cs="仿宋" w:asciiTheme="minorEastAsia" w:hAnsiTheme="minorEastAsia" w:eastAsiaTheme="minorEastAsia"/>
          <w:i/>
          <w:iCs/>
          <w:color w:val="auto"/>
          <w:sz w:val="24"/>
          <w:szCs w:val="24"/>
          <w:highlight w:val="none"/>
          <w:lang w:val="en-US" w:eastAsia="zh-CN"/>
        </w:rPr>
        <w:t>可</w:t>
      </w:r>
      <w:r>
        <w:rPr>
          <w:rFonts w:hint="eastAsia" w:cs="仿宋" w:asciiTheme="minorEastAsia" w:hAnsiTheme="minorEastAsia" w:eastAsiaTheme="minorEastAsia"/>
          <w:i/>
          <w:iCs/>
          <w:color w:val="auto"/>
          <w:sz w:val="24"/>
          <w:szCs w:val="24"/>
          <w:highlight w:val="none"/>
        </w:rPr>
        <w:t>按询问函范本</w:t>
      </w:r>
      <w:r>
        <w:rPr>
          <w:rFonts w:hint="eastAsia" w:cs="仿宋" w:asciiTheme="minorEastAsia" w:hAnsiTheme="minorEastAsia" w:eastAsiaTheme="minorEastAsia"/>
          <w:i/>
          <w:iCs/>
          <w:color w:val="auto"/>
          <w:sz w:val="24"/>
          <w:szCs w:val="24"/>
          <w:highlight w:val="none"/>
          <w:lang w:eastAsia="zh-CN"/>
        </w:rPr>
        <w:t>在</w:t>
      </w:r>
      <w:r>
        <w:rPr>
          <w:rFonts w:hint="eastAsia" w:cs="仿宋" w:asciiTheme="minorEastAsia" w:hAnsiTheme="minorEastAsia" w:eastAsiaTheme="minorEastAsia"/>
          <w:i/>
          <w:iCs/>
          <w:color w:val="auto"/>
          <w:sz w:val="24"/>
          <w:szCs w:val="24"/>
          <w:highlight w:val="none"/>
        </w:rPr>
        <w:t>电子交易系统</w:t>
      </w:r>
      <w:r>
        <w:rPr>
          <w:rFonts w:hint="eastAsia" w:cs="仿宋" w:asciiTheme="minorEastAsia" w:hAnsiTheme="minorEastAsia" w:eastAsiaTheme="minorEastAsia"/>
          <w:i/>
          <w:iCs/>
          <w:color w:val="auto"/>
          <w:sz w:val="24"/>
          <w:szCs w:val="24"/>
          <w:highlight w:val="none"/>
          <w:lang w:val="en-US" w:eastAsia="zh-CN"/>
        </w:rPr>
        <w:t>作为</w:t>
      </w:r>
      <w:r>
        <w:rPr>
          <w:rFonts w:hint="eastAsia" w:cs="仿宋" w:asciiTheme="minorEastAsia" w:hAnsiTheme="minorEastAsia" w:eastAsiaTheme="minorEastAsia"/>
          <w:i/>
          <w:iCs/>
          <w:color w:val="auto"/>
          <w:sz w:val="24"/>
          <w:szCs w:val="24"/>
          <w:highlight w:val="none"/>
        </w:rPr>
        <w:t>网上询问附件进行提交</w:t>
      </w:r>
      <w:r>
        <w:rPr>
          <w:rFonts w:hint="eastAsia" w:cs="仿宋" w:asciiTheme="minorEastAsia" w:hAnsiTheme="minorEastAsia" w:eastAsiaTheme="minorEastAsia"/>
          <w:i/>
          <w:iCs/>
          <w:color w:val="auto"/>
          <w:sz w:val="24"/>
          <w:szCs w:val="24"/>
          <w:highlight w:val="none"/>
          <w:lang w:eastAsia="zh-CN"/>
        </w:rPr>
        <w:t>，《询问函</w:t>
      </w:r>
      <w:r>
        <w:rPr>
          <w:rFonts w:hint="eastAsia" w:cs="仿宋" w:asciiTheme="minorEastAsia" w:hAnsiTheme="minorEastAsia" w:eastAsiaTheme="minorEastAsia"/>
          <w:i/>
          <w:iCs/>
          <w:color w:val="auto"/>
          <w:sz w:val="24"/>
          <w:szCs w:val="24"/>
          <w:highlight w:val="none"/>
          <w:lang w:val="en-US" w:eastAsia="zh-CN"/>
        </w:rPr>
        <w:t>范本</w:t>
      </w:r>
      <w:r>
        <w:rPr>
          <w:rFonts w:hint="eastAsia" w:cs="仿宋" w:asciiTheme="minorEastAsia" w:hAnsiTheme="minorEastAsia" w:eastAsiaTheme="minorEastAsia"/>
          <w:i/>
          <w:iCs/>
          <w:color w:val="auto"/>
          <w:sz w:val="24"/>
          <w:szCs w:val="24"/>
          <w:highlight w:val="none"/>
          <w:lang w:eastAsia="zh-CN"/>
        </w:rPr>
        <w:t>》</w:t>
      </w:r>
      <w:r>
        <w:rPr>
          <w:rFonts w:hint="eastAsia" w:cs="仿宋" w:asciiTheme="minorEastAsia" w:hAnsiTheme="minorEastAsia" w:eastAsiaTheme="minorEastAsia"/>
          <w:i/>
          <w:iCs/>
          <w:color w:val="auto"/>
          <w:sz w:val="24"/>
          <w:szCs w:val="24"/>
          <w:highlight w:val="none"/>
          <w:lang w:val="en-US" w:eastAsia="zh-CN"/>
        </w:rPr>
        <w:t>仅为</w:t>
      </w:r>
      <w:r>
        <w:rPr>
          <w:rFonts w:hint="eastAsia" w:cs="仿宋" w:asciiTheme="minorEastAsia" w:hAnsiTheme="minorEastAsia" w:eastAsiaTheme="minorEastAsia"/>
          <w:i/>
          <w:iCs/>
          <w:color w:val="auto"/>
          <w:sz w:val="24"/>
          <w:szCs w:val="24"/>
          <w:highlight w:val="none"/>
          <w:lang w:eastAsia="zh-CN"/>
        </w:rPr>
        <w:t>便于供应商通过网上询问反馈诉求，</w:t>
      </w:r>
      <w:r>
        <w:rPr>
          <w:rFonts w:hint="eastAsia" w:cs="仿宋" w:asciiTheme="minorEastAsia" w:hAnsiTheme="minorEastAsia" w:eastAsiaTheme="minorEastAsia"/>
          <w:i/>
          <w:iCs/>
          <w:color w:val="auto"/>
          <w:sz w:val="24"/>
          <w:szCs w:val="24"/>
          <w:highlight w:val="none"/>
          <w:lang w:val="en-US" w:eastAsia="zh-CN"/>
        </w:rPr>
        <w:t>不强制使用</w:t>
      </w:r>
      <w:r>
        <w:rPr>
          <w:rFonts w:hint="eastAsia" w:cs="仿宋" w:asciiTheme="minorEastAsia" w:hAnsiTheme="minorEastAsia" w:eastAsiaTheme="minorEastAsia"/>
          <w:i/>
          <w:iCs/>
          <w:color w:val="auto"/>
          <w:sz w:val="24"/>
          <w:szCs w:val="24"/>
          <w:highlight w:val="none"/>
        </w:rPr>
        <w:t>）</w:t>
      </w:r>
    </w:p>
    <w:p w14:paraId="6D5B9C0F">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084CAB9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C74ABAE">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6" w:name="_Toc23584"/>
      <w:bookmarkStart w:id="107" w:name="_Toc29009"/>
      <w:r>
        <w:rPr>
          <w:rFonts w:hint="eastAsia" w:cs="仿宋" w:asciiTheme="minorEastAsia" w:hAnsiTheme="minorEastAsia" w:eastAsiaTheme="minorEastAsia"/>
          <w:color w:val="auto"/>
          <w:sz w:val="24"/>
          <w:szCs w:val="24"/>
          <w:highlight w:val="none"/>
        </w:rPr>
        <w:t>一、(事项一)</w:t>
      </w:r>
      <w:bookmarkEnd w:id="106"/>
      <w:bookmarkEnd w:id="107"/>
    </w:p>
    <w:p w14:paraId="5860A7B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DFEF6D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0D507AA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ABB964">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8" w:name="_Toc18220"/>
      <w:bookmarkStart w:id="109" w:name="_Toc16254"/>
      <w:r>
        <w:rPr>
          <w:rFonts w:hint="eastAsia" w:cs="仿宋" w:asciiTheme="minorEastAsia" w:hAnsiTheme="minorEastAsia" w:eastAsiaTheme="minorEastAsia"/>
          <w:color w:val="auto"/>
          <w:sz w:val="24"/>
          <w:szCs w:val="24"/>
          <w:highlight w:val="none"/>
        </w:rPr>
        <w:t>二、(事项二)</w:t>
      </w:r>
      <w:bookmarkEnd w:id="108"/>
      <w:bookmarkEnd w:id="109"/>
    </w:p>
    <w:p w14:paraId="114DEA01">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AF5E4D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随附相关证明材料如下</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lang w:val="en-US" w:eastAsia="zh-CN"/>
        </w:rPr>
        <w:t>如有</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 xml:space="preserve">： </w:t>
      </w:r>
    </w:p>
    <w:p w14:paraId="317B7B19">
      <w:pPr>
        <w:tabs>
          <w:tab w:val="left" w:pos="630"/>
        </w:tabs>
        <w:spacing w:line="360" w:lineRule="auto"/>
        <w:ind w:firstLine="4228" w:firstLineChars="1762"/>
        <w:rPr>
          <w:rFonts w:hint="eastAsia" w:asciiTheme="minorEastAsia" w:hAnsiTheme="minorEastAsia" w:eastAsiaTheme="minorEastAsia"/>
          <w:color w:val="auto"/>
          <w:sz w:val="24"/>
          <w:highlight w:val="none"/>
        </w:rPr>
      </w:pPr>
    </w:p>
    <w:p w14:paraId="08A3406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696E4CF">
      <w:pPr>
        <w:jc w:val="center"/>
        <w:outlineLvl w:val="1"/>
        <w:rPr>
          <w:rFonts w:hint="eastAsia" w:ascii="仿宋" w:hAnsi="仿宋" w:eastAsia="仿宋" w:cs="仿宋"/>
          <w:b/>
          <w:bCs/>
          <w:color w:val="auto"/>
          <w:sz w:val="32"/>
          <w:szCs w:val="44"/>
          <w:highlight w:val="none"/>
        </w:rPr>
        <w:sectPr>
          <w:headerReference r:id="rId4" w:type="default"/>
          <w:footerReference r:id="rId5" w:type="default"/>
          <w:pgSz w:w="11906" w:h="16838"/>
          <w:pgMar w:top="1440" w:right="1800" w:bottom="1440" w:left="1800" w:header="851" w:footer="992" w:gutter="0"/>
          <w:pgNumType w:fmt="decimal"/>
          <w:cols w:space="425" w:num="1"/>
          <w:docGrid w:type="lines" w:linePitch="312" w:charSpace="0"/>
        </w:sectPr>
      </w:pPr>
      <w:bookmarkStart w:id="110" w:name="_Toc6176"/>
      <w:bookmarkStart w:id="111" w:name="_Toc18073"/>
    </w:p>
    <w:p w14:paraId="5A3EEFC0">
      <w:pPr>
        <w:jc w:val="center"/>
        <w:outlineLvl w:val="1"/>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bookmarkEnd w:id="110"/>
      <w:bookmarkEnd w:id="111"/>
    </w:p>
    <w:p w14:paraId="2D420D2C">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112" w:name="_Toc17682"/>
      <w:bookmarkStart w:id="113" w:name="_Toc21548"/>
      <w:r>
        <w:rPr>
          <w:rFonts w:hint="eastAsia" w:cs="仿宋" w:asciiTheme="minorEastAsia" w:hAnsiTheme="minorEastAsia" w:eastAsiaTheme="minorEastAsia"/>
          <w:b/>
          <w:bCs/>
          <w:color w:val="auto"/>
          <w:sz w:val="24"/>
          <w:szCs w:val="24"/>
          <w:highlight w:val="none"/>
        </w:rPr>
        <w:t>一、质疑供应商基本信息</w:t>
      </w:r>
      <w:bookmarkEnd w:id="112"/>
      <w:bookmarkEnd w:id="113"/>
    </w:p>
    <w:p w14:paraId="3377F94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E9009F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6F7A63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1C037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080FCB1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C65AF4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26AB290">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4" w:name="_Toc9149"/>
      <w:bookmarkStart w:id="115" w:name="_Toc5180"/>
      <w:r>
        <w:rPr>
          <w:rFonts w:hint="eastAsia" w:cs="仿宋" w:asciiTheme="minorEastAsia" w:hAnsiTheme="minorEastAsia" w:eastAsiaTheme="minorEastAsia"/>
          <w:b/>
          <w:bCs/>
          <w:color w:val="auto"/>
          <w:sz w:val="24"/>
          <w:szCs w:val="24"/>
          <w:highlight w:val="none"/>
        </w:rPr>
        <w:t>二、质疑项目基本情况</w:t>
      </w:r>
      <w:bookmarkEnd w:id="114"/>
      <w:bookmarkEnd w:id="115"/>
    </w:p>
    <w:p w14:paraId="41F71FB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DF823B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4AED95F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26F5A79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6818C72">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6" w:name="_Toc29996"/>
      <w:bookmarkStart w:id="117" w:name="_Toc14494"/>
      <w:r>
        <w:rPr>
          <w:rFonts w:hint="eastAsia" w:cs="仿宋" w:asciiTheme="minorEastAsia" w:hAnsiTheme="minorEastAsia" w:eastAsiaTheme="minorEastAsia"/>
          <w:b/>
          <w:bCs/>
          <w:color w:val="auto"/>
          <w:sz w:val="24"/>
          <w:szCs w:val="24"/>
          <w:highlight w:val="none"/>
        </w:rPr>
        <w:t>三、质疑事项具体内容</w:t>
      </w:r>
      <w:bookmarkEnd w:id="116"/>
      <w:bookmarkEnd w:id="117"/>
    </w:p>
    <w:p w14:paraId="3510AA4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15D0685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5A423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595B37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FE5A9E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11591C6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2B7F86C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BA27C2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8" w:name="_Toc7296"/>
      <w:bookmarkStart w:id="119" w:name="_Toc814"/>
      <w:r>
        <w:rPr>
          <w:rFonts w:hint="eastAsia" w:cs="仿宋" w:asciiTheme="minorEastAsia" w:hAnsiTheme="minorEastAsia" w:eastAsiaTheme="minorEastAsia"/>
          <w:b/>
          <w:bCs/>
          <w:color w:val="auto"/>
          <w:sz w:val="24"/>
          <w:szCs w:val="24"/>
          <w:highlight w:val="none"/>
        </w:rPr>
        <w:t>四、与质疑事项相关的质疑请求</w:t>
      </w:r>
      <w:bookmarkEnd w:id="118"/>
      <w:bookmarkEnd w:id="119"/>
    </w:p>
    <w:p w14:paraId="349749E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6E22096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5B2BDF32">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27CA70A9">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4E034B1">
      <w:pPr>
        <w:outlineLvl w:val="0"/>
        <w:rPr>
          <w:rFonts w:asciiTheme="minorEastAsia" w:hAnsiTheme="minorEastAsia" w:eastAsiaTheme="minorEastAsia"/>
          <w:b/>
          <w:color w:val="auto"/>
          <w:sz w:val="28"/>
          <w:szCs w:val="32"/>
          <w:highlight w:val="none"/>
        </w:rPr>
      </w:pPr>
      <w:bookmarkStart w:id="120" w:name="_Toc26567"/>
      <w:bookmarkStart w:id="121" w:name="_Toc3093"/>
      <w:r>
        <w:rPr>
          <w:rFonts w:hint="eastAsia" w:asciiTheme="minorEastAsia" w:hAnsiTheme="minorEastAsia" w:eastAsiaTheme="minorEastAsia"/>
          <w:b/>
          <w:color w:val="auto"/>
          <w:sz w:val="28"/>
          <w:szCs w:val="32"/>
          <w:highlight w:val="none"/>
        </w:rPr>
        <w:t>质疑函制作说明：</w:t>
      </w:r>
      <w:bookmarkEnd w:id="120"/>
      <w:bookmarkEnd w:id="121"/>
    </w:p>
    <w:p w14:paraId="7F3DCD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542D3D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2FF79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08F9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EB8A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40A38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37B692">
      <w:pPr>
        <w:rPr>
          <w:color w:val="auto"/>
          <w:highlight w:val="none"/>
        </w:rPr>
      </w:pPr>
    </w:p>
    <w:sectPr>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61B71F-B9A6-402A-A108-67F68FD00C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DF4CF4F-FD9F-4D24-8FFC-599AF53D7916}"/>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2C8E930A-BC91-4046-9240-DA5E3529C43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6DD6B61E-3A4C-4AD5-A1FB-AE6A93FDC17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993BA">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posOffset>1356360</wp:posOffset>
              </wp:positionH>
              <wp:positionV relativeFrom="paragraph">
                <wp:posOffset>-26035</wp:posOffset>
              </wp:positionV>
              <wp:extent cx="2215515" cy="2736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15515" cy="273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F31C9">
                          <w:pPr>
                            <w:pStyle w:val="8"/>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06.8pt;margin-top:-2.05pt;height:21.55pt;width:174.45pt;mso-position-horizontal-relative:margin;z-index:251659264;mso-width-relative:page;mso-height-relative:page;" filled="f" stroked="f" coordsize="21600,21600" o:gfxdata="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UmUhTYAAAACQEAAA8AAAAAAAAAAQAgAAAAIgAAAGRycy9kb3du&#10;cmV2LnhtbFBLAQIUABQAAAAIAIdO4kD/K8shOAIAAGIEAAAOAAAAAAAAAAEAIAAAACcBAABkcnMv&#10;ZTJvRG9jLnhtbFBLBQYAAAAABgAGAFkBAADRBQAAAAA=&#10;">
              <v:fill on="f" focussize="0,0"/>
              <v:stroke on="f" weight="0.5pt"/>
              <v:imagedata o:title=""/>
              <o:lock v:ext="edit" aspectratio="f"/>
              <v:textbox inset="0mm,0mm,0mm,0mm">
                <w:txbxContent>
                  <w:p w14:paraId="7C9F31C9">
                    <w:pPr>
                      <w:pStyle w:val="8"/>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DF9C5">
    <w:pPr>
      <w:pStyle w:val="8"/>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posOffset>2066925</wp:posOffset>
              </wp:positionH>
              <wp:positionV relativeFrom="paragraph">
                <wp:posOffset>0</wp:posOffset>
              </wp:positionV>
              <wp:extent cx="1901190" cy="3340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01190" cy="334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66756">
                          <w:pPr>
                            <w:pStyle w:val="8"/>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50</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62.75pt;margin-top:0pt;height:26.3pt;width:149.7pt;mso-position-horizontal-relative:margin;z-index:251660288;mso-width-relative:page;mso-height-relative:page;" filled="f" stroked="f" coordsize="21600,21600" o:gfxdata="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8j8pvWAAAABwEAAA8AAAAAAAAAAQAgAAAAIgAAAGRycy9kb3ducmV2&#10;LnhtbFBLAQIUABQAAAAIAIdO4kCKbeI3NwIAAGIEAAAOAAAAAAAAAAEAIAAAACUBAABkcnMvZTJv&#10;RG9jLnhtbFBLBQYAAAAABgAGAFkBAADOBQAAAAA=&#10;">
              <v:fill on="f" focussize="0,0"/>
              <v:stroke on="f" weight="0.5pt"/>
              <v:imagedata o:title=""/>
              <o:lock v:ext="edit" aspectratio="f"/>
              <v:textbox inset="0mm,0mm,0mm,0mm">
                <w:txbxContent>
                  <w:p w14:paraId="1FB66756">
                    <w:pPr>
                      <w:pStyle w:val="8"/>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50</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CF30F">
    <w:pPr>
      <w:pStyle w:val="8"/>
      <w:rPr>
        <w:rFonts w:asciiTheme="minorEastAsia" w:hAnsiTheme="minorEastAsia" w:eastAsiaTheme="minor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8CF53">
                          <w:pPr>
                            <w:pStyle w:val="8"/>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58</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59</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A8CF53">
                    <w:pPr>
                      <w:pStyle w:val="8"/>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58</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59</w:t>
                    </w:r>
                    <w:r>
                      <w:rPr>
                        <w:sz w:val="21"/>
                        <w:szCs w:val="21"/>
                      </w:rPr>
                      <w:fldChar w:fldCharType="end"/>
                    </w:r>
                    <w:r>
                      <w:rPr>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31F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97662"/>
    <w:multiLevelType w:val="singleLevel"/>
    <w:tmpl w:val="183976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63FF8"/>
    <w:rsid w:val="02750329"/>
    <w:rsid w:val="02B26E88"/>
    <w:rsid w:val="05314D07"/>
    <w:rsid w:val="06E521B8"/>
    <w:rsid w:val="06F14AD6"/>
    <w:rsid w:val="073C7668"/>
    <w:rsid w:val="07F341CA"/>
    <w:rsid w:val="085F360E"/>
    <w:rsid w:val="08A97F22"/>
    <w:rsid w:val="09B30627"/>
    <w:rsid w:val="0BE04A65"/>
    <w:rsid w:val="0F753897"/>
    <w:rsid w:val="116023DE"/>
    <w:rsid w:val="134E7F33"/>
    <w:rsid w:val="169D7717"/>
    <w:rsid w:val="191B708F"/>
    <w:rsid w:val="194A350E"/>
    <w:rsid w:val="19CC03D7"/>
    <w:rsid w:val="1A9D7FC6"/>
    <w:rsid w:val="1BB00B6C"/>
    <w:rsid w:val="1CD557F5"/>
    <w:rsid w:val="1CF55E97"/>
    <w:rsid w:val="1D363E4A"/>
    <w:rsid w:val="2065497F"/>
    <w:rsid w:val="25F25AB1"/>
    <w:rsid w:val="26703E31"/>
    <w:rsid w:val="2AF7354D"/>
    <w:rsid w:val="2CD05FD9"/>
    <w:rsid w:val="2CDB1ABE"/>
    <w:rsid w:val="2D8179AB"/>
    <w:rsid w:val="2E813A2E"/>
    <w:rsid w:val="337307E2"/>
    <w:rsid w:val="35DF126D"/>
    <w:rsid w:val="393608E6"/>
    <w:rsid w:val="39842625"/>
    <w:rsid w:val="3A341B26"/>
    <w:rsid w:val="3A942AC0"/>
    <w:rsid w:val="3B0113FB"/>
    <w:rsid w:val="3CCA034E"/>
    <w:rsid w:val="3D967AB1"/>
    <w:rsid w:val="3E5915D6"/>
    <w:rsid w:val="405467B0"/>
    <w:rsid w:val="415323C0"/>
    <w:rsid w:val="416A0352"/>
    <w:rsid w:val="41712FD1"/>
    <w:rsid w:val="421012C3"/>
    <w:rsid w:val="43FB4A19"/>
    <w:rsid w:val="443D5324"/>
    <w:rsid w:val="44D3162C"/>
    <w:rsid w:val="47EB386F"/>
    <w:rsid w:val="489C2A1B"/>
    <w:rsid w:val="49303C2F"/>
    <w:rsid w:val="495C59AF"/>
    <w:rsid w:val="4A7B35D0"/>
    <w:rsid w:val="4C3E06D5"/>
    <w:rsid w:val="4C597D51"/>
    <w:rsid w:val="4C653E79"/>
    <w:rsid w:val="4CFC5F2D"/>
    <w:rsid w:val="4D1A4185"/>
    <w:rsid w:val="4D443703"/>
    <w:rsid w:val="4D812CAB"/>
    <w:rsid w:val="4EBB39A2"/>
    <w:rsid w:val="502167A7"/>
    <w:rsid w:val="543F094E"/>
    <w:rsid w:val="546D7AE7"/>
    <w:rsid w:val="57006FEE"/>
    <w:rsid w:val="572A7F10"/>
    <w:rsid w:val="57543E52"/>
    <w:rsid w:val="580C5DEF"/>
    <w:rsid w:val="58B82CB3"/>
    <w:rsid w:val="58F20D5B"/>
    <w:rsid w:val="58FB392D"/>
    <w:rsid w:val="5A095AD2"/>
    <w:rsid w:val="5E8B1BDC"/>
    <w:rsid w:val="5ED46605"/>
    <w:rsid w:val="5F2C5E9D"/>
    <w:rsid w:val="603476CB"/>
    <w:rsid w:val="61802619"/>
    <w:rsid w:val="62375BD7"/>
    <w:rsid w:val="668A2779"/>
    <w:rsid w:val="6A107439"/>
    <w:rsid w:val="6B5E4892"/>
    <w:rsid w:val="6C3F0F37"/>
    <w:rsid w:val="6D6D5055"/>
    <w:rsid w:val="6DB03E09"/>
    <w:rsid w:val="6E242CE9"/>
    <w:rsid w:val="6F710358"/>
    <w:rsid w:val="71076C95"/>
    <w:rsid w:val="72A37D82"/>
    <w:rsid w:val="73840989"/>
    <w:rsid w:val="74136365"/>
    <w:rsid w:val="75CB3BC5"/>
    <w:rsid w:val="75F52E70"/>
    <w:rsid w:val="763F3DF8"/>
    <w:rsid w:val="76AF3B36"/>
    <w:rsid w:val="76B92C06"/>
    <w:rsid w:val="78EF265D"/>
    <w:rsid w:val="792228BA"/>
    <w:rsid w:val="795409C4"/>
    <w:rsid w:val="79615FB4"/>
    <w:rsid w:val="79842082"/>
    <w:rsid w:val="79CC6B39"/>
    <w:rsid w:val="7B92225E"/>
    <w:rsid w:val="7BEF7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rFonts w:ascii="Arial" w:hAnsi="Arial" w:eastAsia="黑体" w:cs="Arial"/>
    </w:rPr>
  </w:style>
  <w:style w:type="paragraph" w:styleId="5">
    <w:name w:val="Body Text"/>
    <w:basedOn w:val="1"/>
    <w:qFormat/>
    <w:uiPriority w:val="0"/>
    <w:pPr>
      <w:spacing w:after="120"/>
    </w:pPr>
    <w:rPr>
      <w:rFonts w:ascii="@微软简标宋" w:hAnsi="@微软简标宋" w:eastAsia="@微软简标宋" w:cs="@微软简标宋"/>
      <w:szCs w:val="24"/>
      <w:lang w:val="zh-CN"/>
    </w:rPr>
  </w:style>
  <w:style w:type="paragraph" w:styleId="6">
    <w:name w:val="Plain Text"/>
    <w:basedOn w:val="1"/>
    <w:qFormat/>
    <w:uiPriority w:val="99"/>
    <w:rPr>
      <w:rFonts w:ascii="宋体" w:hAnsi="Courier New" w:eastAsiaTheme="minorEastAsia" w:cstheme="minorBidi"/>
      <w:szCs w:val="22"/>
    </w:rPr>
  </w:style>
  <w:style w:type="paragraph" w:styleId="7">
    <w:name w:val="Date"/>
    <w:basedOn w:val="1"/>
    <w:next w:val="1"/>
    <w:qFormat/>
    <w:uiPriority w:val="0"/>
    <w:rPr>
      <w:rFonts w:ascii="Arial" w:hAnsi="Arial" w:eastAsia="宋体" w:cs="Arial"/>
      <w:b/>
      <w:sz w:val="2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1">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2">
    <w:name w:val="Normal (Web)"/>
    <w:basedOn w:val="1"/>
    <w:qFormat/>
    <w:uiPriority w:val="0"/>
    <w:pPr>
      <w:spacing w:before="100" w:beforeAutospacing="1" w:after="100" w:afterAutospacing="1"/>
      <w:jc w:val="left"/>
    </w:pPr>
    <w:rPr>
      <w:rFonts w:cs="Times New Roman"/>
      <w:kern w:val="0"/>
      <w:sz w:val="24"/>
    </w:rPr>
  </w:style>
  <w:style w:type="paragraph" w:styleId="13">
    <w:name w:val="index 1"/>
    <w:basedOn w:val="1"/>
    <w:next w:val="1"/>
    <w:qFormat/>
    <w:uiPriority w:val="0"/>
    <w:pPr>
      <w:jc w:val="center"/>
    </w:pPr>
    <w:rPr>
      <w:rFonts w:ascii="Arial" w:hAnsi="Arial" w:eastAsia="Arial" w:cs="Arial"/>
      <w:b/>
      <w:bCs/>
      <w:sz w:val="28"/>
    </w:rPr>
  </w:style>
  <w:style w:type="paragraph" w:styleId="14">
    <w:name w:val="Body Text First Indent"/>
    <w:basedOn w:val="5"/>
    <w:unhideWhenUsed/>
    <w:qFormat/>
    <w:uiPriority w:val="99"/>
    <w:pPr>
      <w:ind w:firstLine="420" w:firstLineChars="100"/>
    </w:pPr>
  </w:style>
  <w:style w:type="table" w:styleId="16">
    <w:name w:val="Table Grid"/>
    <w:basedOn w:val="1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Emphasis"/>
    <w:basedOn w:val="17"/>
    <w:qFormat/>
    <w:uiPriority w:val="0"/>
    <w:rPr>
      <w:i/>
    </w:rPr>
  </w:style>
  <w:style w:type="paragraph" w:customStyle="1" w:styleId="19">
    <w:name w:val="样式1"/>
    <w:basedOn w:val="1"/>
    <w:qFormat/>
    <w:uiPriority w:val="0"/>
    <w:pPr>
      <w:spacing w:before="75" w:line="277" w:lineRule="auto"/>
      <w:ind w:left="130" w:right="-9" w:firstLine="478"/>
    </w:pPr>
    <w:rPr>
      <w:rFonts w:ascii="宋体" w:hAnsi="宋体" w:eastAsia="宋体" w:cs="宋体"/>
      <w:snapToGrid w:val="0"/>
      <w:color w:val="000000"/>
      <w:spacing w:val="-1"/>
      <w:kern w:val="0"/>
      <w:sz w:val="24"/>
      <w:szCs w:val="24"/>
    </w:rPr>
  </w:style>
  <w:style w:type="paragraph" w:customStyle="1" w:styleId="2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1">
    <w:name w:val="D&amp;L"/>
    <w:basedOn w:val="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22">
    <w:name w:val="Table Normal"/>
    <w:autoRedefine/>
    <w:semiHidden/>
    <w:unhideWhenUsed/>
    <w:qFormat/>
    <w:uiPriority w:val="0"/>
    <w:tblPr>
      <w:tblCellMar>
        <w:top w:w="0" w:type="dxa"/>
        <w:left w:w="0" w:type="dxa"/>
        <w:bottom w:w="0" w:type="dxa"/>
        <w:right w:w="0" w:type="dxa"/>
      </w:tblCellMar>
    </w:tblPr>
  </w:style>
  <w:style w:type="paragraph" w:customStyle="1" w:styleId="23">
    <w:name w:val="Char Char Char Char Char Char Char1 Char"/>
    <w:basedOn w:val="1"/>
    <w:autoRedefine/>
    <w:qFormat/>
    <w:uiPriority w:val="0"/>
    <w:rPr>
      <w:rFonts w:ascii="Arial" w:hAnsi="Arial" w:eastAsia="宋体" w:cs="Arial"/>
      <w:sz w:val="24"/>
    </w:rPr>
  </w:style>
  <w:style w:type="paragraph" w:customStyle="1" w:styleId="24">
    <w:name w:val="Table Text"/>
    <w:basedOn w:val="1"/>
    <w:autoRedefine/>
    <w:semiHidden/>
    <w:qFormat/>
    <w:uiPriority w:val="0"/>
    <w:rPr>
      <w:rFonts w:ascii="Arial" w:hAnsi="Arial" w:eastAsia="Arial" w:cs="Arial"/>
      <w:sz w:val="21"/>
      <w:szCs w:val="21"/>
      <w:lang w:val="en-US" w:eastAsia="en-US" w:bidi="ar-SA"/>
    </w:rPr>
  </w:style>
  <w:style w:type="paragraph" w:customStyle="1" w:styleId="25">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104</Words>
  <Characters>124</Characters>
  <Lines>0</Lines>
  <Paragraphs>0</Paragraphs>
  <TotalTime>26</TotalTime>
  <ScaleCrop>false</ScaleCrop>
  <LinksUpToDate>false</LinksUpToDate>
  <CharactersWithSpaces>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2023-12-20T04:08:00Z</dcterms:created>
  <dc:creator>Administrator</dc:creator>
  <cp:lastModifiedBy>孙小珂</cp:lastModifiedBy>
  <cp:lastPrinted>2026-11-03T02:00:00Z</cp:lastPrinted>
  <dcterms:modified xsi:type="dcterms:W3CDTF">2026-11-03T03:40:21Z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5815BDEFBFD1491499A8CD20F51E92D8_13</vt:lpwstr>
  </property>
  <property fmtid="{D5CDD505-2E9C-101B-9397-08002B2CF9AE}" pid="4" name="KSOTemplateDocerSaveRecord">
    <vt:lpwstr>eyJoZGlkIjoiZGE3MTMyODEzNWExOTc5YjU4ZDZjNWNmMGFmMjBhZjYiLCJ1c2VySWQiOiIxNjgwOTYzODkxIn0=</vt:lpwstr>
  </property>
</Properties>
</file>