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
        <w:snapToGrid w:val="0"/>
        <w:spacing w:before="0" w:after="0" w:line="320" w:lineRule="exact"/>
        <w:jc w:val="center"/>
        <w:rPr>
          <w:rFonts w:cs="宋体"/>
          <w:sz w:val="32"/>
          <w:szCs w:val="32"/>
        </w:rPr>
      </w:pPr>
      <w:r>
        <w:rPr>
          <w:rFonts w:hint="eastAsia" w:cs="宋体"/>
          <w:sz w:val="32"/>
          <w:szCs w:val="32"/>
        </w:rPr>
        <w:t>采购需求</w:t>
      </w:r>
    </w:p>
    <w:p>
      <w:pPr>
        <w:spacing w:line="560" w:lineRule="exact"/>
        <w:jc w:val="left"/>
        <w:rPr>
          <w:rFonts w:ascii="宋体" w:hAnsi="宋体" w:cs="宋体"/>
          <w:b/>
          <w:bCs/>
          <w:sz w:val="24"/>
          <w:szCs w:val="24"/>
        </w:rPr>
      </w:pPr>
      <w:r>
        <w:rPr>
          <w:rFonts w:hint="eastAsia" w:ascii="宋体" w:hAnsi="宋体" w:cs="宋体"/>
          <w:b/>
          <w:bCs/>
          <w:sz w:val="24"/>
          <w:szCs w:val="24"/>
        </w:rPr>
        <w:t>一、项目编制目的和内容</w:t>
      </w:r>
    </w:p>
    <w:p>
      <w:pPr>
        <w:ind w:firstLine="480" w:firstLineChars="200"/>
        <w:rPr>
          <w:sz w:val="24"/>
        </w:rPr>
      </w:pPr>
      <w:r>
        <w:rPr>
          <w:rFonts w:hint="eastAsia"/>
          <w:sz w:val="24"/>
        </w:rPr>
        <w:t>随着信息技术的不断进步以及公交的需求不断的完善，通过建设数据中心和企业生产管理体系、出行服务体系和政府指挥决策体系，为企业提供计划排班管理、多种调度模式的生产调度系统，为市民提供信息出行服务，为政府提供“数据说话”方式的政府行业监管及决策支持系统，形成常态化、动态化、高效率的信息化闭环管理业务模式，主要体现如下：</w:t>
      </w:r>
    </w:p>
    <w:p>
      <w:pPr>
        <w:rPr>
          <w:sz w:val="24"/>
        </w:rPr>
      </w:pPr>
      <w:r>
        <w:rPr>
          <w:rFonts w:hint="eastAsia"/>
          <w:sz w:val="24"/>
        </w:rPr>
        <w:t>1、实现公交基础数据的统一集中管理与处理；</w:t>
      </w:r>
    </w:p>
    <w:p>
      <w:pPr>
        <w:rPr>
          <w:sz w:val="24"/>
        </w:rPr>
      </w:pPr>
      <w:r>
        <w:rPr>
          <w:rFonts w:hint="eastAsia"/>
          <w:sz w:val="24"/>
        </w:rPr>
        <w:t>2、实现企业安全生产、运营管理的科学性、高效性、有序性；</w:t>
      </w:r>
    </w:p>
    <w:p>
      <w:pPr>
        <w:rPr>
          <w:sz w:val="24"/>
        </w:rPr>
      </w:pPr>
      <w:r>
        <w:rPr>
          <w:rFonts w:hint="eastAsia"/>
          <w:sz w:val="24"/>
        </w:rPr>
        <w:t>3、实现市民出行方便、快捷，常态化、动态化、智能化的公共交通服务体系；</w:t>
      </w:r>
    </w:p>
    <w:p>
      <w:pPr>
        <w:rPr>
          <w:sz w:val="24"/>
        </w:rPr>
      </w:pPr>
      <w:r>
        <w:rPr>
          <w:rFonts w:hint="eastAsia"/>
          <w:sz w:val="24"/>
        </w:rPr>
        <w:t>4、实现政府对公交行业的管理有度、指挥处理应急突发事件得力。</w:t>
      </w:r>
    </w:p>
    <w:p>
      <w:pPr>
        <w:pStyle w:val="5"/>
        <w:rPr>
          <w:rFonts w:hint="eastAsia"/>
        </w:rPr>
      </w:pPr>
      <w:r>
        <w:rPr>
          <w:rFonts w:hint="eastAsia"/>
        </w:rPr>
        <w:t>为满足霍山县城市公交和城乡客运一体化调度系统货物及软件建设需要，霍山县顺通巴士有限公司对县内客运车辆进行调度系统安装。本项目暂定160台车辆，进行全程监理。</w:t>
      </w:r>
    </w:p>
    <w:p>
      <w:bookmarkStart w:id="0" w:name="_Toc22640295"/>
      <w:r>
        <w:rPr>
          <w:rFonts w:hint="eastAsia"/>
        </w:rPr>
        <w:t>项目建设内容及规模</w:t>
      </w:r>
      <w:bookmarkEnd w:id="0"/>
    </w:p>
    <w:p>
      <w:pPr>
        <w:rPr>
          <w:rFonts w:hint="eastAsia"/>
        </w:rPr>
      </w:pPr>
      <w:bookmarkStart w:id="1" w:name="_Toc22640296"/>
      <w:r>
        <w:rPr>
          <w:rFonts w:hint="eastAsia"/>
        </w:rPr>
        <w:t>公交智能调度系统</w:t>
      </w:r>
      <w:bookmarkEnd w:id="1"/>
    </w:p>
    <w:p>
      <w:r>
        <w:rPr>
          <w:rFonts w:hint="eastAsia"/>
        </w:rPr>
        <w:t>公交智能调度系统是由不同业务功能模块集成，具体包括：基础信息管理、计划调派、运行监控、智能调度、营运管理、运行统计分析以及系统管理等。其中基础信息管理和运行监控作为整个系统的信息支撑，为业务操作系统提供了各种静态和动态基础信息。计划调派、智能调度和运行统计分析是整个系统的核心，将实现日常运营调度和统计分析等功能。本次将根据霍山公交实际情况定制开发多个功能模块，具体详见设计方案。</w:t>
      </w:r>
    </w:p>
    <w:p>
      <w:r>
        <w:rPr>
          <w:rFonts w:hint="eastAsia"/>
        </w:rPr>
        <w:t>考虑霍山县公共交通后续的发展及新车辆的投入，此次系统应满足500辆车的信息接入及日常调度；同时系统提供基础数据接口，以满足监管部门的系统数据对接。另外，软件系统必须能够满足4</w:t>
      </w:r>
      <w:r>
        <w:t>G</w:t>
      </w:r>
      <w:r>
        <w:rPr>
          <w:rFonts w:hint="eastAsia"/>
        </w:rPr>
        <w:t>到5</w:t>
      </w:r>
      <w:r>
        <w:t>G</w:t>
      </w:r>
      <w:r>
        <w:rPr>
          <w:rFonts w:hint="eastAsia"/>
        </w:rPr>
        <w:t>的升级。</w:t>
      </w:r>
    </w:p>
    <w:p>
      <w:bookmarkStart w:id="2" w:name="_Toc22640297"/>
      <w:r>
        <w:rPr>
          <w:rFonts w:hint="eastAsia"/>
        </w:rPr>
        <w:t>车载终端机配套设备</w:t>
      </w:r>
      <w:bookmarkEnd w:id="2"/>
    </w:p>
    <w:p>
      <w:r>
        <w:rPr>
          <w:rFonts w:hint="eastAsia"/>
        </w:rPr>
        <w:t xml:space="preserve"> </w:t>
      </w:r>
      <w:r>
        <w:t xml:space="preserve">   </w:t>
      </w:r>
      <w:r>
        <w:rPr>
          <w:rFonts w:hint="eastAsia"/>
        </w:rPr>
        <w:t xml:space="preserve"> 对城市公交安装160套车载机，同时配备摄像机、存储、头腰尾牌、广告机等设备。实现公交车日常运营调度、自动报站、驾驶员行为分析等功能。</w:t>
      </w:r>
    </w:p>
    <w:p>
      <w:r>
        <w:rPr>
          <w:rFonts w:hint="eastAsia"/>
        </w:rPr>
        <w:t xml:space="preserve"> </w:t>
      </w:r>
      <w:r>
        <w:t xml:space="preserve">    </w:t>
      </w:r>
      <w:r>
        <w:rPr>
          <w:rFonts w:hint="eastAsia"/>
        </w:rPr>
        <w:t>为满足对车辆行驶状态及行车安全的有效监管，车载机应能实现车辆C</w:t>
      </w:r>
      <w:r>
        <w:t>AN</w:t>
      </w:r>
      <w:r>
        <w:rPr>
          <w:rFonts w:hint="eastAsia"/>
        </w:rPr>
        <w:t>总线的接入。</w:t>
      </w:r>
    </w:p>
    <w:p>
      <w:bookmarkStart w:id="3" w:name="_Toc22640298"/>
      <w:r>
        <w:rPr>
          <w:rFonts w:hint="eastAsia"/>
        </w:rPr>
        <w:t>I</w:t>
      </w:r>
      <w:r>
        <w:t>C</w:t>
      </w:r>
      <w:r>
        <w:rPr>
          <w:rFonts w:hint="eastAsia"/>
        </w:rPr>
        <w:t>卡刷卡及移动支付系统</w:t>
      </w:r>
      <w:bookmarkEnd w:id="3"/>
    </w:p>
    <w:p>
      <w:r>
        <w:rPr>
          <w:rFonts w:hint="eastAsia"/>
        </w:rPr>
        <w:t>为提供更为便捷的市民出行方式，为霍山公交建设一套自有且含有交通部标准的IC卡收费系统；其次支持接入支付宝、微信、银联等第三方支付方式。</w:t>
      </w:r>
    </w:p>
    <w:p>
      <w:r>
        <w:rPr>
          <w:rFonts w:hint="eastAsia"/>
        </w:rPr>
        <w:t xml:space="preserve"> </w:t>
      </w:r>
      <w:r>
        <w:t xml:space="preserve">  </w:t>
      </w:r>
      <w:r>
        <w:rPr>
          <w:rFonts w:hint="eastAsia"/>
        </w:rPr>
        <w:t>需预留与交通部互联互通平台对接接口。</w:t>
      </w:r>
    </w:p>
    <w:p>
      <w:bookmarkStart w:id="4" w:name="_Toc22640299"/>
      <w:r>
        <w:rPr>
          <w:rFonts w:hint="eastAsia"/>
        </w:rPr>
        <w:t>掌上公交A</w:t>
      </w:r>
      <w:r>
        <w:t>PP</w:t>
      </w:r>
      <w:bookmarkEnd w:id="4"/>
    </w:p>
    <w:p>
      <w:r>
        <w:rPr>
          <w:rFonts w:hint="eastAsia"/>
        </w:rPr>
        <w:t>定制开发霍山掌上公交A</w:t>
      </w:r>
      <w:r>
        <w:t>PP</w:t>
      </w:r>
      <w:r>
        <w:rPr>
          <w:rFonts w:hint="eastAsia"/>
        </w:rPr>
        <w:t>，可辅助公众了解公交车实时位置信息、实时到离站信息等，方便公众适时安排自己的乘车计划，以节约出行时间，缩短乘坐距离，减少出行成本等，提高公交服务水平。</w:t>
      </w:r>
    </w:p>
    <w:p>
      <w:bookmarkStart w:id="5" w:name="_Toc22640300"/>
      <w:r>
        <w:rPr>
          <w:rFonts w:hint="eastAsia"/>
        </w:rPr>
        <w:t>大屏可视化系统</w:t>
      </w:r>
      <w:bookmarkEnd w:id="5"/>
    </w:p>
    <w:p>
      <w:r>
        <w:rPr>
          <w:rFonts w:hint="eastAsia"/>
        </w:rPr>
        <w:t>本次项目建设的调度中心，不仅仅是服务于公交运营的办公场所，更是一个覆盖交通局各个部门的数据展示及行业监管的综合指调中心。因此本次大屏可视化系统将采用L</w:t>
      </w:r>
      <w:r>
        <w:t>ED</w:t>
      </w:r>
      <w:r>
        <w:rPr>
          <w:rFonts w:hint="eastAsia"/>
        </w:rPr>
        <w:t>小间距大屏，以保障可视效果。</w:t>
      </w:r>
    </w:p>
    <w:p>
      <w:bookmarkStart w:id="6" w:name="_Toc22640303"/>
      <w:r>
        <w:rPr>
          <w:rFonts w:hint="eastAsia"/>
        </w:rPr>
        <w:t>功能需求</w:t>
      </w:r>
      <w:bookmarkEnd w:id="6"/>
    </w:p>
    <w:p>
      <w:bookmarkStart w:id="7" w:name="_Toc22640304"/>
      <w:r>
        <w:rPr>
          <w:rFonts w:hint="eastAsia"/>
        </w:rPr>
        <w:t>智能调度功能需求</w:t>
      </w:r>
      <w:bookmarkEnd w:id="7"/>
    </w:p>
    <w:p>
      <w:r>
        <w:rPr>
          <w:rFonts w:hint="eastAsia"/>
        </w:rPr>
        <w:t>为了提高公交运营调度管理的智能化需求，公交智能调度系统实现行车计划、时刻表制定的合理化和自动化，按照车辆运行作业计划，结合现场的实际情况，正确有效地指挥、控制和调节车辆运行，实现均匀合理的行车间隔，实现营运车辆跨线路营运，达到线路间资源调配（人员调配、车辆调配），同时实现对车辆运行实时过程监控。</w:t>
      </w:r>
    </w:p>
    <w:p>
      <w:r>
        <w:rPr>
          <w:rFonts w:hint="eastAsia"/>
        </w:rPr>
        <w:t>公交智能调度系统是由不同业务功能模块集成，具体包括：基础信息管理、计划调派、运行监控、智能调度、营运管理、运行统计分析以及系统管理。其中基础信息管理和运行监控作为整个系统的信息支撑，为业务操作系统提供了各种静态和动态基础信息。计划调派、智能调度和运行统计分析是整个系统的核心，将实现日常运营调度和统计分析等功能。</w:t>
      </w:r>
    </w:p>
    <w:p>
      <w:r>
        <w:t>公交智能调度系统各模块列表</w:t>
      </w:r>
    </w:p>
    <w:tbl>
      <w:tblPr>
        <w:tblStyle w:val="6"/>
        <w:tblW w:w="0" w:type="auto"/>
        <w:jc w:val="center"/>
        <w:tblLayout w:type="fixed"/>
        <w:tblCellMar>
          <w:top w:w="0" w:type="dxa"/>
          <w:left w:w="108" w:type="dxa"/>
          <w:bottom w:w="0" w:type="dxa"/>
          <w:right w:w="108" w:type="dxa"/>
        </w:tblCellMar>
      </w:tblPr>
      <w:tblGrid>
        <w:gridCol w:w="762"/>
        <w:gridCol w:w="3050"/>
        <w:gridCol w:w="3884"/>
        <w:gridCol w:w="832"/>
      </w:tblGrid>
      <w:tr>
        <w:tblPrEx>
          <w:tblCellMar>
            <w:top w:w="0" w:type="dxa"/>
            <w:left w:w="108" w:type="dxa"/>
            <w:bottom w:w="0" w:type="dxa"/>
            <w:right w:w="108" w:type="dxa"/>
          </w:tblCellMar>
        </w:tblPrEx>
        <w:trPr>
          <w:trHeight w:val="225" w:hRule="atLeast"/>
          <w:jc w:val="center"/>
        </w:trPr>
        <w:tc>
          <w:tcPr>
            <w:tcW w:w="762" w:type="dxa"/>
            <w:tcBorders>
              <w:top w:val="single" w:color="auto" w:sz="4" w:space="0"/>
              <w:left w:val="single" w:color="auto" w:sz="4" w:space="0"/>
              <w:bottom w:val="single" w:color="auto" w:sz="4" w:space="0"/>
              <w:right w:val="single" w:color="auto" w:sz="4" w:space="0"/>
            </w:tcBorders>
            <w:vAlign w:val="center"/>
          </w:tcPr>
          <w:p>
            <w:r>
              <w:t>序号</w:t>
            </w:r>
          </w:p>
        </w:tc>
        <w:tc>
          <w:tcPr>
            <w:tcW w:w="3050" w:type="dxa"/>
            <w:tcBorders>
              <w:top w:val="single" w:color="auto" w:sz="4" w:space="0"/>
              <w:left w:val="nil"/>
              <w:bottom w:val="single" w:color="auto" w:sz="4" w:space="0"/>
              <w:right w:val="single" w:color="auto" w:sz="4" w:space="0"/>
            </w:tcBorders>
            <w:vAlign w:val="center"/>
          </w:tcPr>
          <w:p>
            <w:r>
              <w:t>模块名称</w:t>
            </w:r>
          </w:p>
        </w:tc>
        <w:tc>
          <w:tcPr>
            <w:tcW w:w="3884" w:type="dxa"/>
            <w:tcBorders>
              <w:top w:val="single" w:color="auto" w:sz="4" w:space="0"/>
              <w:left w:val="nil"/>
              <w:bottom w:val="single" w:color="auto" w:sz="4" w:space="0"/>
              <w:right w:val="single" w:color="auto" w:sz="4" w:space="0"/>
            </w:tcBorders>
            <w:vAlign w:val="center"/>
          </w:tcPr>
          <w:p>
            <w:r>
              <w:t>所属系统</w:t>
            </w:r>
          </w:p>
        </w:tc>
        <w:tc>
          <w:tcPr>
            <w:tcW w:w="832" w:type="dxa"/>
            <w:tcBorders>
              <w:top w:val="single" w:color="auto" w:sz="4" w:space="0"/>
              <w:left w:val="nil"/>
              <w:bottom w:val="single" w:color="auto" w:sz="4" w:space="0"/>
              <w:right w:val="single" w:color="auto" w:sz="4" w:space="0"/>
            </w:tcBorders>
            <w:vAlign w:val="center"/>
          </w:tcPr>
          <w:p>
            <w:r>
              <w:t>单位</w:t>
            </w:r>
          </w:p>
        </w:tc>
      </w:tr>
      <w:tr>
        <w:tblPrEx>
          <w:tblCellMar>
            <w:top w:w="0" w:type="dxa"/>
            <w:left w:w="108" w:type="dxa"/>
            <w:bottom w:w="0" w:type="dxa"/>
            <w:right w:w="108" w:type="dxa"/>
          </w:tblCellMar>
        </w:tblPrEx>
        <w:trPr>
          <w:trHeight w:val="225" w:hRule="atLeast"/>
          <w:jc w:val="center"/>
        </w:trPr>
        <w:tc>
          <w:tcPr>
            <w:tcW w:w="762" w:type="dxa"/>
            <w:tcBorders>
              <w:top w:val="nil"/>
              <w:left w:val="single" w:color="auto" w:sz="4" w:space="0"/>
              <w:bottom w:val="single" w:color="auto" w:sz="4" w:space="0"/>
              <w:right w:val="single" w:color="auto" w:sz="4" w:space="0"/>
            </w:tcBorders>
            <w:vAlign w:val="center"/>
          </w:tcPr>
          <w:p>
            <w:r>
              <w:t>1</w:t>
            </w:r>
          </w:p>
        </w:tc>
        <w:tc>
          <w:tcPr>
            <w:tcW w:w="3050" w:type="dxa"/>
            <w:tcBorders>
              <w:top w:val="nil"/>
              <w:left w:val="nil"/>
              <w:bottom w:val="single" w:color="auto" w:sz="4" w:space="0"/>
              <w:right w:val="single" w:color="auto" w:sz="4" w:space="0"/>
            </w:tcBorders>
            <w:vAlign w:val="center"/>
          </w:tcPr>
          <w:p>
            <w:r>
              <w:rPr>
                <w:rFonts w:hint="eastAsia"/>
              </w:rPr>
              <w:t>基础数据管理</w:t>
            </w:r>
          </w:p>
        </w:tc>
        <w:tc>
          <w:tcPr>
            <w:tcW w:w="3884" w:type="dxa"/>
            <w:tcBorders>
              <w:top w:val="nil"/>
              <w:left w:val="nil"/>
              <w:bottom w:val="single" w:color="auto" w:sz="4" w:space="0"/>
              <w:right w:val="single" w:color="auto" w:sz="4" w:space="0"/>
            </w:tcBorders>
            <w:vAlign w:val="center"/>
          </w:tcPr>
          <w:p>
            <w:r>
              <w:t>智能公交运营调度系统软件</w:t>
            </w:r>
          </w:p>
        </w:tc>
        <w:tc>
          <w:tcPr>
            <w:tcW w:w="832" w:type="dxa"/>
            <w:tcBorders>
              <w:top w:val="nil"/>
              <w:left w:val="nil"/>
              <w:bottom w:val="single" w:color="auto" w:sz="4" w:space="0"/>
              <w:right w:val="single" w:color="auto" w:sz="4" w:space="0"/>
            </w:tcBorders>
            <w:vAlign w:val="center"/>
          </w:tcPr>
          <w:p>
            <w:r>
              <w:rPr>
                <w:rFonts w:hint="eastAsia"/>
              </w:rPr>
              <w:t>1</w:t>
            </w:r>
            <w:r>
              <w:t>项</w:t>
            </w:r>
          </w:p>
        </w:tc>
      </w:tr>
      <w:tr>
        <w:tblPrEx>
          <w:tblCellMar>
            <w:top w:w="0" w:type="dxa"/>
            <w:left w:w="108" w:type="dxa"/>
            <w:bottom w:w="0" w:type="dxa"/>
            <w:right w:w="108" w:type="dxa"/>
          </w:tblCellMar>
        </w:tblPrEx>
        <w:trPr>
          <w:trHeight w:val="225" w:hRule="atLeast"/>
          <w:jc w:val="center"/>
        </w:trPr>
        <w:tc>
          <w:tcPr>
            <w:tcW w:w="762" w:type="dxa"/>
            <w:tcBorders>
              <w:top w:val="nil"/>
              <w:left w:val="single" w:color="auto" w:sz="4" w:space="0"/>
              <w:bottom w:val="single" w:color="auto" w:sz="4" w:space="0"/>
              <w:right w:val="single" w:color="auto" w:sz="4" w:space="0"/>
            </w:tcBorders>
            <w:vAlign w:val="center"/>
          </w:tcPr>
          <w:p>
            <w:r>
              <w:t>2</w:t>
            </w:r>
          </w:p>
        </w:tc>
        <w:tc>
          <w:tcPr>
            <w:tcW w:w="3050" w:type="dxa"/>
            <w:tcBorders>
              <w:top w:val="nil"/>
              <w:left w:val="nil"/>
              <w:bottom w:val="single" w:color="auto" w:sz="4" w:space="0"/>
              <w:right w:val="single" w:color="auto" w:sz="4" w:space="0"/>
            </w:tcBorders>
            <w:vAlign w:val="center"/>
          </w:tcPr>
          <w:p>
            <w:r>
              <w:rPr>
                <w:rFonts w:hint="eastAsia"/>
              </w:rPr>
              <w:t>计划排班</w:t>
            </w:r>
          </w:p>
        </w:tc>
        <w:tc>
          <w:tcPr>
            <w:tcW w:w="3884" w:type="dxa"/>
            <w:tcBorders>
              <w:top w:val="nil"/>
              <w:left w:val="nil"/>
              <w:bottom w:val="single" w:color="auto" w:sz="4" w:space="0"/>
              <w:right w:val="single" w:color="auto" w:sz="4" w:space="0"/>
            </w:tcBorders>
            <w:vAlign w:val="center"/>
          </w:tcPr>
          <w:p>
            <w:r>
              <w:t>智能公交运营调度系统软件</w:t>
            </w:r>
          </w:p>
        </w:tc>
        <w:tc>
          <w:tcPr>
            <w:tcW w:w="832" w:type="dxa"/>
            <w:tcBorders>
              <w:top w:val="nil"/>
              <w:left w:val="nil"/>
              <w:bottom w:val="single" w:color="auto" w:sz="4" w:space="0"/>
              <w:right w:val="single" w:color="auto" w:sz="4" w:space="0"/>
            </w:tcBorders>
            <w:vAlign w:val="center"/>
          </w:tcPr>
          <w:p>
            <w:r>
              <w:rPr>
                <w:rFonts w:hint="eastAsia"/>
              </w:rPr>
              <w:t>1</w:t>
            </w:r>
            <w:r>
              <w:t>项</w:t>
            </w:r>
          </w:p>
        </w:tc>
      </w:tr>
      <w:tr>
        <w:tblPrEx>
          <w:tblCellMar>
            <w:top w:w="0" w:type="dxa"/>
            <w:left w:w="108" w:type="dxa"/>
            <w:bottom w:w="0" w:type="dxa"/>
            <w:right w:w="108" w:type="dxa"/>
          </w:tblCellMar>
        </w:tblPrEx>
        <w:trPr>
          <w:trHeight w:val="225" w:hRule="atLeast"/>
          <w:jc w:val="center"/>
        </w:trPr>
        <w:tc>
          <w:tcPr>
            <w:tcW w:w="762" w:type="dxa"/>
            <w:tcBorders>
              <w:top w:val="nil"/>
              <w:left w:val="single" w:color="auto" w:sz="4" w:space="0"/>
              <w:bottom w:val="single" w:color="auto" w:sz="4" w:space="0"/>
              <w:right w:val="single" w:color="auto" w:sz="4" w:space="0"/>
            </w:tcBorders>
            <w:vAlign w:val="center"/>
          </w:tcPr>
          <w:p>
            <w:r>
              <w:t>3</w:t>
            </w:r>
          </w:p>
        </w:tc>
        <w:tc>
          <w:tcPr>
            <w:tcW w:w="3050" w:type="dxa"/>
            <w:tcBorders>
              <w:top w:val="nil"/>
              <w:left w:val="nil"/>
              <w:bottom w:val="single" w:color="auto" w:sz="4" w:space="0"/>
              <w:right w:val="single" w:color="auto" w:sz="4" w:space="0"/>
            </w:tcBorders>
            <w:vAlign w:val="center"/>
          </w:tcPr>
          <w:p>
            <w:r>
              <w:rPr>
                <w:rFonts w:hint="eastAsia"/>
              </w:rPr>
              <w:t>运营调度</w:t>
            </w:r>
          </w:p>
        </w:tc>
        <w:tc>
          <w:tcPr>
            <w:tcW w:w="3884" w:type="dxa"/>
            <w:tcBorders>
              <w:top w:val="nil"/>
              <w:left w:val="nil"/>
              <w:bottom w:val="single" w:color="auto" w:sz="4" w:space="0"/>
              <w:right w:val="single" w:color="auto" w:sz="4" w:space="0"/>
            </w:tcBorders>
            <w:vAlign w:val="center"/>
          </w:tcPr>
          <w:p>
            <w:r>
              <w:t>智能公交运营调度系统软件</w:t>
            </w:r>
          </w:p>
        </w:tc>
        <w:tc>
          <w:tcPr>
            <w:tcW w:w="832" w:type="dxa"/>
            <w:tcBorders>
              <w:top w:val="nil"/>
              <w:left w:val="nil"/>
              <w:bottom w:val="single" w:color="auto" w:sz="4" w:space="0"/>
              <w:right w:val="single" w:color="auto" w:sz="4" w:space="0"/>
            </w:tcBorders>
            <w:vAlign w:val="center"/>
          </w:tcPr>
          <w:p>
            <w:r>
              <w:rPr>
                <w:rFonts w:hint="eastAsia"/>
              </w:rPr>
              <w:t>1</w:t>
            </w:r>
            <w:r>
              <w:t>项</w:t>
            </w:r>
          </w:p>
        </w:tc>
      </w:tr>
      <w:tr>
        <w:tblPrEx>
          <w:tblCellMar>
            <w:top w:w="0" w:type="dxa"/>
            <w:left w:w="108" w:type="dxa"/>
            <w:bottom w:w="0" w:type="dxa"/>
            <w:right w:w="108" w:type="dxa"/>
          </w:tblCellMar>
        </w:tblPrEx>
        <w:trPr>
          <w:trHeight w:val="225" w:hRule="atLeast"/>
          <w:jc w:val="center"/>
        </w:trPr>
        <w:tc>
          <w:tcPr>
            <w:tcW w:w="762" w:type="dxa"/>
            <w:tcBorders>
              <w:top w:val="nil"/>
              <w:left w:val="single" w:color="auto" w:sz="4" w:space="0"/>
              <w:bottom w:val="single" w:color="auto" w:sz="4" w:space="0"/>
              <w:right w:val="single" w:color="auto" w:sz="4" w:space="0"/>
            </w:tcBorders>
            <w:vAlign w:val="center"/>
          </w:tcPr>
          <w:p>
            <w:r>
              <w:t>4</w:t>
            </w:r>
          </w:p>
        </w:tc>
        <w:tc>
          <w:tcPr>
            <w:tcW w:w="3050" w:type="dxa"/>
            <w:tcBorders>
              <w:top w:val="nil"/>
              <w:left w:val="nil"/>
              <w:bottom w:val="single" w:color="auto" w:sz="4" w:space="0"/>
              <w:right w:val="single" w:color="auto" w:sz="4" w:space="0"/>
            </w:tcBorders>
            <w:vAlign w:val="center"/>
          </w:tcPr>
          <w:p>
            <w:pPr>
              <w:rPr>
                <w:rFonts w:hint="eastAsia"/>
              </w:rPr>
            </w:pPr>
            <w:r>
              <w:rPr>
                <w:rFonts w:hint="eastAsia"/>
              </w:rPr>
              <w:t>异常调度</w:t>
            </w:r>
          </w:p>
        </w:tc>
        <w:tc>
          <w:tcPr>
            <w:tcW w:w="3884" w:type="dxa"/>
            <w:tcBorders>
              <w:top w:val="nil"/>
              <w:left w:val="nil"/>
              <w:bottom w:val="single" w:color="auto" w:sz="4" w:space="0"/>
              <w:right w:val="single" w:color="auto" w:sz="4" w:space="0"/>
            </w:tcBorders>
            <w:vAlign w:val="center"/>
          </w:tcPr>
          <w:p>
            <w:r>
              <w:t>智能公交运营调度系统软件</w:t>
            </w:r>
          </w:p>
        </w:tc>
        <w:tc>
          <w:tcPr>
            <w:tcW w:w="832" w:type="dxa"/>
            <w:tcBorders>
              <w:top w:val="nil"/>
              <w:left w:val="nil"/>
              <w:bottom w:val="single" w:color="auto" w:sz="4" w:space="0"/>
              <w:right w:val="single" w:color="auto" w:sz="4" w:space="0"/>
            </w:tcBorders>
            <w:vAlign w:val="center"/>
          </w:tcPr>
          <w:p>
            <w:r>
              <w:rPr>
                <w:rFonts w:hint="eastAsia"/>
              </w:rPr>
              <w:t>1</w:t>
            </w:r>
            <w:r>
              <w:t>项</w:t>
            </w:r>
          </w:p>
        </w:tc>
      </w:tr>
      <w:tr>
        <w:tblPrEx>
          <w:tblCellMar>
            <w:top w:w="0" w:type="dxa"/>
            <w:left w:w="108" w:type="dxa"/>
            <w:bottom w:w="0" w:type="dxa"/>
            <w:right w:w="108" w:type="dxa"/>
          </w:tblCellMar>
        </w:tblPrEx>
        <w:trPr>
          <w:trHeight w:val="225" w:hRule="atLeast"/>
          <w:jc w:val="center"/>
        </w:trPr>
        <w:tc>
          <w:tcPr>
            <w:tcW w:w="762" w:type="dxa"/>
            <w:tcBorders>
              <w:top w:val="nil"/>
              <w:left w:val="single" w:color="auto" w:sz="4" w:space="0"/>
              <w:bottom w:val="single" w:color="auto" w:sz="4" w:space="0"/>
              <w:right w:val="single" w:color="auto" w:sz="4" w:space="0"/>
            </w:tcBorders>
            <w:vAlign w:val="center"/>
          </w:tcPr>
          <w:p>
            <w:r>
              <w:t>5</w:t>
            </w:r>
          </w:p>
        </w:tc>
        <w:tc>
          <w:tcPr>
            <w:tcW w:w="3050" w:type="dxa"/>
            <w:tcBorders>
              <w:top w:val="nil"/>
              <w:left w:val="nil"/>
              <w:bottom w:val="single" w:color="auto" w:sz="4" w:space="0"/>
              <w:right w:val="nil"/>
            </w:tcBorders>
            <w:vAlign w:val="center"/>
          </w:tcPr>
          <w:p>
            <w:r>
              <w:rPr>
                <w:rFonts w:hint="eastAsia"/>
              </w:rPr>
              <w:t>包车调度</w:t>
            </w:r>
          </w:p>
        </w:tc>
        <w:tc>
          <w:tcPr>
            <w:tcW w:w="3884" w:type="dxa"/>
            <w:tcBorders>
              <w:top w:val="nil"/>
              <w:left w:val="single" w:color="auto" w:sz="4" w:space="0"/>
              <w:bottom w:val="single" w:color="auto" w:sz="4" w:space="0"/>
              <w:right w:val="single" w:color="auto" w:sz="4" w:space="0"/>
            </w:tcBorders>
            <w:vAlign w:val="center"/>
          </w:tcPr>
          <w:p>
            <w:r>
              <w:t>智能公交运营调度系统软件</w:t>
            </w:r>
          </w:p>
        </w:tc>
        <w:tc>
          <w:tcPr>
            <w:tcW w:w="832" w:type="dxa"/>
            <w:tcBorders>
              <w:top w:val="nil"/>
              <w:left w:val="nil"/>
              <w:bottom w:val="single" w:color="auto" w:sz="4" w:space="0"/>
              <w:right w:val="single" w:color="auto" w:sz="4" w:space="0"/>
            </w:tcBorders>
            <w:vAlign w:val="center"/>
          </w:tcPr>
          <w:p>
            <w:r>
              <w:rPr>
                <w:rFonts w:hint="eastAsia"/>
              </w:rPr>
              <w:t>1</w:t>
            </w:r>
            <w:r>
              <w:t>项</w:t>
            </w:r>
          </w:p>
        </w:tc>
      </w:tr>
      <w:tr>
        <w:tblPrEx>
          <w:tblCellMar>
            <w:top w:w="0" w:type="dxa"/>
            <w:left w:w="108" w:type="dxa"/>
            <w:bottom w:w="0" w:type="dxa"/>
            <w:right w:w="108" w:type="dxa"/>
          </w:tblCellMar>
        </w:tblPrEx>
        <w:trPr>
          <w:trHeight w:val="225" w:hRule="atLeast"/>
          <w:jc w:val="center"/>
        </w:trPr>
        <w:tc>
          <w:tcPr>
            <w:tcW w:w="762" w:type="dxa"/>
            <w:tcBorders>
              <w:top w:val="nil"/>
              <w:left w:val="single" w:color="auto" w:sz="4" w:space="0"/>
              <w:bottom w:val="single" w:color="auto" w:sz="4" w:space="0"/>
              <w:right w:val="single" w:color="auto" w:sz="4" w:space="0"/>
            </w:tcBorders>
            <w:vAlign w:val="center"/>
          </w:tcPr>
          <w:p>
            <w:r>
              <w:t>6</w:t>
            </w:r>
          </w:p>
        </w:tc>
        <w:tc>
          <w:tcPr>
            <w:tcW w:w="3050" w:type="dxa"/>
            <w:tcBorders>
              <w:top w:val="nil"/>
              <w:left w:val="nil"/>
              <w:bottom w:val="single" w:color="auto" w:sz="4" w:space="0"/>
              <w:right w:val="nil"/>
            </w:tcBorders>
            <w:vAlign w:val="center"/>
          </w:tcPr>
          <w:p>
            <w:pPr>
              <w:rPr>
                <w:rFonts w:hint="eastAsia"/>
              </w:rPr>
            </w:pPr>
            <w:r>
              <w:rPr>
                <w:rFonts w:hint="eastAsia"/>
              </w:rPr>
              <w:t>充电调度</w:t>
            </w:r>
          </w:p>
        </w:tc>
        <w:tc>
          <w:tcPr>
            <w:tcW w:w="3884" w:type="dxa"/>
            <w:tcBorders>
              <w:top w:val="nil"/>
              <w:left w:val="single" w:color="auto" w:sz="4" w:space="0"/>
              <w:bottom w:val="single" w:color="auto" w:sz="4" w:space="0"/>
              <w:right w:val="single" w:color="auto" w:sz="4" w:space="0"/>
            </w:tcBorders>
            <w:vAlign w:val="center"/>
          </w:tcPr>
          <w:p>
            <w:r>
              <w:t>智能公交运营调度系统软件</w:t>
            </w:r>
          </w:p>
        </w:tc>
        <w:tc>
          <w:tcPr>
            <w:tcW w:w="832" w:type="dxa"/>
            <w:tcBorders>
              <w:top w:val="nil"/>
              <w:left w:val="nil"/>
              <w:bottom w:val="single" w:color="auto" w:sz="4" w:space="0"/>
              <w:right w:val="single" w:color="auto" w:sz="4" w:space="0"/>
            </w:tcBorders>
            <w:vAlign w:val="center"/>
          </w:tcPr>
          <w:p>
            <w:r>
              <w:rPr>
                <w:rFonts w:hint="eastAsia"/>
              </w:rPr>
              <w:t>1</w:t>
            </w:r>
            <w:r>
              <w:t>项</w:t>
            </w:r>
          </w:p>
        </w:tc>
      </w:tr>
      <w:tr>
        <w:tblPrEx>
          <w:tblCellMar>
            <w:top w:w="0" w:type="dxa"/>
            <w:left w:w="108" w:type="dxa"/>
            <w:bottom w:w="0" w:type="dxa"/>
            <w:right w:w="108" w:type="dxa"/>
          </w:tblCellMar>
        </w:tblPrEx>
        <w:trPr>
          <w:trHeight w:val="225" w:hRule="atLeast"/>
          <w:jc w:val="center"/>
        </w:trPr>
        <w:tc>
          <w:tcPr>
            <w:tcW w:w="762" w:type="dxa"/>
            <w:tcBorders>
              <w:top w:val="nil"/>
              <w:left w:val="single" w:color="auto" w:sz="4" w:space="0"/>
              <w:bottom w:val="single" w:color="auto" w:sz="4" w:space="0"/>
              <w:right w:val="single" w:color="auto" w:sz="4" w:space="0"/>
            </w:tcBorders>
            <w:vAlign w:val="center"/>
          </w:tcPr>
          <w:p>
            <w:r>
              <w:t>7</w:t>
            </w:r>
          </w:p>
        </w:tc>
        <w:tc>
          <w:tcPr>
            <w:tcW w:w="3050" w:type="dxa"/>
            <w:tcBorders>
              <w:top w:val="nil"/>
              <w:left w:val="nil"/>
              <w:bottom w:val="single" w:color="auto" w:sz="4" w:space="0"/>
              <w:right w:val="nil"/>
            </w:tcBorders>
            <w:vAlign w:val="center"/>
          </w:tcPr>
          <w:p>
            <w:pPr>
              <w:rPr>
                <w:rFonts w:hint="eastAsia"/>
              </w:rPr>
            </w:pPr>
            <w:r>
              <w:rPr>
                <w:rFonts w:hint="eastAsia"/>
              </w:rPr>
              <w:t>中心监控</w:t>
            </w:r>
          </w:p>
        </w:tc>
        <w:tc>
          <w:tcPr>
            <w:tcW w:w="3884" w:type="dxa"/>
            <w:tcBorders>
              <w:top w:val="nil"/>
              <w:left w:val="single" w:color="auto" w:sz="4" w:space="0"/>
              <w:bottom w:val="single" w:color="auto" w:sz="4" w:space="0"/>
              <w:right w:val="single" w:color="auto" w:sz="4" w:space="0"/>
            </w:tcBorders>
            <w:vAlign w:val="center"/>
          </w:tcPr>
          <w:p>
            <w:r>
              <w:t>智能公交运营调度系统软件</w:t>
            </w:r>
          </w:p>
        </w:tc>
        <w:tc>
          <w:tcPr>
            <w:tcW w:w="832" w:type="dxa"/>
            <w:tcBorders>
              <w:top w:val="nil"/>
              <w:left w:val="nil"/>
              <w:bottom w:val="single" w:color="auto" w:sz="4" w:space="0"/>
              <w:right w:val="single" w:color="auto" w:sz="4" w:space="0"/>
            </w:tcBorders>
            <w:vAlign w:val="center"/>
          </w:tcPr>
          <w:p>
            <w:r>
              <w:rPr>
                <w:rFonts w:hint="eastAsia"/>
              </w:rPr>
              <w:t>1</w:t>
            </w:r>
            <w:r>
              <w:t>项</w:t>
            </w:r>
          </w:p>
        </w:tc>
      </w:tr>
      <w:tr>
        <w:tblPrEx>
          <w:tblCellMar>
            <w:top w:w="0" w:type="dxa"/>
            <w:left w:w="108" w:type="dxa"/>
            <w:bottom w:w="0" w:type="dxa"/>
            <w:right w:w="108" w:type="dxa"/>
          </w:tblCellMar>
        </w:tblPrEx>
        <w:trPr>
          <w:trHeight w:val="225" w:hRule="atLeast"/>
          <w:jc w:val="center"/>
        </w:trPr>
        <w:tc>
          <w:tcPr>
            <w:tcW w:w="762" w:type="dxa"/>
            <w:tcBorders>
              <w:top w:val="nil"/>
              <w:left w:val="single" w:color="auto" w:sz="4" w:space="0"/>
              <w:bottom w:val="single" w:color="auto" w:sz="4" w:space="0"/>
              <w:right w:val="single" w:color="auto" w:sz="4" w:space="0"/>
            </w:tcBorders>
            <w:vAlign w:val="center"/>
          </w:tcPr>
          <w:p>
            <w:r>
              <w:t>8</w:t>
            </w:r>
          </w:p>
        </w:tc>
        <w:tc>
          <w:tcPr>
            <w:tcW w:w="3050" w:type="dxa"/>
            <w:tcBorders>
              <w:top w:val="nil"/>
              <w:left w:val="nil"/>
              <w:bottom w:val="single" w:color="auto" w:sz="4" w:space="0"/>
              <w:right w:val="nil"/>
            </w:tcBorders>
            <w:vAlign w:val="center"/>
          </w:tcPr>
          <w:p>
            <w:pPr>
              <w:rPr>
                <w:rFonts w:hint="eastAsia"/>
              </w:rPr>
            </w:pPr>
            <w:r>
              <w:rPr>
                <w:rFonts w:hint="eastAsia"/>
              </w:rPr>
              <w:t>数据查询</w:t>
            </w:r>
          </w:p>
        </w:tc>
        <w:tc>
          <w:tcPr>
            <w:tcW w:w="3884" w:type="dxa"/>
            <w:tcBorders>
              <w:top w:val="nil"/>
              <w:left w:val="single" w:color="auto" w:sz="4" w:space="0"/>
              <w:bottom w:val="single" w:color="auto" w:sz="4" w:space="0"/>
              <w:right w:val="single" w:color="auto" w:sz="4" w:space="0"/>
            </w:tcBorders>
            <w:vAlign w:val="center"/>
          </w:tcPr>
          <w:p>
            <w:r>
              <w:t>智能公交运营调度系统软件</w:t>
            </w:r>
          </w:p>
        </w:tc>
        <w:tc>
          <w:tcPr>
            <w:tcW w:w="832" w:type="dxa"/>
            <w:tcBorders>
              <w:top w:val="nil"/>
              <w:left w:val="nil"/>
              <w:bottom w:val="single" w:color="auto" w:sz="4" w:space="0"/>
              <w:right w:val="single" w:color="auto" w:sz="4" w:space="0"/>
            </w:tcBorders>
            <w:vAlign w:val="center"/>
          </w:tcPr>
          <w:p>
            <w:r>
              <w:rPr>
                <w:rFonts w:hint="eastAsia"/>
              </w:rPr>
              <w:t>1</w:t>
            </w:r>
            <w:r>
              <w:t>项</w:t>
            </w:r>
          </w:p>
        </w:tc>
      </w:tr>
      <w:tr>
        <w:tblPrEx>
          <w:tblCellMar>
            <w:top w:w="0" w:type="dxa"/>
            <w:left w:w="108" w:type="dxa"/>
            <w:bottom w:w="0" w:type="dxa"/>
            <w:right w:w="108" w:type="dxa"/>
          </w:tblCellMar>
        </w:tblPrEx>
        <w:trPr>
          <w:trHeight w:val="225" w:hRule="atLeast"/>
          <w:jc w:val="center"/>
        </w:trPr>
        <w:tc>
          <w:tcPr>
            <w:tcW w:w="762" w:type="dxa"/>
            <w:tcBorders>
              <w:top w:val="nil"/>
              <w:left w:val="single" w:color="auto" w:sz="4" w:space="0"/>
              <w:bottom w:val="single" w:color="auto" w:sz="4" w:space="0"/>
              <w:right w:val="single" w:color="auto" w:sz="4" w:space="0"/>
            </w:tcBorders>
            <w:vAlign w:val="center"/>
          </w:tcPr>
          <w:p>
            <w:r>
              <w:t>9</w:t>
            </w:r>
          </w:p>
        </w:tc>
        <w:tc>
          <w:tcPr>
            <w:tcW w:w="3050" w:type="dxa"/>
            <w:tcBorders>
              <w:top w:val="nil"/>
              <w:left w:val="nil"/>
              <w:bottom w:val="single" w:color="auto" w:sz="4" w:space="0"/>
              <w:right w:val="nil"/>
            </w:tcBorders>
            <w:vAlign w:val="center"/>
          </w:tcPr>
          <w:p>
            <w:pPr>
              <w:rPr>
                <w:rFonts w:hint="eastAsia"/>
              </w:rPr>
            </w:pPr>
            <w:r>
              <w:rPr>
                <w:rFonts w:hint="eastAsia"/>
              </w:rPr>
              <w:t>移动调度</w:t>
            </w:r>
          </w:p>
        </w:tc>
        <w:tc>
          <w:tcPr>
            <w:tcW w:w="3884" w:type="dxa"/>
            <w:tcBorders>
              <w:top w:val="nil"/>
              <w:left w:val="single" w:color="auto" w:sz="4" w:space="0"/>
              <w:bottom w:val="single" w:color="auto" w:sz="4" w:space="0"/>
              <w:right w:val="single" w:color="auto" w:sz="4" w:space="0"/>
            </w:tcBorders>
            <w:vAlign w:val="center"/>
          </w:tcPr>
          <w:p>
            <w:r>
              <w:t>智能公交运营调度系统软件</w:t>
            </w:r>
          </w:p>
        </w:tc>
        <w:tc>
          <w:tcPr>
            <w:tcW w:w="832" w:type="dxa"/>
            <w:tcBorders>
              <w:top w:val="nil"/>
              <w:left w:val="nil"/>
              <w:bottom w:val="single" w:color="auto" w:sz="4" w:space="0"/>
              <w:right w:val="single" w:color="auto" w:sz="4" w:space="0"/>
            </w:tcBorders>
            <w:vAlign w:val="center"/>
          </w:tcPr>
          <w:p>
            <w:r>
              <w:rPr>
                <w:rFonts w:hint="eastAsia"/>
              </w:rPr>
              <w:t>1</w:t>
            </w:r>
            <w:r>
              <w:t>项</w:t>
            </w:r>
          </w:p>
        </w:tc>
      </w:tr>
    </w:tbl>
    <w:p/>
    <w:p>
      <w:bookmarkStart w:id="8" w:name="_Toc22640305"/>
      <w:r>
        <w:rPr>
          <w:rFonts w:hint="eastAsia"/>
        </w:rPr>
        <w:t>车载设备功能需求</w:t>
      </w:r>
      <w:bookmarkEnd w:id="8"/>
    </w:p>
    <w:p>
      <w:r>
        <w:rPr>
          <w:rFonts w:hint="eastAsia"/>
        </w:rPr>
        <w:t>车载视频监控调度一体机</w:t>
      </w:r>
    </w:p>
    <w:p>
      <w:r>
        <w:rPr>
          <w:rFonts w:hint="eastAsia"/>
        </w:rPr>
        <w:t>本次项目公交车载设备应为</w:t>
      </w:r>
      <w:r>
        <w:t>4G视频监控</w:t>
      </w:r>
      <w:r>
        <w:rPr>
          <w:rFonts w:hint="eastAsia"/>
        </w:rPr>
        <w:t>调度</w:t>
      </w:r>
      <w:r>
        <w:t>一体机，应可实现车载视频监控、远程视频监控和车辆智能调度。采用高速处理器和嵌入式操作系统，应结合当前IT领域中最先进的H.26</w:t>
      </w:r>
      <w:r>
        <w:rPr>
          <w:rFonts w:hint="eastAsia"/>
        </w:rPr>
        <w:t>5</w:t>
      </w:r>
      <w:r>
        <w:t>视频压缩/解压缩技术、4G网络技术、实现北斗+GPS 双模定位。应可实现CIF、HD1和D1格式的录像，汽车行驶信息记录和远程视频监控。同时视频一体机要与信息终端、摄像头等设备及后台调度监控平台相连组合成一个完整的系统，配合中心软件可实现报警联动的中央远程视频监控、车辆智能调度管理及基于中心数据库的回放分析等功能；并且能够提供 LED 屏、站节牌、路牌、多媒体显示屏等相关设备的接口；产品应外观简洁、具有超强抗振，安装灵活方便，功能强大，可靠性高等特点。</w:t>
      </w:r>
    </w:p>
    <w:p>
      <w:r>
        <w:rPr>
          <w:rFonts w:hint="eastAsia"/>
        </w:rPr>
        <w:t>综合考虑霍山公交目前车辆数量及后续采购新车的数量，本次项目拟采购160台车载监控调度一体机。</w:t>
      </w:r>
      <w:r>
        <w:t xml:space="preserve"> </w:t>
      </w:r>
    </w:p>
    <w:p>
      <w:pPr>
        <w:rPr>
          <w:rFonts w:hint="eastAsia"/>
        </w:rPr>
      </w:pPr>
      <w:r>
        <w:rPr>
          <w:rFonts w:hint="eastAsia"/>
        </w:rPr>
        <w:t>为保证对公交车辆全方位、无死角的监控，每辆车内部配备6个摄像头，驾驶员行为分析专用摄像头一个，车尾配备1个倒车摄像头，每车公交8个摄像头，监控图像本地存储在车载调度主机内，后台可以通过无线网络调用实时监控画面和录像，同时，车载机需具备有图像分析功能，能够分析车厢内乘客拥挤情况，给出拥挤度分析数据，用于支持调度系统、掌上公交APP等拥挤度信息发布等功能。</w:t>
      </w:r>
    </w:p>
    <w:p>
      <w:r>
        <w:drawing>
          <wp:inline distT="0" distB="0" distL="0" distR="0">
            <wp:extent cx="4905375" cy="3095625"/>
            <wp:effectExtent l="0" t="0" r="9525" b="9525"/>
            <wp:docPr id="1"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3"/>
                    <pic:cNvPicPr>
                      <a:picLocks noChangeAspect="1" noChangeArrowheads="1"/>
                    </pic:cNvPicPr>
                  </pic:nvPicPr>
                  <pic:blipFill>
                    <a:blip r:embed="rId4"/>
                    <a:srcRect/>
                    <a:stretch>
                      <a:fillRect/>
                    </a:stretch>
                  </pic:blipFill>
                  <pic:spPr>
                    <a:xfrm>
                      <a:off x="0" y="0"/>
                      <a:ext cx="4905375" cy="3095625"/>
                    </a:xfrm>
                    <a:prstGeom prst="rect">
                      <a:avLst/>
                    </a:prstGeom>
                    <a:noFill/>
                    <a:ln w="9525" cmpd="sng">
                      <a:noFill/>
                      <a:miter lim="800000"/>
                      <a:headEnd/>
                      <a:tailEnd/>
                    </a:ln>
                  </pic:spPr>
                </pic:pic>
              </a:graphicData>
            </a:graphic>
          </wp:inline>
        </w:drawing>
      </w:r>
    </w:p>
    <w:p>
      <w:r>
        <w:rPr>
          <w:rFonts w:hint="eastAsia"/>
        </w:rPr>
        <w:t>车载摄像头安装位置示意图</w:t>
      </w:r>
    </w:p>
    <w:p>
      <w:r>
        <w:rPr>
          <w:rFonts w:hint="eastAsia"/>
        </w:rPr>
        <w:t>车载存储硬盘</w:t>
      </w:r>
    </w:p>
    <w:p>
      <w:r>
        <w:rPr>
          <w:rFonts w:hint="eastAsia"/>
        </w:rPr>
        <w:t>1、视频存储容量计算方法：</w:t>
      </w:r>
    </w:p>
    <w:p>
      <w:r>
        <w:rPr>
          <w:rFonts w:hint="eastAsia"/>
        </w:rPr>
        <w:t>码流大小</w:t>
      </w:r>
      <w:r>
        <w:t>(单位：kb/s；即：比特率÷8)×3600(单位：秒；1小时的秒数)×24(单位：小时；一天的时间长)×90(保存的天数)×224(监控点要保存摄像机录像的总数)÷0.9(磁盘格式化的损失10%空间)=所需存储空间的大小(注：存储单位换算1TB=1024GB；1GB=1024MB；1MB=1024KB)</w:t>
      </w:r>
    </w:p>
    <w:p>
      <w:r>
        <w:rPr>
          <w:rFonts w:hint="eastAsia"/>
        </w:rPr>
        <w:t>2、车载监控集中存储所需的空间概算：</w:t>
      </w:r>
    </w:p>
    <w:p>
      <w:r>
        <w:rPr>
          <w:rFonts w:hint="eastAsia"/>
        </w:rPr>
        <w:t>本项目车载机建议配置固态硬盘：</w:t>
      </w:r>
    </w:p>
    <w:p>
      <w:r>
        <w:t>每辆车的车载监控路数是</w:t>
      </w:r>
      <w:r>
        <w:rPr>
          <w:rFonts w:hint="eastAsia"/>
        </w:rPr>
        <w:t>8</w:t>
      </w:r>
      <w:r>
        <w:t>路，采用H.26</w:t>
      </w:r>
      <w:r>
        <w:rPr>
          <w:rFonts w:hint="eastAsia"/>
        </w:rPr>
        <w:t>5</w:t>
      </w:r>
      <w:r>
        <w:t>的编码方式，码流是1M，计算公式如下：</w:t>
      </w:r>
    </w:p>
    <w:p>
      <w:r>
        <w:t>1(M)÷8（字节）×3600（秒）×1</w:t>
      </w:r>
      <w:r>
        <w:rPr>
          <w:rFonts w:hint="eastAsia"/>
        </w:rPr>
        <w:t>0</w:t>
      </w:r>
      <w:r>
        <w:t>（小时）×</w:t>
      </w:r>
      <w:r>
        <w:rPr>
          <w:rFonts w:hint="eastAsia"/>
        </w:rPr>
        <w:t>25</w:t>
      </w:r>
      <w:r>
        <w:t>（天）×</w:t>
      </w:r>
      <w:r>
        <w:rPr>
          <w:rFonts w:hint="eastAsia"/>
        </w:rPr>
        <w:t>8</w:t>
      </w:r>
      <w:r>
        <w:t>（路）÷1024（GB）</w:t>
      </w:r>
      <w:r>
        <w:rPr>
          <w:rFonts w:hint="eastAsia"/>
        </w:rPr>
        <w:t>≈879</w:t>
      </w:r>
      <w:r>
        <w:t>（GB）</w:t>
      </w:r>
    </w:p>
    <w:p>
      <w:r>
        <w:t>采用</w:t>
      </w:r>
      <w:r>
        <w:rPr>
          <w:rFonts w:hint="eastAsia"/>
        </w:rPr>
        <w:t>1</w:t>
      </w:r>
      <w:r>
        <w:t>TG硬盘，有</w:t>
      </w:r>
      <w:r>
        <w:rPr>
          <w:rFonts w:hint="eastAsia"/>
        </w:rPr>
        <w:t>10</w:t>
      </w:r>
      <w:r>
        <w:t>%存储冗余量，根据为如下：</w:t>
      </w:r>
    </w:p>
    <w:p>
      <w:r>
        <w:rPr>
          <w:rFonts w:hint="eastAsia"/>
        </w:rPr>
        <w:t>879</w:t>
      </w:r>
      <w:r>
        <w:t>÷0.9</w:t>
      </w:r>
      <w:r>
        <w:rPr>
          <w:rFonts w:hint="eastAsia"/>
        </w:rPr>
        <w:t>≈977</w:t>
      </w:r>
      <w:r>
        <w:t>（GB）</w:t>
      </w:r>
    </w:p>
    <w:p>
      <w:r>
        <w:rPr>
          <w:rFonts w:hint="eastAsia"/>
        </w:rPr>
        <w:t>所以本次项目使用的车载硬盘建议采用</w:t>
      </w:r>
      <w:r>
        <w:t>1T</w:t>
      </w:r>
      <w:r>
        <w:rPr>
          <w:rFonts w:hint="eastAsia"/>
        </w:rPr>
        <w:t>G的存储容量，可以存储8路高清视频约25天（每天按10小时存储时间计算）。</w:t>
      </w:r>
    </w:p>
    <w:p>
      <w:r>
        <w:rPr>
          <w:rFonts w:hint="eastAsia"/>
        </w:rPr>
        <w:t>车载设备具体配置</w:t>
      </w:r>
    </w:p>
    <w:p>
      <w:r>
        <w:rPr>
          <w:rFonts w:hint="eastAsia"/>
        </w:rPr>
        <w:t>每台旧车配置一个车载主机保护盒，保护盒防水、防尘、防暴，能极大延长车载主机使用寿命，防止人为损坏，配置一键报警按钮和车载手唛，在紧急情况下司机可使用一键报警按钮通知调度中心发生险情，或通过手唛直接呼叫调度中心或车内广播通知车内乘客，也可拨打IP电话，车载主机需支持多种联系方式，具体配置情况如下表。</w:t>
      </w:r>
    </w:p>
    <w:p>
      <w:r>
        <w:rPr>
          <w:rFonts w:hint="eastAsia"/>
        </w:rPr>
        <w:t>车载设备配置</w:t>
      </w:r>
      <w:r>
        <w:t>列表</w:t>
      </w:r>
    </w:p>
    <w:tbl>
      <w:tblPr>
        <w:tblStyle w:val="6"/>
        <w:tblW w:w="0" w:type="auto"/>
        <w:tblInd w:w="0" w:type="dxa"/>
        <w:tblLayout w:type="fixed"/>
        <w:tblCellMar>
          <w:top w:w="0" w:type="dxa"/>
          <w:left w:w="108" w:type="dxa"/>
          <w:bottom w:w="0" w:type="dxa"/>
          <w:right w:w="108" w:type="dxa"/>
        </w:tblCellMar>
      </w:tblPr>
      <w:tblGrid>
        <w:gridCol w:w="763"/>
        <w:gridCol w:w="1475"/>
        <w:gridCol w:w="5459"/>
        <w:gridCol w:w="916"/>
      </w:tblGrid>
      <w:tr>
        <w:tblPrEx>
          <w:tblCellMar>
            <w:top w:w="0" w:type="dxa"/>
            <w:left w:w="108" w:type="dxa"/>
            <w:bottom w:w="0" w:type="dxa"/>
            <w:right w:w="108" w:type="dxa"/>
          </w:tblCellMar>
        </w:tblPrEx>
        <w:trPr>
          <w:trHeight w:val="225" w:hRule="atLeast"/>
        </w:trPr>
        <w:tc>
          <w:tcPr>
            <w:tcW w:w="763" w:type="dxa"/>
            <w:tcBorders>
              <w:top w:val="single" w:color="auto" w:sz="4" w:space="0"/>
              <w:left w:val="single" w:color="auto" w:sz="4" w:space="0"/>
              <w:bottom w:val="single" w:color="auto" w:sz="4" w:space="0"/>
              <w:right w:val="single" w:color="auto" w:sz="4" w:space="0"/>
            </w:tcBorders>
            <w:vAlign w:val="center"/>
          </w:tcPr>
          <w:p>
            <w:r>
              <w:t>序号</w:t>
            </w:r>
          </w:p>
        </w:tc>
        <w:tc>
          <w:tcPr>
            <w:tcW w:w="1475" w:type="dxa"/>
            <w:tcBorders>
              <w:top w:val="single" w:color="auto" w:sz="4" w:space="0"/>
              <w:left w:val="nil"/>
              <w:bottom w:val="single" w:color="auto" w:sz="4" w:space="0"/>
              <w:right w:val="single" w:color="auto" w:sz="4" w:space="0"/>
            </w:tcBorders>
            <w:vAlign w:val="center"/>
          </w:tcPr>
          <w:p>
            <w:r>
              <w:t>模块名称</w:t>
            </w:r>
          </w:p>
        </w:tc>
        <w:tc>
          <w:tcPr>
            <w:tcW w:w="5459" w:type="dxa"/>
            <w:tcBorders>
              <w:top w:val="single" w:color="auto" w:sz="4" w:space="0"/>
              <w:left w:val="nil"/>
              <w:bottom w:val="single" w:color="auto" w:sz="4" w:space="0"/>
              <w:right w:val="single" w:color="auto" w:sz="4" w:space="0"/>
            </w:tcBorders>
            <w:vAlign w:val="center"/>
          </w:tcPr>
          <w:p>
            <w:r>
              <w:t>所属系统</w:t>
            </w:r>
          </w:p>
        </w:tc>
        <w:tc>
          <w:tcPr>
            <w:tcW w:w="916" w:type="dxa"/>
            <w:tcBorders>
              <w:top w:val="single" w:color="auto" w:sz="4" w:space="0"/>
              <w:left w:val="nil"/>
              <w:bottom w:val="single" w:color="auto" w:sz="4" w:space="0"/>
              <w:right w:val="single" w:color="auto" w:sz="4" w:space="0"/>
            </w:tcBorders>
            <w:vAlign w:val="center"/>
          </w:tcPr>
          <w:p>
            <w:r>
              <w:t>单位</w:t>
            </w:r>
          </w:p>
        </w:tc>
      </w:tr>
      <w:tr>
        <w:tblPrEx>
          <w:tblCellMar>
            <w:top w:w="0" w:type="dxa"/>
            <w:left w:w="108" w:type="dxa"/>
            <w:bottom w:w="0" w:type="dxa"/>
            <w:right w:w="108" w:type="dxa"/>
          </w:tblCellMar>
        </w:tblPrEx>
        <w:trPr>
          <w:trHeight w:val="1575" w:hRule="atLeast"/>
        </w:trPr>
        <w:tc>
          <w:tcPr>
            <w:tcW w:w="763" w:type="dxa"/>
            <w:tcBorders>
              <w:top w:val="nil"/>
              <w:left w:val="single" w:color="auto" w:sz="4" w:space="0"/>
              <w:bottom w:val="single" w:color="auto" w:sz="4" w:space="0"/>
              <w:right w:val="single" w:color="auto" w:sz="4" w:space="0"/>
            </w:tcBorders>
            <w:vAlign w:val="center"/>
          </w:tcPr>
          <w:p>
            <w:r>
              <w:t>1</w:t>
            </w:r>
          </w:p>
        </w:tc>
        <w:tc>
          <w:tcPr>
            <w:tcW w:w="1475" w:type="dxa"/>
            <w:tcBorders>
              <w:top w:val="nil"/>
              <w:left w:val="nil"/>
              <w:bottom w:val="single" w:color="auto" w:sz="4" w:space="0"/>
              <w:right w:val="single" w:color="auto" w:sz="4" w:space="0"/>
            </w:tcBorders>
            <w:vAlign w:val="center"/>
          </w:tcPr>
          <w:p>
            <w:r>
              <w:t>视频监控调度车载一体机</w:t>
            </w:r>
          </w:p>
        </w:tc>
        <w:tc>
          <w:tcPr>
            <w:tcW w:w="5459" w:type="dxa"/>
            <w:tcBorders>
              <w:top w:val="nil"/>
              <w:left w:val="nil"/>
              <w:bottom w:val="single" w:color="auto" w:sz="4" w:space="0"/>
              <w:right w:val="single" w:color="auto" w:sz="4" w:space="0"/>
            </w:tcBorders>
            <w:vAlign w:val="center"/>
          </w:tcPr>
          <w:p>
            <w:r>
              <w:t>车载一体化智能设备具有高度的集成性，同时能够实现自动报站、4G远程实时GPS监控、车辆调度、数据采集与存储等功能；语音支持WAV和MP3两种文件格式；采用7寸TFT全彩LCD显示屏（16:9，800*480)、配置RF考勤单元、8路音视频输入、拥挤度分析。</w:t>
            </w:r>
          </w:p>
        </w:tc>
        <w:tc>
          <w:tcPr>
            <w:tcW w:w="916" w:type="dxa"/>
            <w:tcBorders>
              <w:top w:val="nil"/>
              <w:left w:val="nil"/>
              <w:bottom w:val="single" w:color="auto" w:sz="4" w:space="0"/>
              <w:right w:val="single" w:color="auto" w:sz="4" w:space="0"/>
            </w:tcBorders>
            <w:vAlign w:val="center"/>
          </w:tcPr>
          <w:p>
            <w:r>
              <w:rPr>
                <w:rFonts w:hint="eastAsia"/>
              </w:rPr>
              <w:t>160</w:t>
            </w:r>
            <w:r>
              <w:t>套</w:t>
            </w:r>
          </w:p>
        </w:tc>
      </w:tr>
      <w:tr>
        <w:tblPrEx>
          <w:tblCellMar>
            <w:top w:w="0" w:type="dxa"/>
            <w:left w:w="108" w:type="dxa"/>
            <w:bottom w:w="0" w:type="dxa"/>
            <w:right w:w="108" w:type="dxa"/>
          </w:tblCellMar>
        </w:tblPrEx>
        <w:trPr>
          <w:trHeight w:val="225" w:hRule="atLeast"/>
        </w:trPr>
        <w:tc>
          <w:tcPr>
            <w:tcW w:w="763" w:type="dxa"/>
            <w:tcBorders>
              <w:top w:val="nil"/>
              <w:left w:val="single" w:color="auto" w:sz="4" w:space="0"/>
              <w:bottom w:val="single" w:color="auto" w:sz="4" w:space="0"/>
              <w:right w:val="single" w:color="auto" w:sz="4" w:space="0"/>
            </w:tcBorders>
            <w:vAlign w:val="center"/>
          </w:tcPr>
          <w:p>
            <w:r>
              <w:t>2</w:t>
            </w:r>
          </w:p>
        </w:tc>
        <w:tc>
          <w:tcPr>
            <w:tcW w:w="1475" w:type="dxa"/>
            <w:tcBorders>
              <w:top w:val="nil"/>
              <w:left w:val="nil"/>
              <w:bottom w:val="single" w:color="auto" w:sz="4" w:space="0"/>
              <w:right w:val="single" w:color="auto" w:sz="4" w:space="0"/>
            </w:tcBorders>
            <w:vAlign w:val="center"/>
          </w:tcPr>
          <w:p>
            <w:r>
              <w:t>电子固态盘</w:t>
            </w:r>
          </w:p>
        </w:tc>
        <w:tc>
          <w:tcPr>
            <w:tcW w:w="5459" w:type="dxa"/>
            <w:tcBorders>
              <w:top w:val="nil"/>
              <w:left w:val="nil"/>
              <w:bottom w:val="single" w:color="auto" w:sz="4" w:space="0"/>
              <w:right w:val="single" w:color="auto" w:sz="4" w:space="0"/>
            </w:tcBorders>
            <w:vAlign w:val="center"/>
          </w:tcPr>
          <w:p>
            <w:r>
              <w:t>容量1TB</w:t>
            </w:r>
          </w:p>
        </w:tc>
        <w:tc>
          <w:tcPr>
            <w:tcW w:w="916" w:type="dxa"/>
            <w:tcBorders>
              <w:top w:val="nil"/>
              <w:left w:val="nil"/>
              <w:bottom w:val="single" w:color="auto" w:sz="4" w:space="0"/>
              <w:right w:val="single" w:color="auto" w:sz="4" w:space="0"/>
            </w:tcBorders>
            <w:vAlign w:val="center"/>
          </w:tcPr>
          <w:p>
            <w:r>
              <w:rPr>
                <w:rFonts w:hint="eastAsia"/>
              </w:rPr>
              <w:t>160</w:t>
            </w:r>
            <w:r>
              <w:t>块</w:t>
            </w:r>
          </w:p>
        </w:tc>
      </w:tr>
      <w:tr>
        <w:tblPrEx>
          <w:tblCellMar>
            <w:top w:w="0" w:type="dxa"/>
            <w:left w:w="108" w:type="dxa"/>
            <w:bottom w:w="0" w:type="dxa"/>
            <w:right w:w="108" w:type="dxa"/>
          </w:tblCellMar>
        </w:tblPrEx>
        <w:trPr>
          <w:trHeight w:val="225" w:hRule="atLeast"/>
        </w:trPr>
        <w:tc>
          <w:tcPr>
            <w:tcW w:w="763" w:type="dxa"/>
            <w:tcBorders>
              <w:top w:val="nil"/>
              <w:left w:val="single" w:color="auto" w:sz="4" w:space="0"/>
              <w:bottom w:val="single" w:color="auto" w:sz="4" w:space="0"/>
              <w:right w:val="single" w:color="auto" w:sz="4" w:space="0"/>
            </w:tcBorders>
            <w:shd w:val="clear" w:color="000000" w:fill="FFFFFF"/>
            <w:vAlign w:val="center"/>
          </w:tcPr>
          <w:p>
            <w:r>
              <w:t>3</w:t>
            </w:r>
          </w:p>
        </w:tc>
        <w:tc>
          <w:tcPr>
            <w:tcW w:w="1475" w:type="dxa"/>
            <w:tcBorders>
              <w:top w:val="nil"/>
              <w:left w:val="nil"/>
              <w:bottom w:val="single" w:color="auto" w:sz="4" w:space="0"/>
              <w:right w:val="single" w:color="auto" w:sz="4" w:space="0"/>
            </w:tcBorders>
            <w:shd w:val="clear" w:color="000000" w:fill="FFFFFF"/>
            <w:vAlign w:val="center"/>
          </w:tcPr>
          <w:p>
            <w:r>
              <w:t>保护盒</w:t>
            </w:r>
          </w:p>
        </w:tc>
        <w:tc>
          <w:tcPr>
            <w:tcW w:w="5459" w:type="dxa"/>
            <w:tcBorders>
              <w:top w:val="nil"/>
              <w:left w:val="nil"/>
              <w:bottom w:val="single" w:color="auto" w:sz="4" w:space="0"/>
              <w:right w:val="single" w:color="auto" w:sz="4" w:space="0"/>
            </w:tcBorders>
            <w:shd w:val="clear" w:color="000000" w:fill="FFFFFF"/>
            <w:vAlign w:val="center"/>
          </w:tcPr>
          <w:p>
            <w:r>
              <w:t>车载保护盒，供一体机主机使用</w:t>
            </w:r>
            <w:r>
              <w:rPr>
                <w:rFonts w:hint="eastAsia"/>
              </w:rPr>
              <w:t>（旧车改装）</w:t>
            </w:r>
          </w:p>
        </w:tc>
        <w:tc>
          <w:tcPr>
            <w:tcW w:w="916" w:type="dxa"/>
            <w:tcBorders>
              <w:top w:val="nil"/>
              <w:left w:val="nil"/>
              <w:bottom w:val="single" w:color="auto" w:sz="4" w:space="0"/>
              <w:right w:val="single" w:color="auto" w:sz="4" w:space="0"/>
            </w:tcBorders>
            <w:shd w:val="clear" w:color="000000" w:fill="FFFFFF"/>
            <w:vAlign w:val="center"/>
          </w:tcPr>
          <w:p>
            <w:r>
              <w:rPr>
                <w:rFonts w:hint="eastAsia"/>
              </w:rPr>
              <w:t>60</w:t>
            </w:r>
            <w:r>
              <w:t>套</w:t>
            </w:r>
          </w:p>
        </w:tc>
      </w:tr>
      <w:tr>
        <w:tblPrEx>
          <w:tblCellMar>
            <w:top w:w="0" w:type="dxa"/>
            <w:left w:w="108" w:type="dxa"/>
            <w:bottom w:w="0" w:type="dxa"/>
            <w:right w:w="108" w:type="dxa"/>
          </w:tblCellMar>
        </w:tblPrEx>
        <w:trPr>
          <w:trHeight w:val="225" w:hRule="atLeast"/>
        </w:trPr>
        <w:tc>
          <w:tcPr>
            <w:tcW w:w="763" w:type="dxa"/>
            <w:tcBorders>
              <w:top w:val="nil"/>
              <w:left w:val="single" w:color="auto" w:sz="4" w:space="0"/>
              <w:bottom w:val="single" w:color="auto" w:sz="4" w:space="0"/>
              <w:right w:val="single" w:color="auto" w:sz="4" w:space="0"/>
            </w:tcBorders>
            <w:vAlign w:val="center"/>
          </w:tcPr>
          <w:p>
            <w:r>
              <w:t>4</w:t>
            </w:r>
          </w:p>
        </w:tc>
        <w:tc>
          <w:tcPr>
            <w:tcW w:w="1475" w:type="dxa"/>
            <w:tcBorders>
              <w:top w:val="nil"/>
              <w:left w:val="nil"/>
              <w:bottom w:val="single" w:color="auto" w:sz="4" w:space="0"/>
              <w:right w:val="single" w:color="auto" w:sz="4" w:space="0"/>
            </w:tcBorders>
            <w:vAlign w:val="center"/>
          </w:tcPr>
          <w:p>
            <w:r>
              <w:rPr>
                <w:rFonts w:hint="eastAsia"/>
              </w:rPr>
              <w:t>智能车载终端嵌入式软件</w:t>
            </w:r>
          </w:p>
        </w:tc>
        <w:tc>
          <w:tcPr>
            <w:tcW w:w="5459" w:type="dxa"/>
            <w:tcBorders>
              <w:top w:val="nil"/>
              <w:left w:val="nil"/>
              <w:bottom w:val="single" w:color="auto" w:sz="4" w:space="0"/>
              <w:right w:val="single" w:color="auto" w:sz="4" w:space="0"/>
            </w:tcBorders>
            <w:vAlign w:val="center"/>
          </w:tcPr>
          <w:p>
            <w:r>
              <w:rPr>
                <w:rFonts w:hint="eastAsia"/>
              </w:rPr>
              <w:t>嵌入式软件，支撑车辆报站、车辆监控、车辆调度、数据采集、车载视频监控、运营状态监控、违规提醒、拥挤度分析等功能</w:t>
            </w:r>
          </w:p>
        </w:tc>
        <w:tc>
          <w:tcPr>
            <w:tcW w:w="916" w:type="dxa"/>
            <w:tcBorders>
              <w:top w:val="nil"/>
              <w:left w:val="nil"/>
              <w:bottom w:val="single" w:color="auto" w:sz="4" w:space="0"/>
              <w:right w:val="single" w:color="auto" w:sz="4" w:space="0"/>
            </w:tcBorders>
            <w:vAlign w:val="center"/>
          </w:tcPr>
          <w:p>
            <w:r>
              <w:rPr>
                <w:rFonts w:hint="eastAsia"/>
              </w:rPr>
              <w:t>160</w:t>
            </w:r>
            <w:r>
              <w:t>个</w:t>
            </w:r>
          </w:p>
        </w:tc>
      </w:tr>
      <w:tr>
        <w:tblPrEx>
          <w:tblCellMar>
            <w:top w:w="0" w:type="dxa"/>
            <w:left w:w="108" w:type="dxa"/>
            <w:bottom w:w="0" w:type="dxa"/>
            <w:right w:w="108" w:type="dxa"/>
          </w:tblCellMar>
        </w:tblPrEx>
        <w:trPr>
          <w:trHeight w:val="225" w:hRule="atLeast"/>
        </w:trPr>
        <w:tc>
          <w:tcPr>
            <w:tcW w:w="763" w:type="dxa"/>
            <w:tcBorders>
              <w:top w:val="nil"/>
              <w:left w:val="single" w:color="auto" w:sz="4" w:space="0"/>
              <w:bottom w:val="single" w:color="auto" w:sz="4" w:space="0"/>
              <w:right w:val="single" w:color="auto" w:sz="4" w:space="0"/>
            </w:tcBorders>
            <w:vAlign w:val="center"/>
          </w:tcPr>
          <w:p>
            <w:r>
              <w:t>5</w:t>
            </w:r>
          </w:p>
        </w:tc>
        <w:tc>
          <w:tcPr>
            <w:tcW w:w="1475" w:type="dxa"/>
            <w:tcBorders>
              <w:top w:val="nil"/>
              <w:left w:val="nil"/>
              <w:bottom w:val="single" w:color="auto" w:sz="4" w:space="0"/>
              <w:right w:val="single" w:color="auto" w:sz="4" w:space="0"/>
            </w:tcBorders>
            <w:vAlign w:val="center"/>
          </w:tcPr>
          <w:p>
            <w:r>
              <w:rPr>
                <w:rFonts w:hint="eastAsia"/>
              </w:rPr>
              <w:t>配套线材及报警按钮</w:t>
            </w:r>
          </w:p>
        </w:tc>
        <w:tc>
          <w:tcPr>
            <w:tcW w:w="5459" w:type="dxa"/>
            <w:tcBorders>
              <w:top w:val="nil"/>
              <w:left w:val="nil"/>
              <w:bottom w:val="single" w:color="auto" w:sz="4" w:space="0"/>
              <w:right w:val="single" w:color="auto" w:sz="4" w:space="0"/>
            </w:tcBorders>
            <w:vAlign w:val="center"/>
          </w:tcPr>
          <w:p>
            <w:r>
              <w:rPr>
                <w:rFonts w:hint="eastAsia"/>
              </w:rPr>
              <w:t>4G天线、北斗GPS双模天线、音视频延长线、电源延长线、开关量延长线、语音线、LCD屏延长线、喊话器线、报警按钮延长线、RS232与LED屏通讯线、RS485与头牌腰牌尾牌以及导向牌、CAN延长线等</w:t>
            </w:r>
          </w:p>
        </w:tc>
        <w:tc>
          <w:tcPr>
            <w:tcW w:w="916" w:type="dxa"/>
            <w:tcBorders>
              <w:top w:val="nil"/>
              <w:left w:val="nil"/>
              <w:bottom w:val="single" w:color="auto" w:sz="4" w:space="0"/>
              <w:right w:val="single" w:color="auto" w:sz="4" w:space="0"/>
            </w:tcBorders>
            <w:vAlign w:val="center"/>
          </w:tcPr>
          <w:p>
            <w:r>
              <w:rPr>
                <w:rFonts w:hint="eastAsia"/>
              </w:rPr>
              <w:t>160</w:t>
            </w:r>
            <w:r>
              <w:t>套</w:t>
            </w:r>
          </w:p>
        </w:tc>
      </w:tr>
      <w:tr>
        <w:tblPrEx>
          <w:tblCellMar>
            <w:top w:w="0" w:type="dxa"/>
            <w:left w:w="108" w:type="dxa"/>
            <w:bottom w:w="0" w:type="dxa"/>
            <w:right w:w="108" w:type="dxa"/>
          </w:tblCellMar>
        </w:tblPrEx>
        <w:trPr>
          <w:trHeight w:val="765" w:hRule="atLeast"/>
        </w:trPr>
        <w:tc>
          <w:tcPr>
            <w:tcW w:w="763" w:type="dxa"/>
            <w:tcBorders>
              <w:top w:val="nil"/>
              <w:left w:val="single" w:color="auto" w:sz="4" w:space="0"/>
              <w:bottom w:val="single" w:color="auto" w:sz="4" w:space="0"/>
              <w:right w:val="single" w:color="auto" w:sz="4" w:space="0"/>
            </w:tcBorders>
            <w:vAlign w:val="center"/>
          </w:tcPr>
          <w:p>
            <w:r>
              <w:t>6</w:t>
            </w:r>
          </w:p>
        </w:tc>
        <w:tc>
          <w:tcPr>
            <w:tcW w:w="1475" w:type="dxa"/>
            <w:tcBorders>
              <w:top w:val="nil"/>
              <w:left w:val="nil"/>
              <w:bottom w:val="single" w:color="auto" w:sz="4" w:space="0"/>
              <w:right w:val="single" w:color="auto" w:sz="4" w:space="0"/>
            </w:tcBorders>
            <w:vAlign w:val="center"/>
          </w:tcPr>
          <w:p>
            <w:r>
              <w:t>车载长焦半球摄像头</w:t>
            </w:r>
          </w:p>
        </w:tc>
        <w:tc>
          <w:tcPr>
            <w:tcW w:w="5459" w:type="dxa"/>
            <w:tcBorders>
              <w:top w:val="nil"/>
              <w:left w:val="nil"/>
              <w:bottom w:val="single" w:color="auto" w:sz="4" w:space="0"/>
              <w:right w:val="single" w:color="auto" w:sz="4" w:space="0"/>
            </w:tcBorders>
            <w:vAlign w:val="center"/>
          </w:tcPr>
          <w:p>
            <w:r>
              <w:rPr>
                <w:rFonts w:hint="eastAsia"/>
              </w:rPr>
              <w:t>采用200万像素高性能逐行扫描CMOS传感器，支持双码流同时输出，主码流最高分辨率1080p@30fps，采用H.265视频压缩技术, 星光级照度，最低照度可达0.001LUX，无需红外灯补光，24小时全彩色视频，支持自动电子快门功能，适应不同监控环境，集成拾音器（每台车标配6个）</w:t>
            </w:r>
          </w:p>
        </w:tc>
        <w:tc>
          <w:tcPr>
            <w:tcW w:w="916" w:type="dxa"/>
            <w:tcBorders>
              <w:top w:val="nil"/>
              <w:left w:val="nil"/>
              <w:bottom w:val="single" w:color="auto" w:sz="4" w:space="0"/>
              <w:right w:val="single" w:color="auto" w:sz="4" w:space="0"/>
            </w:tcBorders>
            <w:vAlign w:val="center"/>
          </w:tcPr>
          <w:p>
            <w:r>
              <w:rPr>
                <w:rFonts w:hint="eastAsia"/>
              </w:rPr>
              <w:t>160</w:t>
            </w:r>
            <w:r>
              <w:t>套</w:t>
            </w:r>
          </w:p>
        </w:tc>
      </w:tr>
      <w:tr>
        <w:tblPrEx>
          <w:tblCellMar>
            <w:top w:w="0" w:type="dxa"/>
            <w:left w:w="108" w:type="dxa"/>
            <w:bottom w:w="0" w:type="dxa"/>
            <w:right w:w="108" w:type="dxa"/>
          </w:tblCellMar>
        </w:tblPrEx>
        <w:trPr>
          <w:trHeight w:val="720" w:hRule="atLeast"/>
        </w:trPr>
        <w:tc>
          <w:tcPr>
            <w:tcW w:w="763" w:type="dxa"/>
            <w:tcBorders>
              <w:top w:val="nil"/>
              <w:left w:val="single" w:color="auto" w:sz="4" w:space="0"/>
              <w:bottom w:val="single" w:color="auto" w:sz="4" w:space="0"/>
              <w:right w:val="single" w:color="auto" w:sz="4" w:space="0"/>
            </w:tcBorders>
            <w:vAlign w:val="center"/>
          </w:tcPr>
          <w:p>
            <w:r>
              <w:t>7</w:t>
            </w:r>
          </w:p>
        </w:tc>
        <w:tc>
          <w:tcPr>
            <w:tcW w:w="1475" w:type="dxa"/>
            <w:tcBorders>
              <w:top w:val="nil"/>
              <w:left w:val="nil"/>
              <w:bottom w:val="single" w:color="auto" w:sz="4" w:space="0"/>
              <w:right w:val="single" w:color="auto" w:sz="4" w:space="0"/>
            </w:tcBorders>
            <w:vAlign w:val="center"/>
          </w:tcPr>
          <w:p>
            <w:r>
              <w:rPr>
                <w:rFonts w:hint="eastAsia"/>
              </w:rPr>
              <w:t>驾驶员行为分析摄像头</w:t>
            </w:r>
          </w:p>
        </w:tc>
        <w:tc>
          <w:tcPr>
            <w:tcW w:w="5459" w:type="dxa"/>
            <w:tcBorders>
              <w:top w:val="nil"/>
              <w:left w:val="nil"/>
              <w:bottom w:val="single" w:color="auto" w:sz="4" w:space="0"/>
              <w:right w:val="single" w:color="auto" w:sz="4" w:space="0"/>
            </w:tcBorders>
            <w:vAlign w:val="center"/>
          </w:tcPr>
          <w:p>
            <w:pPr>
              <w:rPr>
                <w:rFonts w:hint="eastAsia"/>
              </w:rPr>
            </w:pPr>
            <w:r>
              <w:rPr>
                <w:rFonts w:hint="eastAsia"/>
              </w:rPr>
              <w:t>采用SONY 200万像素 1/2.8"逐行扫描 CMOS传感器，清晰度高，色彩还原好 支持双码流同时输出，主码流最高分辨率1080p@25fps，采用H.265视频压缩技术, 夜视红外距离5米，支持自动电子快门功能,适应不同监控环境，IP66防水等级设计。</w:t>
            </w:r>
          </w:p>
          <w:p>
            <w:r>
              <w:rPr>
                <w:rFonts w:hint="eastAsia"/>
              </w:rPr>
              <w:t>带殊制红外光源无可见光不影响驾驶员。（每台标配1个）</w:t>
            </w:r>
          </w:p>
        </w:tc>
        <w:tc>
          <w:tcPr>
            <w:tcW w:w="916" w:type="dxa"/>
            <w:tcBorders>
              <w:top w:val="nil"/>
              <w:left w:val="nil"/>
              <w:bottom w:val="single" w:color="auto" w:sz="4" w:space="0"/>
              <w:right w:val="single" w:color="auto" w:sz="4" w:space="0"/>
            </w:tcBorders>
            <w:vAlign w:val="center"/>
          </w:tcPr>
          <w:p>
            <w:r>
              <w:rPr>
                <w:rFonts w:hint="eastAsia"/>
              </w:rPr>
              <w:t>160</w:t>
            </w:r>
            <w:r>
              <w:t>套</w:t>
            </w:r>
          </w:p>
        </w:tc>
      </w:tr>
      <w:tr>
        <w:tblPrEx>
          <w:tblCellMar>
            <w:top w:w="0" w:type="dxa"/>
            <w:left w:w="108" w:type="dxa"/>
            <w:bottom w:w="0" w:type="dxa"/>
            <w:right w:w="108" w:type="dxa"/>
          </w:tblCellMar>
        </w:tblPrEx>
        <w:trPr>
          <w:trHeight w:val="615" w:hRule="atLeast"/>
        </w:trPr>
        <w:tc>
          <w:tcPr>
            <w:tcW w:w="763" w:type="dxa"/>
            <w:tcBorders>
              <w:top w:val="nil"/>
              <w:left w:val="single" w:color="auto" w:sz="4" w:space="0"/>
              <w:bottom w:val="single" w:color="auto" w:sz="4" w:space="0"/>
              <w:right w:val="single" w:color="auto" w:sz="4" w:space="0"/>
            </w:tcBorders>
            <w:vAlign w:val="center"/>
          </w:tcPr>
          <w:p>
            <w:r>
              <w:t>8</w:t>
            </w:r>
          </w:p>
        </w:tc>
        <w:tc>
          <w:tcPr>
            <w:tcW w:w="1475" w:type="dxa"/>
            <w:tcBorders>
              <w:top w:val="nil"/>
              <w:left w:val="nil"/>
              <w:bottom w:val="single" w:color="auto" w:sz="4" w:space="0"/>
              <w:right w:val="single" w:color="auto" w:sz="4" w:space="0"/>
            </w:tcBorders>
            <w:vAlign w:val="center"/>
          </w:tcPr>
          <w:p>
            <w:r>
              <w:t>倒车摄像头</w:t>
            </w:r>
          </w:p>
        </w:tc>
        <w:tc>
          <w:tcPr>
            <w:tcW w:w="5459" w:type="dxa"/>
            <w:tcBorders>
              <w:top w:val="nil"/>
              <w:left w:val="nil"/>
              <w:bottom w:val="single" w:color="auto" w:sz="4" w:space="0"/>
              <w:right w:val="single" w:color="auto" w:sz="4" w:space="0"/>
            </w:tcBorders>
            <w:vAlign w:val="center"/>
          </w:tcPr>
          <w:p>
            <w:pPr>
              <w:rPr>
                <w:rFonts w:hint="eastAsia"/>
              </w:rPr>
            </w:pPr>
            <w:r>
              <w:rPr>
                <w:rFonts w:hint="eastAsia"/>
              </w:rPr>
              <w:t>1/2.9" Progressive Scan CMOS  ，高清分辨率1920×1080，支持多种分辨率</w:t>
            </w:r>
          </w:p>
          <w:p>
            <w:pPr>
              <w:rPr>
                <w:rFonts w:hint="eastAsia"/>
              </w:rPr>
            </w:pPr>
            <w:r>
              <w:rPr>
                <w:rFonts w:hint="eastAsia"/>
              </w:rPr>
              <w:t>最低照度：0.1Lux @(F1.2,AGC ON) ,0Lux with IR</w:t>
            </w:r>
          </w:p>
          <w:p>
            <w:pPr>
              <w:rPr>
                <w:rFonts w:hint="eastAsia"/>
              </w:rPr>
            </w:pPr>
            <w:r>
              <w:rPr>
                <w:rFonts w:hint="eastAsia"/>
              </w:rPr>
              <w:t>支持ONVIF国际标准协议接入</w:t>
            </w:r>
          </w:p>
          <w:p>
            <w:pPr>
              <w:rPr>
                <w:rFonts w:hint="eastAsia"/>
              </w:rPr>
            </w:pPr>
            <w:r>
              <w:rPr>
                <w:rFonts w:hint="eastAsia"/>
              </w:rPr>
              <w:t>H.265视频压缩算法</w:t>
            </w:r>
          </w:p>
          <w:p>
            <w:r>
              <w:rPr>
                <w:rFonts w:hint="eastAsia"/>
              </w:rPr>
              <w:t>IR-CUT滤光片切换技术，最大限度地实现日/夜成像品质（每台车标配1个）</w:t>
            </w:r>
          </w:p>
        </w:tc>
        <w:tc>
          <w:tcPr>
            <w:tcW w:w="916" w:type="dxa"/>
            <w:tcBorders>
              <w:top w:val="nil"/>
              <w:left w:val="nil"/>
              <w:bottom w:val="single" w:color="auto" w:sz="4" w:space="0"/>
              <w:right w:val="single" w:color="auto" w:sz="4" w:space="0"/>
            </w:tcBorders>
            <w:vAlign w:val="center"/>
          </w:tcPr>
          <w:p>
            <w:r>
              <w:rPr>
                <w:rFonts w:hint="eastAsia"/>
              </w:rPr>
              <w:t>160</w:t>
            </w:r>
            <w:r>
              <w:t>套</w:t>
            </w:r>
          </w:p>
        </w:tc>
      </w:tr>
    </w:tbl>
    <w:p/>
    <w:p>
      <w:bookmarkStart w:id="9" w:name="_Toc22640306"/>
      <w:r>
        <w:rPr>
          <w:rFonts w:hint="eastAsia"/>
        </w:rPr>
        <w:t>I</w:t>
      </w:r>
      <w:r>
        <w:t>C</w:t>
      </w:r>
      <w:r>
        <w:rPr>
          <w:rFonts w:hint="eastAsia"/>
        </w:rPr>
        <w:t>刷卡及移动支付功能需求</w:t>
      </w:r>
      <w:bookmarkEnd w:id="9"/>
    </w:p>
    <w:p>
      <w:r>
        <w:rPr>
          <w:rFonts w:hint="eastAsia"/>
        </w:rPr>
        <w:t>通过与霍山公交的深入沟通，公交IC卡管理系统升级建设工作包括以下六方面：</w:t>
      </w:r>
    </w:p>
    <w:p>
      <w:r>
        <w:rPr>
          <w:rFonts w:hint="eastAsia"/>
        </w:rPr>
        <w:t>建设一套具有交通部标准的IC卡收费系统。</w:t>
      </w:r>
    </w:p>
    <w:p>
      <w:r>
        <w:rPr>
          <w:rFonts w:hint="eastAsia"/>
        </w:rPr>
        <w:t>建设无线数据传输管理平台。</w:t>
      </w:r>
    </w:p>
    <w:p>
      <w:r>
        <w:rPr>
          <w:rFonts w:hint="eastAsia"/>
        </w:rPr>
        <w:t>建设霍山公交二维码支付系统，对接支付宝、微信、银联等第三方支付功能。</w:t>
      </w:r>
    </w:p>
    <w:p>
      <w:r>
        <w:rPr>
          <w:rFonts w:hint="eastAsia"/>
        </w:rPr>
        <w:t>自助充值系统</w:t>
      </w:r>
    </w:p>
    <w:tbl>
      <w:tblPr>
        <w:tblStyle w:val="6"/>
        <w:tblW w:w="0" w:type="auto"/>
        <w:jc w:val="center"/>
        <w:tblLayout w:type="fixed"/>
        <w:tblCellMar>
          <w:top w:w="0" w:type="dxa"/>
          <w:left w:w="108" w:type="dxa"/>
          <w:bottom w:w="0" w:type="dxa"/>
          <w:right w:w="108" w:type="dxa"/>
        </w:tblCellMar>
      </w:tblPr>
      <w:tblGrid>
        <w:gridCol w:w="1085"/>
        <w:gridCol w:w="2200"/>
        <w:gridCol w:w="4158"/>
        <w:gridCol w:w="1085"/>
      </w:tblGrid>
      <w:tr>
        <w:tblPrEx>
          <w:tblCellMar>
            <w:top w:w="0" w:type="dxa"/>
            <w:left w:w="108" w:type="dxa"/>
            <w:bottom w:w="0" w:type="dxa"/>
            <w:right w:w="108" w:type="dxa"/>
          </w:tblCellMar>
        </w:tblPrEx>
        <w:trPr>
          <w:trHeight w:val="225" w:hRule="atLeast"/>
          <w:jc w:val="center"/>
        </w:trPr>
        <w:tc>
          <w:tcPr>
            <w:tcW w:w="1085" w:type="dxa"/>
            <w:tcBorders>
              <w:top w:val="single" w:color="auto" w:sz="4" w:space="0"/>
              <w:left w:val="single" w:color="auto" w:sz="4" w:space="0"/>
              <w:bottom w:val="single" w:color="auto" w:sz="4" w:space="0"/>
              <w:right w:val="single" w:color="auto" w:sz="4" w:space="0"/>
            </w:tcBorders>
            <w:vAlign w:val="center"/>
          </w:tcPr>
          <w:p>
            <w:r>
              <w:t>序号</w:t>
            </w:r>
          </w:p>
        </w:tc>
        <w:tc>
          <w:tcPr>
            <w:tcW w:w="2200" w:type="dxa"/>
            <w:tcBorders>
              <w:top w:val="single" w:color="auto" w:sz="4" w:space="0"/>
              <w:left w:val="nil"/>
              <w:bottom w:val="single" w:color="auto" w:sz="4" w:space="0"/>
              <w:right w:val="single" w:color="auto" w:sz="4" w:space="0"/>
            </w:tcBorders>
            <w:vAlign w:val="center"/>
          </w:tcPr>
          <w:p>
            <w:r>
              <w:t>模块名称</w:t>
            </w:r>
          </w:p>
        </w:tc>
        <w:tc>
          <w:tcPr>
            <w:tcW w:w="4158" w:type="dxa"/>
            <w:tcBorders>
              <w:top w:val="single" w:color="auto" w:sz="4" w:space="0"/>
              <w:left w:val="nil"/>
              <w:bottom w:val="single" w:color="auto" w:sz="4" w:space="0"/>
              <w:right w:val="single" w:color="auto" w:sz="4" w:space="0"/>
            </w:tcBorders>
            <w:vAlign w:val="center"/>
          </w:tcPr>
          <w:p>
            <w:r>
              <w:t>所属系统</w:t>
            </w:r>
          </w:p>
        </w:tc>
        <w:tc>
          <w:tcPr>
            <w:tcW w:w="1085" w:type="dxa"/>
            <w:tcBorders>
              <w:top w:val="single" w:color="auto" w:sz="4" w:space="0"/>
              <w:left w:val="nil"/>
              <w:bottom w:val="single" w:color="auto" w:sz="4" w:space="0"/>
              <w:right w:val="single" w:color="auto" w:sz="4" w:space="0"/>
            </w:tcBorders>
            <w:vAlign w:val="center"/>
          </w:tcPr>
          <w:p>
            <w:r>
              <w:t>单位</w:t>
            </w:r>
          </w:p>
        </w:tc>
      </w:tr>
      <w:tr>
        <w:tblPrEx>
          <w:tblCellMar>
            <w:top w:w="0" w:type="dxa"/>
            <w:left w:w="108" w:type="dxa"/>
            <w:bottom w:w="0" w:type="dxa"/>
            <w:right w:w="108" w:type="dxa"/>
          </w:tblCellMar>
        </w:tblPrEx>
        <w:trPr>
          <w:trHeight w:val="225" w:hRule="atLeast"/>
          <w:jc w:val="center"/>
        </w:trPr>
        <w:tc>
          <w:tcPr>
            <w:tcW w:w="1085" w:type="dxa"/>
            <w:tcBorders>
              <w:top w:val="nil"/>
              <w:left w:val="single" w:color="auto" w:sz="4" w:space="0"/>
              <w:bottom w:val="single" w:color="auto" w:sz="4" w:space="0"/>
              <w:right w:val="single" w:color="auto" w:sz="4" w:space="0"/>
            </w:tcBorders>
            <w:vAlign w:val="center"/>
          </w:tcPr>
          <w:p>
            <w:r>
              <w:t>1</w:t>
            </w:r>
          </w:p>
        </w:tc>
        <w:tc>
          <w:tcPr>
            <w:tcW w:w="2200" w:type="dxa"/>
            <w:tcBorders>
              <w:top w:val="nil"/>
              <w:left w:val="nil"/>
              <w:bottom w:val="single" w:color="auto" w:sz="4" w:space="0"/>
              <w:right w:val="single" w:color="auto" w:sz="4" w:space="0"/>
            </w:tcBorders>
            <w:vAlign w:val="center"/>
          </w:tcPr>
          <w:p>
            <w:r>
              <w:rPr>
                <w:rFonts w:hint="eastAsia"/>
              </w:rPr>
              <w:t>清算管理</w:t>
            </w:r>
          </w:p>
        </w:tc>
        <w:tc>
          <w:tcPr>
            <w:tcW w:w="4158" w:type="dxa"/>
            <w:tcBorders>
              <w:top w:val="nil"/>
              <w:left w:val="nil"/>
              <w:bottom w:val="single" w:color="auto" w:sz="4" w:space="0"/>
              <w:right w:val="single" w:color="auto" w:sz="4" w:space="0"/>
            </w:tcBorders>
            <w:vAlign w:val="center"/>
          </w:tcPr>
          <w:p>
            <w:pPr>
              <w:rPr>
                <w:rFonts w:hint="eastAsia"/>
              </w:rPr>
            </w:pPr>
            <w:r>
              <w:rPr>
                <w:rFonts w:hint="eastAsia"/>
              </w:rPr>
              <w:t>I</w:t>
            </w:r>
            <w:r>
              <w:t>C</w:t>
            </w:r>
            <w:r>
              <w:rPr>
                <w:rFonts w:hint="eastAsia"/>
              </w:rPr>
              <w:t>刷卡及移动支付</w:t>
            </w:r>
            <w:r>
              <w:t>系统</w:t>
            </w:r>
          </w:p>
        </w:tc>
        <w:tc>
          <w:tcPr>
            <w:tcW w:w="1085" w:type="dxa"/>
            <w:tcBorders>
              <w:top w:val="nil"/>
              <w:left w:val="nil"/>
              <w:bottom w:val="single" w:color="auto" w:sz="4" w:space="0"/>
              <w:right w:val="single" w:color="auto" w:sz="4" w:space="0"/>
            </w:tcBorders>
            <w:vAlign w:val="center"/>
          </w:tcPr>
          <w:p>
            <w:r>
              <w:rPr>
                <w:rFonts w:hint="eastAsia"/>
              </w:rPr>
              <w:t>1</w:t>
            </w:r>
            <w:r>
              <w:t>项</w:t>
            </w:r>
          </w:p>
        </w:tc>
      </w:tr>
      <w:tr>
        <w:tblPrEx>
          <w:tblCellMar>
            <w:top w:w="0" w:type="dxa"/>
            <w:left w:w="108" w:type="dxa"/>
            <w:bottom w:w="0" w:type="dxa"/>
            <w:right w:w="108" w:type="dxa"/>
          </w:tblCellMar>
        </w:tblPrEx>
        <w:trPr>
          <w:trHeight w:val="225" w:hRule="atLeast"/>
          <w:jc w:val="center"/>
        </w:trPr>
        <w:tc>
          <w:tcPr>
            <w:tcW w:w="1085" w:type="dxa"/>
            <w:tcBorders>
              <w:top w:val="nil"/>
              <w:left w:val="single" w:color="auto" w:sz="4" w:space="0"/>
              <w:bottom w:val="single" w:color="auto" w:sz="4" w:space="0"/>
              <w:right w:val="single" w:color="auto" w:sz="4" w:space="0"/>
            </w:tcBorders>
            <w:vAlign w:val="center"/>
          </w:tcPr>
          <w:p>
            <w:r>
              <w:t>2</w:t>
            </w:r>
          </w:p>
        </w:tc>
        <w:tc>
          <w:tcPr>
            <w:tcW w:w="2200" w:type="dxa"/>
            <w:tcBorders>
              <w:top w:val="nil"/>
              <w:left w:val="nil"/>
              <w:bottom w:val="single" w:color="auto" w:sz="4" w:space="0"/>
              <w:right w:val="single" w:color="auto" w:sz="4" w:space="0"/>
            </w:tcBorders>
            <w:vAlign w:val="center"/>
          </w:tcPr>
          <w:p>
            <w:r>
              <w:rPr>
                <w:rFonts w:hint="eastAsia"/>
              </w:rPr>
              <w:t>卡发行管理</w:t>
            </w:r>
          </w:p>
        </w:tc>
        <w:tc>
          <w:tcPr>
            <w:tcW w:w="4158" w:type="dxa"/>
            <w:tcBorders>
              <w:top w:val="nil"/>
              <w:left w:val="nil"/>
              <w:bottom w:val="single" w:color="auto" w:sz="4" w:space="0"/>
              <w:right w:val="single" w:color="auto" w:sz="4" w:space="0"/>
            </w:tcBorders>
            <w:vAlign w:val="center"/>
          </w:tcPr>
          <w:p>
            <w:pPr>
              <w:rPr>
                <w:rFonts w:hint="eastAsia"/>
              </w:rPr>
            </w:pPr>
            <w:r>
              <w:rPr>
                <w:rFonts w:hint="eastAsia"/>
              </w:rPr>
              <w:t>I</w:t>
            </w:r>
            <w:r>
              <w:t>C</w:t>
            </w:r>
            <w:r>
              <w:rPr>
                <w:rFonts w:hint="eastAsia"/>
              </w:rPr>
              <w:t>刷卡及移动支付</w:t>
            </w:r>
            <w:r>
              <w:t>系统</w:t>
            </w:r>
          </w:p>
        </w:tc>
        <w:tc>
          <w:tcPr>
            <w:tcW w:w="1085" w:type="dxa"/>
            <w:tcBorders>
              <w:top w:val="nil"/>
              <w:left w:val="nil"/>
              <w:bottom w:val="single" w:color="auto" w:sz="4" w:space="0"/>
              <w:right w:val="single" w:color="auto" w:sz="4" w:space="0"/>
            </w:tcBorders>
            <w:vAlign w:val="center"/>
          </w:tcPr>
          <w:p>
            <w:r>
              <w:rPr>
                <w:rFonts w:hint="eastAsia"/>
              </w:rPr>
              <w:t>1</w:t>
            </w:r>
            <w:r>
              <w:t>项</w:t>
            </w:r>
          </w:p>
        </w:tc>
      </w:tr>
      <w:tr>
        <w:tblPrEx>
          <w:tblCellMar>
            <w:top w:w="0" w:type="dxa"/>
            <w:left w:w="108" w:type="dxa"/>
            <w:bottom w:w="0" w:type="dxa"/>
            <w:right w:w="108" w:type="dxa"/>
          </w:tblCellMar>
        </w:tblPrEx>
        <w:trPr>
          <w:trHeight w:val="225" w:hRule="atLeast"/>
          <w:jc w:val="center"/>
        </w:trPr>
        <w:tc>
          <w:tcPr>
            <w:tcW w:w="1085" w:type="dxa"/>
            <w:tcBorders>
              <w:top w:val="nil"/>
              <w:left w:val="single" w:color="auto" w:sz="4" w:space="0"/>
              <w:bottom w:val="single" w:color="auto" w:sz="4" w:space="0"/>
              <w:right w:val="single" w:color="auto" w:sz="4" w:space="0"/>
            </w:tcBorders>
            <w:vAlign w:val="center"/>
          </w:tcPr>
          <w:p>
            <w:r>
              <w:t>3</w:t>
            </w:r>
          </w:p>
        </w:tc>
        <w:tc>
          <w:tcPr>
            <w:tcW w:w="2200" w:type="dxa"/>
            <w:tcBorders>
              <w:top w:val="nil"/>
              <w:left w:val="nil"/>
              <w:bottom w:val="single" w:color="auto" w:sz="4" w:space="0"/>
              <w:right w:val="single" w:color="auto" w:sz="4" w:space="0"/>
            </w:tcBorders>
            <w:vAlign w:val="center"/>
          </w:tcPr>
          <w:p>
            <w:r>
              <w:rPr>
                <w:rFonts w:hint="eastAsia"/>
              </w:rPr>
              <w:t>卡运营管理</w:t>
            </w:r>
          </w:p>
        </w:tc>
        <w:tc>
          <w:tcPr>
            <w:tcW w:w="4158" w:type="dxa"/>
            <w:tcBorders>
              <w:top w:val="nil"/>
              <w:left w:val="nil"/>
              <w:bottom w:val="single" w:color="auto" w:sz="4" w:space="0"/>
              <w:right w:val="single" w:color="auto" w:sz="4" w:space="0"/>
            </w:tcBorders>
            <w:vAlign w:val="center"/>
          </w:tcPr>
          <w:p>
            <w:pPr>
              <w:rPr>
                <w:rFonts w:hint="eastAsia"/>
              </w:rPr>
            </w:pPr>
            <w:r>
              <w:rPr>
                <w:rFonts w:hint="eastAsia"/>
              </w:rPr>
              <w:t>I</w:t>
            </w:r>
            <w:r>
              <w:t>C</w:t>
            </w:r>
            <w:r>
              <w:rPr>
                <w:rFonts w:hint="eastAsia"/>
              </w:rPr>
              <w:t>刷卡及移动支付</w:t>
            </w:r>
            <w:r>
              <w:t>系统</w:t>
            </w:r>
          </w:p>
        </w:tc>
        <w:tc>
          <w:tcPr>
            <w:tcW w:w="1085" w:type="dxa"/>
            <w:tcBorders>
              <w:top w:val="nil"/>
              <w:left w:val="nil"/>
              <w:bottom w:val="single" w:color="auto" w:sz="4" w:space="0"/>
              <w:right w:val="single" w:color="auto" w:sz="4" w:space="0"/>
            </w:tcBorders>
            <w:vAlign w:val="center"/>
          </w:tcPr>
          <w:p>
            <w:r>
              <w:rPr>
                <w:rFonts w:hint="eastAsia"/>
              </w:rPr>
              <w:t>1</w:t>
            </w:r>
            <w:r>
              <w:t>项</w:t>
            </w:r>
          </w:p>
        </w:tc>
      </w:tr>
      <w:tr>
        <w:tblPrEx>
          <w:tblCellMar>
            <w:top w:w="0" w:type="dxa"/>
            <w:left w:w="108" w:type="dxa"/>
            <w:bottom w:w="0" w:type="dxa"/>
            <w:right w:w="108" w:type="dxa"/>
          </w:tblCellMar>
        </w:tblPrEx>
        <w:trPr>
          <w:trHeight w:val="225" w:hRule="atLeast"/>
          <w:jc w:val="center"/>
        </w:trPr>
        <w:tc>
          <w:tcPr>
            <w:tcW w:w="1085" w:type="dxa"/>
            <w:tcBorders>
              <w:top w:val="nil"/>
              <w:left w:val="single" w:color="auto" w:sz="4" w:space="0"/>
              <w:bottom w:val="single" w:color="auto" w:sz="4" w:space="0"/>
              <w:right w:val="single" w:color="auto" w:sz="4" w:space="0"/>
            </w:tcBorders>
            <w:vAlign w:val="center"/>
          </w:tcPr>
          <w:p>
            <w:r>
              <w:t>4</w:t>
            </w:r>
          </w:p>
        </w:tc>
        <w:tc>
          <w:tcPr>
            <w:tcW w:w="2200" w:type="dxa"/>
            <w:tcBorders>
              <w:top w:val="nil"/>
              <w:left w:val="nil"/>
              <w:bottom w:val="single" w:color="auto" w:sz="4" w:space="0"/>
              <w:right w:val="single" w:color="auto" w:sz="4" w:space="0"/>
            </w:tcBorders>
            <w:vAlign w:val="center"/>
          </w:tcPr>
          <w:p>
            <w:pPr>
              <w:rPr>
                <w:rFonts w:hint="eastAsia"/>
              </w:rPr>
            </w:pPr>
            <w:r>
              <w:rPr>
                <w:rFonts w:hint="eastAsia"/>
              </w:rPr>
              <w:t>售卡充值</w:t>
            </w:r>
          </w:p>
        </w:tc>
        <w:tc>
          <w:tcPr>
            <w:tcW w:w="4158" w:type="dxa"/>
            <w:tcBorders>
              <w:top w:val="nil"/>
              <w:left w:val="nil"/>
              <w:bottom w:val="single" w:color="auto" w:sz="4" w:space="0"/>
              <w:right w:val="single" w:color="auto" w:sz="4" w:space="0"/>
            </w:tcBorders>
            <w:vAlign w:val="center"/>
          </w:tcPr>
          <w:p>
            <w:pPr>
              <w:rPr>
                <w:rFonts w:hint="eastAsia"/>
              </w:rPr>
            </w:pPr>
            <w:r>
              <w:rPr>
                <w:rFonts w:hint="eastAsia"/>
              </w:rPr>
              <w:t>I</w:t>
            </w:r>
            <w:r>
              <w:t>C</w:t>
            </w:r>
            <w:r>
              <w:rPr>
                <w:rFonts w:hint="eastAsia"/>
              </w:rPr>
              <w:t>刷卡及移动支付</w:t>
            </w:r>
            <w:r>
              <w:t>系统</w:t>
            </w:r>
          </w:p>
        </w:tc>
        <w:tc>
          <w:tcPr>
            <w:tcW w:w="1085" w:type="dxa"/>
            <w:tcBorders>
              <w:top w:val="nil"/>
              <w:left w:val="nil"/>
              <w:bottom w:val="single" w:color="auto" w:sz="4" w:space="0"/>
              <w:right w:val="single" w:color="auto" w:sz="4" w:space="0"/>
            </w:tcBorders>
            <w:vAlign w:val="center"/>
          </w:tcPr>
          <w:p>
            <w:r>
              <w:rPr>
                <w:rFonts w:hint="eastAsia"/>
              </w:rPr>
              <w:t>1</w:t>
            </w:r>
            <w:r>
              <w:t>项</w:t>
            </w:r>
          </w:p>
        </w:tc>
      </w:tr>
      <w:tr>
        <w:tblPrEx>
          <w:tblCellMar>
            <w:top w:w="0" w:type="dxa"/>
            <w:left w:w="108" w:type="dxa"/>
            <w:bottom w:w="0" w:type="dxa"/>
            <w:right w:w="108" w:type="dxa"/>
          </w:tblCellMar>
        </w:tblPrEx>
        <w:trPr>
          <w:trHeight w:val="225" w:hRule="atLeast"/>
          <w:jc w:val="center"/>
        </w:trPr>
        <w:tc>
          <w:tcPr>
            <w:tcW w:w="1085" w:type="dxa"/>
            <w:tcBorders>
              <w:top w:val="nil"/>
              <w:left w:val="single" w:color="auto" w:sz="4" w:space="0"/>
              <w:bottom w:val="single" w:color="auto" w:sz="4" w:space="0"/>
              <w:right w:val="single" w:color="auto" w:sz="4" w:space="0"/>
            </w:tcBorders>
            <w:vAlign w:val="center"/>
          </w:tcPr>
          <w:p>
            <w:r>
              <w:t>5</w:t>
            </w:r>
          </w:p>
        </w:tc>
        <w:tc>
          <w:tcPr>
            <w:tcW w:w="2200" w:type="dxa"/>
            <w:tcBorders>
              <w:top w:val="nil"/>
              <w:left w:val="nil"/>
              <w:bottom w:val="single" w:color="auto" w:sz="4" w:space="0"/>
              <w:right w:val="nil"/>
            </w:tcBorders>
            <w:vAlign w:val="center"/>
          </w:tcPr>
          <w:p>
            <w:r>
              <w:rPr>
                <w:rFonts w:hint="eastAsia"/>
              </w:rPr>
              <w:t>结算管理</w:t>
            </w:r>
          </w:p>
        </w:tc>
        <w:tc>
          <w:tcPr>
            <w:tcW w:w="4158" w:type="dxa"/>
            <w:tcBorders>
              <w:top w:val="nil"/>
              <w:left w:val="single" w:color="auto" w:sz="4" w:space="0"/>
              <w:bottom w:val="single" w:color="auto" w:sz="4" w:space="0"/>
              <w:right w:val="single" w:color="auto" w:sz="4" w:space="0"/>
            </w:tcBorders>
            <w:vAlign w:val="center"/>
          </w:tcPr>
          <w:p>
            <w:pPr>
              <w:rPr>
                <w:rFonts w:hint="eastAsia"/>
              </w:rPr>
            </w:pPr>
            <w:r>
              <w:rPr>
                <w:rFonts w:hint="eastAsia"/>
              </w:rPr>
              <w:t>I</w:t>
            </w:r>
            <w:r>
              <w:t>C</w:t>
            </w:r>
            <w:r>
              <w:rPr>
                <w:rFonts w:hint="eastAsia"/>
              </w:rPr>
              <w:t>刷卡及移动支付</w:t>
            </w:r>
            <w:r>
              <w:t>系统</w:t>
            </w:r>
          </w:p>
        </w:tc>
        <w:tc>
          <w:tcPr>
            <w:tcW w:w="1085" w:type="dxa"/>
            <w:tcBorders>
              <w:top w:val="nil"/>
              <w:left w:val="nil"/>
              <w:bottom w:val="single" w:color="auto" w:sz="4" w:space="0"/>
              <w:right w:val="single" w:color="auto" w:sz="4" w:space="0"/>
            </w:tcBorders>
            <w:vAlign w:val="center"/>
          </w:tcPr>
          <w:p>
            <w:r>
              <w:rPr>
                <w:rFonts w:hint="eastAsia"/>
              </w:rPr>
              <w:t>1</w:t>
            </w:r>
            <w:r>
              <w:t>项</w:t>
            </w:r>
          </w:p>
        </w:tc>
      </w:tr>
      <w:tr>
        <w:tblPrEx>
          <w:tblCellMar>
            <w:top w:w="0" w:type="dxa"/>
            <w:left w:w="108" w:type="dxa"/>
            <w:bottom w:w="0" w:type="dxa"/>
            <w:right w:w="108" w:type="dxa"/>
          </w:tblCellMar>
        </w:tblPrEx>
        <w:trPr>
          <w:trHeight w:val="225" w:hRule="atLeast"/>
          <w:jc w:val="center"/>
        </w:trPr>
        <w:tc>
          <w:tcPr>
            <w:tcW w:w="1085" w:type="dxa"/>
            <w:tcBorders>
              <w:top w:val="nil"/>
              <w:left w:val="single" w:color="auto" w:sz="4" w:space="0"/>
              <w:bottom w:val="single" w:color="auto" w:sz="4" w:space="0"/>
              <w:right w:val="single" w:color="auto" w:sz="4" w:space="0"/>
            </w:tcBorders>
            <w:vAlign w:val="center"/>
          </w:tcPr>
          <w:p>
            <w:r>
              <w:t>6</w:t>
            </w:r>
          </w:p>
        </w:tc>
        <w:tc>
          <w:tcPr>
            <w:tcW w:w="2200" w:type="dxa"/>
            <w:tcBorders>
              <w:top w:val="nil"/>
              <w:left w:val="nil"/>
              <w:bottom w:val="single" w:color="auto" w:sz="4" w:space="0"/>
              <w:right w:val="nil"/>
            </w:tcBorders>
            <w:vAlign w:val="center"/>
          </w:tcPr>
          <w:p>
            <w:pPr>
              <w:rPr>
                <w:rFonts w:hint="eastAsia"/>
              </w:rPr>
            </w:pPr>
            <w:r>
              <w:rPr>
                <w:rFonts w:hint="eastAsia"/>
              </w:rPr>
              <w:t>客服管理</w:t>
            </w:r>
          </w:p>
        </w:tc>
        <w:tc>
          <w:tcPr>
            <w:tcW w:w="4158" w:type="dxa"/>
            <w:tcBorders>
              <w:top w:val="nil"/>
              <w:left w:val="single" w:color="auto" w:sz="4" w:space="0"/>
              <w:bottom w:val="single" w:color="auto" w:sz="4" w:space="0"/>
              <w:right w:val="single" w:color="auto" w:sz="4" w:space="0"/>
            </w:tcBorders>
            <w:vAlign w:val="center"/>
          </w:tcPr>
          <w:p>
            <w:pPr>
              <w:rPr>
                <w:rFonts w:hint="eastAsia"/>
              </w:rPr>
            </w:pPr>
            <w:r>
              <w:rPr>
                <w:rFonts w:hint="eastAsia"/>
              </w:rPr>
              <w:t>I</w:t>
            </w:r>
            <w:r>
              <w:t>C</w:t>
            </w:r>
            <w:r>
              <w:rPr>
                <w:rFonts w:hint="eastAsia"/>
              </w:rPr>
              <w:t>刷卡及移动支付</w:t>
            </w:r>
            <w:r>
              <w:t>系统</w:t>
            </w:r>
          </w:p>
        </w:tc>
        <w:tc>
          <w:tcPr>
            <w:tcW w:w="1085" w:type="dxa"/>
            <w:tcBorders>
              <w:top w:val="nil"/>
              <w:left w:val="nil"/>
              <w:bottom w:val="single" w:color="auto" w:sz="4" w:space="0"/>
              <w:right w:val="single" w:color="auto" w:sz="4" w:space="0"/>
            </w:tcBorders>
            <w:vAlign w:val="center"/>
          </w:tcPr>
          <w:p>
            <w:r>
              <w:rPr>
                <w:rFonts w:hint="eastAsia"/>
              </w:rPr>
              <w:t>1</w:t>
            </w:r>
            <w:r>
              <w:t>项</w:t>
            </w:r>
          </w:p>
        </w:tc>
      </w:tr>
      <w:tr>
        <w:tblPrEx>
          <w:tblCellMar>
            <w:top w:w="0" w:type="dxa"/>
            <w:left w:w="108" w:type="dxa"/>
            <w:bottom w:w="0" w:type="dxa"/>
            <w:right w:w="108" w:type="dxa"/>
          </w:tblCellMar>
        </w:tblPrEx>
        <w:trPr>
          <w:trHeight w:val="225" w:hRule="atLeast"/>
          <w:jc w:val="center"/>
        </w:trPr>
        <w:tc>
          <w:tcPr>
            <w:tcW w:w="1085" w:type="dxa"/>
            <w:tcBorders>
              <w:top w:val="nil"/>
              <w:left w:val="single" w:color="auto" w:sz="4" w:space="0"/>
              <w:bottom w:val="single" w:color="auto" w:sz="4" w:space="0"/>
              <w:right w:val="single" w:color="auto" w:sz="4" w:space="0"/>
            </w:tcBorders>
            <w:vAlign w:val="center"/>
          </w:tcPr>
          <w:p>
            <w:r>
              <w:t>7</w:t>
            </w:r>
          </w:p>
        </w:tc>
        <w:tc>
          <w:tcPr>
            <w:tcW w:w="2200" w:type="dxa"/>
            <w:tcBorders>
              <w:top w:val="nil"/>
              <w:left w:val="nil"/>
              <w:bottom w:val="single" w:color="auto" w:sz="4" w:space="0"/>
              <w:right w:val="nil"/>
            </w:tcBorders>
            <w:vAlign w:val="center"/>
          </w:tcPr>
          <w:p>
            <w:pPr>
              <w:rPr>
                <w:rFonts w:hint="eastAsia"/>
              </w:rPr>
            </w:pPr>
            <w:r>
              <w:rPr>
                <w:rFonts w:hint="eastAsia"/>
              </w:rPr>
              <w:t>二维码支付</w:t>
            </w:r>
          </w:p>
        </w:tc>
        <w:tc>
          <w:tcPr>
            <w:tcW w:w="4158" w:type="dxa"/>
            <w:tcBorders>
              <w:top w:val="nil"/>
              <w:left w:val="single" w:color="auto" w:sz="4" w:space="0"/>
              <w:bottom w:val="single" w:color="auto" w:sz="4" w:space="0"/>
              <w:right w:val="single" w:color="auto" w:sz="4" w:space="0"/>
            </w:tcBorders>
            <w:vAlign w:val="center"/>
          </w:tcPr>
          <w:p>
            <w:pPr>
              <w:rPr>
                <w:rFonts w:hint="eastAsia"/>
              </w:rPr>
            </w:pPr>
            <w:r>
              <w:rPr>
                <w:rFonts w:hint="eastAsia"/>
              </w:rPr>
              <w:t>I</w:t>
            </w:r>
            <w:r>
              <w:t>C</w:t>
            </w:r>
            <w:r>
              <w:rPr>
                <w:rFonts w:hint="eastAsia"/>
              </w:rPr>
              <w:t>刷卡及移动支付</w:t>
            </w:r>
            <w:r>
              <w:t>系统</w:t>
            </w:r>
          </w:p>
        </w:tc>
        <w:tc>
          <w:tcPr>
            <w:tcW w:w="1085" w:type="dxa"/>
            <w:tcBorders>
              <w:top w:val="nil"/>
              <w:left w:val="nil"/>
              <w:bottom w:val="single" w:color="auto" w:sz="4" w:space="0"/>
              <w:right w:val="single" w:color="auto" w:sz="4" w:space="0"/>
            </w:tcBorders>
            <w:vAlign w:val="center"/>
          </w:tcPr>
          <w:p>
            <w:r>
              <w:rPr>
                <w:rFonts w:hint="eastAsia"/>
              </w:rPr>
              <w:t>1</w:t>
            </w:r>
            <w:r>
              <w:t>项</w:t>
            </w:r>
          </w:p>
        </w:tc>
      </w:tr>
      <w:tr>
        <w:tblPrEx>
          <w:tblCellMar>
            <w:top w:w="0" w:type="dxa"/>
            <w:left w:w="108" w:type="dxa"/>
            <w:bottom w:w="0" w:type="dxa"/>
            <w:right w:w="108" w:type="dxa"/>
          </w:tblCellMar>
        </w:tblPrEx>
        <w:trPr>
          <w:trHeight w:val="225" w:hRule="atLeast"/>
          <w:jc w:val="center"/>
        </w:trPr>
        <w:tc>
          <w:tcPr>
            <w:tcW w:w="1085" w:type="dxa"/>
            <w:tcBorders>
              <w:top w:val="nil"/>
              <w:left w:val="single" w:color="auto" w:sz="4" w:space="0"/>
              <w:bottom w:val="single" w:color="auto" w:sz="4" w:space="0"/>
              <w:right w:val="single" w:color="auto" w:sz="4" w:space="0"/>
            </w:tcBorders>
            <w:vAlign w:val="center"/>
          </w:tcPr>
          <w:p>
            <w:r>
              <w:t>8</w:t>
            </w:r>
          </w:p>
        </w:tc>
        <w:tc>
          <w:tcPr>
            <w:tcW w:w="2200" w:type="dxa"/>
            <w:tcBorders>
              <w:top w:val="nil"/>
              <w:left w:val="nil"/>
              <w:bottom w:val="single" w:color="auto" w:sz="4" w:space="0"/>
              <w:right w:val="nil"/>
            </w:tcBorders>
            <w:vAlign w:val="center"/>
          </w:tcPr>
          <w:p>
            <w:pPr>
              <w:rPr>
                <w:rFonts w:hint="eastAsia"/>
              </w:rPr>
            </w:pPr>
            <w:r>
              <w:rPr>
                <w:rFonts w:hint="eastAsia"/>
              </w:rPr>
              <w:t>支付终端</w:t>
            </w:r>
          </w:p>
        </w:tc>
        <w:tc>
          <w:tcPr>
            <w:tcW w:w="4158" w:type="dxa"/>
            <w:tcBorders>
              <w:top w:val="nil"/>
              <w:left w:val="single" w:color="auto" w:sz="4" w:space="0"/>
              <w:bottom w:val="single" w:color="auto" w:sz="4" w:space="0"/>
              <w:right w:val="single" w:color="auto" w:sz="4" w:space="0"/>
            </w:tcBorders>
            <w:vAlign w:val="center"/>
          </w:tcPr>
          <w:p>
            <w:pPr>
              <w:rPr>
                <w:rFonts w:hint="eastAsia"/>
              </w:rPr>
            </w:pPr>
            <w:r>
              <w:rPr>
                <w:rFonts w:hint="eastAsia"/>
              </w:rPr>
              <w:t>I</w:t>
            </w:r>
            <w:r>
              <w:t>C</w:t>
            </w:r>
            <w:r>
              <w:rPr>
                <w:rFonts w:hint="eastAsia"/>
              </w:rPr>
              <w:t>刷卡及移动支付</w:t>
            </w:r>
            <w:r>
              <w:t>系统</w:t>
            </w:r>
          </w:p>
        </w:tc>
        <w:tc>
          <w:tcPr>
            <w:tcW w:w="1085" w:type="dxa"/>
            <w:tcBorders>
              <w:top w:val="nil"/>
              <w:left w:val="nil"/>
              <w:bottom w:val="single" w:color="auto" w:sz="4" w:space="0"/>
              <w:right w:val="single" w:color="auto" w:sz="4" w:space="0"/>
            </w:tcBorders>
            <w:vAlign w:val="center"/>
          </w:tcPr>
          <w:p>
            <w:r>
              <w:rPr>
                <w:rFonts w:hint="eastAsia"/>
              </w:rPr>
              <w:t>1</w:t>
            </w:r>
            <w:r>
              <w:t>项</w:t>
            </w:r>
          </w:p>
        </w:tc>
      </w:tr>
    </w:tbl>
    <w:p/>
    <w:p>
      <w:bookmarkStart w:id="10" w:name="_Toc22640307"/>
      <w:r>
        <w:rPr>
          <w:rFonts w:hint="eastAsia"/>
        </w:rPr>
        <w:t>掌上公交A</w:t>
      </w:r>
      <w:r>
        <w:t>PP</w:t>
      </w:r>
      <w:bookmarkEnd w:id="10"/>
    </w:p>
    <w:p>
      <w:r>
        <w:rPr>
          <w:rFonts w:hint="eastAsia"/>
        </w:rPr>
        <w:t>掌上公交APP系统为乘客提供公交的路线信息查询、站点信息查询、车辆位置查询、导乘规划、配套信息查询、包车业务咨询等功能，并预留轨道交通信息查询、路况查询、载客量查询、付费功能以及公交制定功能等。为乘客提供快捷的、有效准确的、利于乘客出行的信息系统，提高出行的便利性。具体功能设计如下。</w:t>
      </w:r>
    </w:p>
    <w:p>
      <w:r>
        <w:rPr>
          <w:rFonts w:hint="eastAsia"/>
        </w:rPr>
        <w:t>信息查询功能</w:t>
      </w:r>
    </w:p>
    <w:p>
      <w:r>
        <w:rPr>
          <w:rFonts w:hint="eastAsia"/>
        </w:rPr>
        <w:t>1.公交线路信息查询：输入线路名称查询公交线路信息，包括：公交线路上行站点、下行站点、首末班时间等信息</w:t>
      </w:r>
    </w:p>
    <w:p>
      <w:r>
        <w:rPr>
          <w:rFonts w:hint="eastAsia"/>
        </w:rPr>
        <w:t>2.公交站点信息查询：查询公交站点所经线路的基本信息以及车辆到站的预测信息，包括最近车辆所到站点、距离、站数、是否末班车等</w:t>
      </w:r>
    </w:p>
    <w:p>
      <w:r>
        <w:rPr>
          <w:rFonts w:hint="eastAsia"/>
        </w:rPr>
        <w:t>3.线路实时车辆位置信息查询：通过线路名称查询线路上的实时车辆位置分布信息，通过直观的示意图了解车辆在线路上的分布</w:t>
      </w:r>
    </w:p>
    <w:p>
      <w:r>
        <w:rPr>
          <w:rFonts w:hint="eastAsia"/>
        </w:rPr>
        <w:t>4.一键查车：当前位置站点查询、线路查询、车辆查询</w:t>
      </w:r>
    </w:p>
    <w:p>
      <w:r>
        <w:rPr>
          <w:rFonts w:hint="eastAsia"/>
        </w:rPr>
        <w:t>5.公交导乘规划：输入开始地点、结束地点获取公交的导乘方案，并可自动识别当前位置以及点击识别地图上的任意位置</w:t>
      </w:r>
    </w:p>
    <w:p>
      <w:r>
        <w:rPr>
          <w:rFonts w:hint="eastAsia"/>
        </w:rPr>
        <w:t>6.公交配套查询：IC卡充值点查询</w:t>
      </w:r>
    </w:p>
    <w:p>
      <w:r>
        <w:rPr>
          <w:rFonts w:hint="eastAsia"/>
        </w:rPr>
        <w:t>7.包车业务咨询：包车业务在线咨询（留言板）</w:t>
      </w:r>
    </w:p>
    <w:p>
      <w:r>
        <w:rPr>
          <w:rFonts w:hint="eastAsia"/>
        </w:rPr>
        <w:t>预留功能</w:t>
      </w:r>
    </w:p>
    <w:p>
      <w:r>
        <w:rPr>
          <w:rFonts w:hint="eastAsia"/>
        </w:rPr>
        <w:t>（1）其他交通信息查询（包括交通管制等）</w:t>
      </w:r>
    </w:p>
    <w:p>
      <w:r>
        <w:rPr>
          <w:rFonts w:hint="eastAsia"/>
        </w:rPr>
        <w:t>（2）路况查询</w:t>
      </w:r>
    </w:p>
    <w:p>
      <w:r>
        <w:rPr>
          <w:rFonts w:hint="eastAsia"/>
        </w:rPr>
        <w:t>（3）公交载客量查询</w:t>
      </w:r>
    </w:p>
    <w:p>
      <w:r>
        <w:rPr>
          <w:rFonts w:hint="eastAsia"/>
        </w:rPr>
        <w:t>（4）定制公交</w:t>
      </w:r>
    </w:p>
    <w:p>
      <w:bookmarkStart w:id="11" w:name="_Toc22640308"/>
      <w:r>
        <w:rPr>
          <w:rFonts w:hint="eastAsia"/>
        </w:rPr>
        <w:t>大屏可视化系统需求</w:t>
      </w:r>
      <w:bookmarkEnd w:id="11"/>
    </w:p>
    <w:p>
      <w:pPr>
        <w:rPr>
          <w:rFonts w:hint="eastAsia"/>
        </w:rPr>
      </w:pPr>
      <w:r>
        <w:rPr>
          <w:rFonts w:hint="eastAsia"/>
        </w:rPr>
        <w:t>以系统工程、信息工程、自动化控制等理论为指导，综合运用计算机、网络通讯、信号控制、视频监控等高新技术，建设一个集信息采集、传输、显示和分析处理功能于一体的科学高效的LED全彩屏显示系统，既可灵活多样地显示高分辨率视频图像，颜色丰富，图像清晰，而且画面支持拼接、分割、漫游等多种显示模式，充分满足客户的信息显示需求。配合集中控制管理</w:t>
      </w:r>
      <w:r>
        <w:t>系统，</w:t>
      </w:r>
      <w:r>
        <w:rPr>
          <w:rFonts w:hint="eastAsia"/>
        </w:rPr>
        <w:t>形成一套功能完整的用于会议、监控、展示的大屏幕显示系统；各种计算机信号、</w:t>
      </w:r>
      <w:r>
        <w:t>监控视频</w:t>
      </w:r>
      <w:r>
        <w:rPr>
          <w:rFonts w:hint="eastAsia"/>
        </w:rPr>
        <w:t>能以实时、直观、灵活多样的方式显示在大屏幕显示墙上，使用屏幕的人员可以高效的组织及处理各种信息，在应急情况下能快速的综合资源及有效反应，创造一个高效直观的显示环境。</w:t>
      </w:r>
    </w:p>
    <w:p>
      <w:bookmarkStart w:id="12" w:name="_Toc22640309"/>
      <w:r>
        <w:rPr>
          <w:rFonts w:hint="eastAsia"/>
        </w:rPr>
        <w:t>建设原则</w:t>
      </w:r>
      <w:bookmarkEnd w:id="12"/>
    </w:p>
    <w:p>
      <w:r>
        <w:rPr>
          <w:rFonts w:hint="eastAsia"/>
        </w:rPr>
        <w:t>遵循“实用性、科学性、先进性、前瞻性”原则，按照“统一规划、打好基础、分步实施、注重效益”的思路，抓住公交车辆行车安全和运营调度管理中迫切急需解决的问题，由简单到复杂，由单线到综合，强调有效性。</w:t>
      </w:r>
    </w:p>
    <w:p>
      <w:r>
        <w:rPr>
          <w:rFonts w:hint="eastAsia"/>
        </w:rPr>
        <w:t>系统性原则</w:t>
      </w:r>
    </w:p>
    <w:p>
      <w:r>
        <w:rPr>
          <w:rFonts w:hint="eastAsia"/>
        </w:rPr>
        <w:t>在具体选型上，充分体现系统集成思想，在结构上要能与现有运行的系统互通融合，在逻辑功能设计上遵循各个环节的管理功能元素实现自锁、互锁、联动控制。</w:t>
      </w:r>
    </w:p>
    <w:p>
      <w:r>
        <w:rPr>
          <w:rFonts w:hint="eastAsia"/>
        </w:rPr>
        <w:t>实用性原则</w:t>
      </w:r>
    </w:p>
    <w:p>
      <w:r>
        <w:rPr>
          <w:rFonts w:hint="eastAsia"/>
        </w:rPr>
        <w:t>规划中必须结合公司的实际运营情况及实际静态信息，综合考虑系统的功能，使系统更加贴合公交的实际需求，更加实用。</w:t>
      </w:r>
    </w:p>
    <w:p>
      <w:r>
        <w:rPr>
          <w:rFonts w:hint="eastAsia"/>
        </w:rPr>
        <w:t>可靠性和稳定性原则</w:t>
      </w:r>
    </w:p>
    <w:p>
      <w:r>
        <w:rPr>
          <w:rFonts w:hint="eastAsia"/>
        </w:rPr>
        <w:t>服务器、主干网络、操作系统及数据库系统等，能够长时间不间断运行，为运营调度系统、前端客户系统提供可靠的支持；控制设备、显示设备、电子设备应该能够满足车站环境运行和应用的要求；采用成熟技术和规范化设计，降低系统的技术复杂度，各子系统在集成时采用规范</w:t>
      </w:r>
      <w:r>
        <w:t>标准的接口；智能系统的各个子系统通过标准规范的接口进行交互，相互提供符合规范的信息，充分实现信息的共享和一致。</w:t>
      </w:r>
    </w:p>
    <w:p>
      <w:r>
        <w:rPr>
          <w:rFonts w:hint="eastAsia"/>
        </w:rPr>
        <w:t>安全性原则</w:t>
      </w:r>
    </w:p>
    <w:p>
      <w:r>
        <w:rPr>
          <w:rFonts w:hint="eastAsia"/>
        </w:rPr>
        <w:t>智能交通系统具备较高的安全性及应急处理措施，确保系统自身的物理上的安全和信息传递的安全。业务网络与公用网络、外部公交网络连接的安全性，保证整个业务</w:t>
      </w:r>
      <w:r>
        <w:t xml:space="preserve"> 系统能正常运行，且不会受到非法侦听、非法入侵及非法破坏；采取用户管理和身份认证机制，防止未授权的用户访问敏感数据；采用防火墙等安全技术保证系统的安全；具备防止病毒侵入和电脑病毒查杀的能力。</w:t>
      </w:r>
    </w:p>
    <w:p>
      <w:r>
        <w:rPr>
          <w:rFonts w:hint="eastAsia"/>
        </w:rPr>
        <w:t>前瞻性原则</w:t>
      </w:r>
    </w:p>
    <w:p>
      <w:r>
        <w:rPr>
          <w:rFonts w:hint="eastAsia"/>
        </w:rPr>
        <w:t>系统建设具有一定的前瞻性，智能公交的建设及应用充分预留外部接口，能实现与第三方平台的数据共享和交换。系统的各种接口在遵循标准化原则的基础上，保证其可以集成不同设备厂商、系统或平台供应商、软件供应商的产品；保证本系统的设备管理、系统扩容和业务维护不依赖于单一设备厂商、系统或软件供应商的产品；在开发的过程中基于相关的开放标准和协议进行开发，提高系统的可维护性和扩展性。</w:t>
      </w:r>
    </w:p>
    <w:p>
      <w:r>
        <w:rPr>
          <w:rFonts w:hint="eastAsia"/>
        </w:rPr>
        <w:t>可扩展性原则</w:t>
      </w:r>
    </w:p>
    <w:p>
      <w:pPr>
        <w:rPr>
          <w:rFonts w:hint="eastAsia"/>
        </w:rPr>
      </w:pPr>
      <w:r>
        <w:rPr>
          <w:rFonts w:hint="eastAsia"/>
        </w:rPr>
        <w:t>建成的系统既能满足目前公交运营监控调度、乘客信息服务、公交优先等基本管理和服务功能的需要，又要充分考虑将来可能的扩容需要。</w:t>
      </w:r>
    </w:p>
    <w:p>
      <w:pPr>
        <w:rPr>
          <w:rFonts w:hint="eastAsia"/>
        </w:rPr>
      </w:pPr>
    </w:p>
    <w:p>
      <w:pPr>
        <w:rPr>
          <w:rFonts w:hint="eastAsia"/>
        </w:rPr>
      </w:pPr>
    </w:p>
    <w:p>
      <w:pPr>
        <w:numPr>
          <w:ilvl w:val="0"/>
          <w:numId w:val="0"/>
        </w:numPr>
        <w:jc w:val="left"/>
        <w:rPr>
          <w:rFonts w:hint="eastAsia" w:ascii="宋体" w:hAnsi="宋体" w:eastAsia="宋体" w:cs="宋体"/>
          <w:b/>
          <w:bCs/>
          <w:sz w:val="24"/>
          <w:szCs w:val="24"/>
          <w:lang w:val="en-US" w:eastAsia="zh-CN"/>
        </w:rPr>
      </w:pPr>
      <w:bookmarkStart w:id="13" w:name="_GoBack"/>
      <w:bookmarkEnd w:id="13"/>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Segoe UI"/>
    <w:panose1 w:val="020F0502020204030204"/>
    <w:charset w:val="00"/>
    <w:family w:val="swiss"/>
    <w:pitch w:val="default"/>
    <w:sig w:usb0="00000000" w:usb1="00000000" w:usb2="00000001" w:usb3="00000000" w:csb0="0000019F" w:csb1="00000000"/>
  </w:font>
  <w:font w:name="仿宋_GB2312">
    <w:panose1 w:val="02010609030101010101"/>
    <w:charset w:val="86"/>
    <w:family w:val="modern"/>
    <w:pitch w:val="default"/>
    <w:sig w:usb0="00000001" w:usb1="080E0000" w:usb2="00000000" w:usb3="00000000" w:csb0="00040000" w:csb1="00000000"/>
  </w:font>
  <w:font w:name="Segoe UI">
    <w:panose1 w:val="020B0502040204020203"/>
    <w:charset w:val="00"/>
    <w:family w:val="auto"/>
    <w:pitch w:val="default"/>
    <w:sig w:usb0="E4002EFF" w:usb1="C000E47F"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99D368D"/>
    <w:rsid w:val="5CCC72D8"/>
    <w:rsid w:val="5D051544"/>
    <w:rsid w:val="627E4A11"/>
    <w:rsid w:val="62EA2A55"/>
    <w:rsid w:val="66440EB9"/>
    <w:rsid w:val="693F0CF4"/>
    <w:rsid w:val="72FE60AF"/>
    <w:rsid w:val="74BD09F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4">
    <w:name w:val="heading 2"/>
    <w:basedOn w:val="1"/>
    <w:next w:val="1"/>
    <w:qFormat/>
    <w:uiPriority w:val="99"/>
    <w:pPr>
      <w:keepNext/>
      <w:keepLines/>
      <w:adjustRightInd w:val="0"/>
      <w:spacing w:before="260" w:after="260" w:line="416" w:lineRule="atLeast"/>
      <w:jc w:val="left"/>
      <w:textAlignment w:val="baseline"/>
      <w:outlineLvl w:val="1"/>
    </w:pPr>
    <w:rPr>
      <w:rFonts w:ascii="Arial" w:hAnsi="Arial" w:eastAsia="黑体"/>
      <w:b/>
      <w:kern w:val="0"/>
      <w:sz w:val="32"/>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w:basedOn w:val="1"/>
    <w:next w:val="3"/>
    <w:qFormat/>
    <w:uiPriority w:val="99"/>
    <w:pPr>
      <w:spacing w:after="120"/>
    </w:pPr>
    <w:rPr>
      <w:szCs w:val="24"/>
    </w:rPr>
  </w:style>
  <w:style w:type="paragraph" w:customStyle="1" w:styleId="3">
    <w:name w:val="Default"/>
    <w:qFormat/>
    <w:uiPriority w:val="0"/>
    <w:pPr>
      <w:widowControl w:val="0"/>
      <w:autoSpaceDE w:val="0"/>
      <w:autoSpaceDN w:val="0"/>
      <w:adjustRightInd w:val="0"/>
    </w:pPr>
    <w:rPr>
      <w:rFonts w:ascii="仿宋_GB2312" w:hAnsi="仿宋_GB2312" w:eastAsia="宋体" w:cs="仿宋_GB2312"/>
      <w:color w:val="000000"/>
      <w:sz w:val="24"/>
      <w:szCs w:val="24"/>
      <w:lang w:val="en-US" w:eastAsia="zh-CN" w:bidi="ar-SA"/>
    </w:rPr>
  </w:style>
  <w:style w:type="paragraph" w:styleId="5">
    <w:name w:val="Body Text First Indent"/>
    <w:basedOn w:val="2"/>
    <w:qFormat/>
    <w:uiPriority w:val="0"/>
    <w:pPr>
      <w:spacing w:line="400" w:lineRule="atLeast"/>
      <w:ind w:firstLine="426"/>
    </w:pPr>
    <w:rPr>
      <w:rFonts w:ascii="Times New Roman" w:hAnsi="Times New Roman"/>
      <w:sz w:val="24"/>
      <w:szCs w:val="20"/>
    </w:rPr>
  </w:style>
  <w:style w:type="paragraph" w:customStyle="1" w:styleId="8">
    <w:name w:val="样式 标题 2 + 宋体 五号 行距: 单倍行距"/>
    <w:basedOn w:val="4"/>
    <w:qFormat/>
    <w:uiPriority w:val="99"/>
    <w:pPr>
      <w:spacing w:line="240" w:lineRule="auto"/>
    </w:pPr>
    <w:rPr>
      <w:rFonts w:ascii="宋体" w:hAnsi="宋体" w:eastAsia="宋体"/>
      <w:sz w:val="21"/>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Office_11.1.0.9305_F1E327BC-269C-435d-A152-05C5408002CA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星星知我心@</cp:lastModifiedBy>
  <dcterms:modified xsi:type="dcterms:W3CDTF">2019-12-20T07:57:28Z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2052-11.1.0.9305</vt:lpwstr>
  </property>
</Properties>
</file>